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5b469ba667493a824bd60f6b1d8d94"/>
        <w:lock w:val="sdtLocked"/>
        <w:richText/>
      </w:sdtPr>
      <w:sdtContent>
        <w:p>
          <w:pPr>
            <w:jc w:val="both"/>
            <w:rPr>
              <w:rFonts w:ascii="Times New Roman" w:hAnsi="Times New Roman"/>
            </w:rPr>
          </w:pPr>
          <w:r>
            <w:rPr>
              <w:rFonts w:ascii="Times New Roman" w:hAnsi="Times New Roman"/>
              <w:b/>
              <w:i/>
            </w:rPr>
            <w:t>Suvestinė redakcija nuo 2014-11-01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50b81d9c85334ceebb0156b5355684cb"/>
                    <w:lock w:val="sdtLocked"/>
                    <w:richText/>
                  </w:sdtPr>
                  <w:sdtContent>
                    <w:p>
                      <w:pPr>
                        <w:widowControl w:val="0"/>
                        <w:ind w:firstLine="708"/>
                        <w:jc w:val="both"/>
                        <w:rPr>
                          <w:color w:val="000000"/>
                        </w:rPr>
                      </w:pPr>
                      <w:sdt>
                        <w:sdtPr>
                          <w:alias w:val="Numeris"/>
                          <w:tag w:val="nr_50b81d9c85334ceebb0156b5355684cb"/>
                          <w:lock w:val="sdtLocked"/>
                          <w:richText/>
                        </w:sdtPr>
                        <w:sdtContent>
                          <w:r>
                            <w:rPr>
                              <w:color w:val="000000"/>
                            </w:rPr>
                            <w:t>10</w:t>
                          </w:r>
                        </w:sdtContent>
                      </w:sdt>
                      <w:r>
                        <w:rPr>
                          <w:color w:val="000000"/>
                        </w:rPr>
                        <w:t xml:space="preserve">. </w:t>
                      </w:r>
                      <w:r>
                        <w:rPr>
                          <w:b/>
                          <w:bCs/>
                          <w:color w:val="000000"/>
                        </w:rPr>
                        <w:t xml:space="preserve">Finansų kontroliuojančioji (holdingo) bendrovė – </w:t>
                      </w:r>
                      <w:r>
                        <w:rPr>
                          <w:color w:val="000000"/>
                        </w:rPr>
                        <w:t>finansų įmonė, kurios visos kontroliuojamos įmonės arba jų dauguma yra kredito įstaigos arba finansų įmonės, o iš jų nors viena yra kredito įstaiga, ir kuri nėra mišrios veiklos finansų kontroliuojančioji (holdingo)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829fe75ae6cb4125934d5263f6be3c90"/>
                        <w:lock w:val="sdtLocked"/>
                        <w:richText/>
                      </w:sdtPr>
                      <w:sdtContent>
                        <w:p>
                          <w:pPr>
                            <w:widowControl w:val="0"/>
                            <w:suppressAutoHyphens/>
                            <w:ind w:firstLine="708"/>
                            <w:jc w:val="both"/>
                            <w:rPr>
                              <w:color w:val="000000"/>
                            </w:rPr>
                          </w:pPr>
                          <w:sdt>
                            <w:sdtPr>
                              <w:alias w:val="Numeris"/>
                              <w:tag w:val="nr_829fe75ae6cb4125934d5263f6be3c90"/>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af940a2be26543ecad41bb517738c48e"/>
                    <w:lock w:val="sdtLocked"/>
                    <w:richText/>
                  </w:sdtPr>
                  <w:sdtContent>
                    <w:p>
                      <w:pPr>
                        <w:widowControl w:val="0"/>
                        <w:suppressAutoHyphens/>
                        <w:ind w:firstLine="708"/>
                        <w:jc w:val="both"/>
                        <w:rPr>
                          <w:color w:val="000000"/>
                        </w:rPr>
                      </w:pPr>
                      <w:sdt>
                        <w:sdtPr>
                          <w:alias w:val="Numeris"/>
                          <w:tag w:val="nr_af940a2be26543ecad41bb517738c48e"/>
                          <w:lock w:val="sdtLocked"/>
                          <w:richText/>
                        </w:sdtPr>
                        <w:sdtContent>
                          <w:r>
                            <w:rPr>
                              <w:color w:val="000000"/>
                            </w:rPr>
                            <w:t>24</w:t>
                          </w:r>
                        </w:sdtContent>
                      </w:sdt>
                      <w:r>
                        <w:rPr>
                          <w:color w:val="000000"/>
                        </w:rPr>
                        <w:t xml:space="preserve">. </w:t>
                      </w:r>
                      <w:r>
                        <w:rPr>
                          <w:b/>
                          <w:bCs/>
                          <w:color w:val="000000"/>
                        </w:rPr>
                        <w:t xml:space="preserve">Kredito įstaiga </w:t>
                      </w:r>
                      <w:r>
                        <w:rPr>
                          <w:color w:val="000000"/>
                        </w:rPr>
                        <w:t>– įmonė, kuri turi licenciją verstis ir verčiasi indėlių ar kitų grąžintinų lėšų priėmimu iš neprofesionaliųjų rinkos dalyvių ir jų skolinimu.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af2dd1869a2141d28b69965fae062698"/>
                    <w:lock w:val="sdtLocked"/>
                    <w:richText/>
                  </w:sdtPr>
                  <w:sdtContent>
                    <w:p>
                      <w:pPr>
                        <w:widowControl w:val="0"/>
                        <w:ind w:firstLine="708"/>
                        <w:jc w:val="both"/>
                        <w:rPr>
                          <w:color w:val="000000"/>
                        </w:rPr>
                      </w:pPr>
                      <w:sdt>
                        <w:sdtPr>
                          <w:alias w:val="Numeris"/>
                          <w:tag w:val="nr_af2dd1869a2141d28b69965fae062698"/>
                          <w:lock w:val="sdtLocked"/>
                          <w:richText/>
                        </w:sdtPr>
                        <w:sdtContent>
                          <w:r>
                            <w:rPr>
                              <w:color w:val="000000"/>
                            </w:rPr>
                            <w:t>28</w:t>
                          </w:r>
                        </w:sdtContent>
                      </w:sdt>
                      <w:r>
                        <w:rPr>
                          <w:color w:val="000000"/>
                        </w:rPr>
                        <w:t xml:space="preserve">. </w:t>
                      </w:r>
                      <w:r>
                        <w:rPr>
                          <w:b/>
                          <w:bCs/>
                          <w:color w:val="000000"/>
                        </w:rPr>
                        <w:t xml:space="preserve">Mišrią veiklą vykdanti kontroliuojančioji (holdingo) bendrovė – </w:t>
                      </w:r>
                      <w:r>
                        <w:rPr>
                          <w:color w:val="000000"/>
                        </w:rPr>
                        <w:t>globojanti (patronuojanti) įmonė (bet ne finansų kontroliuojančioji (holdingo) bendrovė, kredito įstaiga ar mišrios veiklos finansų kontroliuojančioji (holdingo)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5e22d069293f4e1fafa2e507fed718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2009-12-28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4 d. 4 p."/>
                        <w:tag w:val="part_4c7ec547096242418177f0cc4c480f5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4c0441426cf84321a9b9d2c7da204677"/>
                    <w:lock w:val="sdtLocked"/>
                    <w:richText/>
                  </w:sdtPr>
                  <w:sdtContent>
                    <w:p>
                      <w:pPr>
                        <w:widowControl w:val="0"/>
                        <w:suppressAutoHyphens/>
                        <w:ind w:firstLine="708"/>
                        <w:jc w:val="both"/>
                        <w:rPr>
                          <w:color w:val="000000"/>
                        </w:rPr>
                      </w:pPr>
                      <w:sdt>
                        <w:sdtPr>
                          <w:alias w:val="Numeris"/>
                          <w:tag w:val="nr_4c0441426cf84321a9b9d2c7da204677"/>
                          <w:lock w:val="sdtLocked"/>
                          <w:richText/>
                        </w:sdtPr>
                        <w:sdtContent>
                          <w:r>
                            <w:rPr>
                              <w:color w:val="000000"/>
                            </w:rPr>
                            <w:t>3</w:t>
                          </w:r>
                        </w:sdtContent>
                      </w:sdt>
                      <w:r>
                        <w:rPr>
                          <w:color w:val="000000"/>
                        </w:rPr>
                        <w:t>. Finansų įstaigos, kuri verčiasi licencinių finansinių paslaugų teikimu, veiklą prižiūri Lietuvos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6 d."/>
                    <w:tag w:val="part_8943e8372f7c4e1fb0b46ad59f08956d"/>
                    <w:lock w:val="sdtLocked"/>
                    <w:richText/>
                  </w:sdtPr>
                  <w:sdtContent>
                    <w:p>
                      <w:pPr>
                        <w:widowControl w:val="0"/>
                        <w:suppressAutoHyphens/>
                        <w:ind w:firstLine="708"/>
                        <w:jc w:val="both"/>
                      </w:pPr>
                      <w:sdt>
                        <w:sdtPr>
                          <w:alias w:val="Numeris"/>
                          <w:tag w:val="nr_8943e8372f7c4e1fb0b46ad59f08956d"/>
                          <w:lock w:val="sdtLocked"/>
                          <w:richText/>
                        </w:sdtPr>
                        <w:sdtContent>
                          <w:r>
                            <w:rPr>
                              <w:color w:val="000000"/>
                            </w:rPr>
                            <w:t>6</w:t>
                          </w:r>
                        </w:sdtContent>
                      </w:sdt>
                      <w:r>
                        <w:rPr>
                          <w:color w:val="000000"/>
                        </w:rPr>
                        <w:t>. Šio įstatymo 20 straipsnio 2 dalyje, 44 straipsnio 3 dalyje, 45 straipsnio 4 dalyje ir 46 straipsnio 2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59b73d31c10740279b1041ad5d92f333"/>
                    <w:lock w:val="sdtLocked"/>
                    <w:richText/>
                  </w:sdtPr>
                  <w:sdtContent>
                    <w:p>
                      <w:pPr>
                        <w:widowControl w:val="0"/>
                        <w:ind w:firstLine="708"/>
                        <w:jc w:val="both"/>
                      </w:pPr>
                      <w:sdt>
                        <w:sdtPr>
                          <w:alias w:val="Numeris"/>
                          <w:tag w:val="nr_59b73d31c10740279b1041ad5d92f333"/>
                          <w:lock w:val="sdtLocked"/>
                          <w:richText/>
                        </w:sdtPr>
                        <w:sdtContent>
                          <w:r>
                            <w:rPr>
                              <w:color w:val="000000"/>
                            </w:rPr>
                            <w:t>2</w:t>
                          </w:r>
                        </w:sdtContent>
                      </w:sdt>
                      <w:r>
                        <w:rPr>
                          <w:color w:val="000000"/>
                        </w:rPr>
                        <w:t>. Finansų įstaigų, kurioms taikoma konsoliduota priežiūra, bei mišrią veiklą vykdančių kontroliuojančiųjų (holdingo)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c33880cfdb6041dca51fdba504a8793c"/>
                    <w:lock w:val="sdtLocked"/>
                    <w:richText/>
                  </w:sdtPr>
                  <w:sdtContent>
                    <w:p>
                      <w:pPr>
                        <w:ind w:firstLine="708"/>
                        <w:jc w:val="both"/>
                        <w:rPr>
                          <w:color w:val="000000"/>
                        </w:rPr>
                      </w:pPr>
                      <w:sdt>
                        <w:sdtPr>
                          <w:alias w:val="Numeris"/>
                          <w:tag w:val="nr_c33880cfdb6041dca51fdba504a8793c"/>
                          <w:lock w:val="sdtLocked"/>
                          <w:richText/>
                        </w:sdtPr>
                        <w:sdtContent>
                          <w:r>
                            <w:rPr>
                              <w:color w:val="000000"/>
                            </w:rPr>
                            <w:t>1</w:t>
                          </w:r>
                        </w:sdtContent>
                      </w:sdt>
                      <w:r>
                        <w:rPr>
                          <w:color w:val="000000"/>
                        </w:rPr>
                        <w:t>. Finansų įstaigos metinių finansinių ataskaitų rinkinių auditą gali atlikti tik toks auditorius, kuris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eed4c732c1c545e0a1ed80e3fa8f8709"/>
                    <w:lock w:val="sdtLocked"/>
                    <w:richText/>
                  </w:sdtPr>
                  <w:sdtContent>
                    <w:p>
                      <w:pPr>
                        <w:ind w:firstLine="708"/>
                        <w:jc w:val="both"/>
                        <w:rPr>
                          <w:color w:val="000000"/>
                        </w:rPr>
                      </w:pPr>
                      <w:sdt>
                        <w:sdtPr>
                          <w:alias w:val="Numeris"/>
                          <w:tag w:val="nr_eed4c732c1c545e0a1ed80e3fa8f8709"/>
                          <w:lock w:val="sdtLocked"/>
                          <w:richText/>
                        </w:sdtPr>
                        <w:sdtContent>
                          <w:r>
                            <w:rPr>
                              <w:color w:val="000000"/>
                            </w:rPr>
                            <w:t>2</w:t>
                          </w:r>
                        </w:sdtContent>
                      </w:sdt>
                      <w:r>
                        <w:rPr>
                          <w:color w:val="000000"/>
                        </w:rPr>
                        <w:t>. Finansų įstaigos metinių finansinių ataskaitų rinkinių auditą gali atlikti tokia audito įmonė, kuri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8c0e2a42657e49c599d94877b15fbef7"/>
                    <w:lock w:val="sdtLocked"/>
                    <w:richText/>
                  </w:sdtPr>
                  <w:sdtContent>
                    <w:p>
                      <w:pPr>
                        <w:widowControl w:val="0"/>
                        <w:suppressAutoHyphens/>
                        <w:ind w:firstLine="708"/>
                        <w:jc w:val="both"/>
                      </w:pPr>
                      <w:sdt>
                        <w:sdtPr>
                          <w:alias w:val="Numeris"/>
                          <w:tag w:val="nr_8c0e2a42657e49c599d94877b15fbef7"/>
                          <w:lock w:val="sdtLocked"/>
                          <w:richText/>
                        </w:sdtPr>
                        <w:sdtContent>
                          <w:r>
                            <w:rPr>
                              <w:color w:val="000000"/>
                            </w:rPr>
                            <w:t>4</w:t>
                          </w:r>
                        </w:sdtContent>
                      </w:sdt>
                      <w:r>
                        <w:rPr>
                          <w:color w:val="000000"/>
                        </w:rPr>
                        <w:t>. Priežiūros institucijos sprendimu finansų įstaigoms, kurių veiklos priežiūrą nustato Lietuvos Respublikos įstatymai, gali būti uždrausta sudaryti sutartis dėl finansinių ataskaitų rinkinių audito su tomis audito įmonėmis, kurios neatitinka (nevykdo) šio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fb9bef5692a43e1a293e5bd749f91fc"/>
                        <w:lock w:val="sdtLocked"/>
                        <w:richText/>
                      </w:sdtPr>
                      <w:sdtContent>
                        <w:p>
                          <w:pPr>
                            <w:widowControl w:val="0"/>
                            <w:suppressAutoHyphens/>
                            <w:ind w:firstLine="708"/>
                            <w:jc w:val="both"/>
                            <w:rPr>
                              <w:color w:val="000000"/>
                            </w:rPr>
                          </w:pPr>
                          <w:sdt>
                            <w:sdtPr>
                              <w:alias w:val="Numeris"/>
                              <w:tag w:val="nr_bfb9bef5692a43e1a293e5bd749f91fc"/>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598d507606e24084bd5f1e5f7c74cc6e"/>
                    <w:lock w:val="sdtLocked"/>
                    <w:richText/>
                  </w:sdtPr>
                  <w:sdtContent>
                    <w:p>
                      <w:pPr>
                        <w:widowControl w:val="0"/>
                        <w:suppressAutoHyphens/>
                        <w:ind w:firstLine="708"/>
                        <w:jc w:val="both"/>
                        <w:rPr>
                          <w:color w:val="000000"/>
                        </w:rPr>
                      </w:pPr>
                      <w:sdt>
                        <w:sdtPr>
                          <w:alias w:val="Numeris"/>
                          <w:tag w:val="nr_598d507606e24084bd5f1e5f7c74cc6e"/>
                          <w:lock w:val="sdtLocked"/>
                          <w:richText/>
                        </w:sdtPr>
                        <w:sdtContent>
                          <w:r>
                            <w:rPr>
                              <w:color w:val="000000"/>
                            </w:rPr>
                            <w:t>1</w:t>
                          </w:r>
                        </w:sdtContent>
                      </w:sdt>
                      <w:r>
                        <w:rPr>
                          <w:color w:val="000000"/>
                        </w:rPr>
                        <w:t>. Audito įmonė ir auditorius už audito atlikimą, auditoriaus išvados dėl audituotuose finansų įstaigos metinių finansinių ataskaitų rinkiniuose pateiktų duomenų išsamumo, tikrumo ir tikslumo pateikimą atsako Lietuvos Respublikos įstatymuose ir audito įmonės ir užsakovo pasirašytoje sutartyje dėl audito atlikimo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286020572ef844b3946cb666f2365a54"/>
        <w:lock w:val="sdtLocked"/>
        <w:richText/>
      </w:sdtPr>
      <w:sdtContent>
        <w:p>
          <w:pPr>
            <w:widowControl w:val="0"/>
            <w:suppressAutoHyphens/>
            <w:ind w:left="4535"/>
            <w:rPr>
              <w:color w:val="000000"/>
            </w:rPr>
          </w:pPr>
          <w:r>
            <w:rPr>
              <w:color w:val="000000"/>
            </w:rPr>
            <w:t>Lietuvos Respublikos</w:t>
          </w:r>
        </w:p>
        <w:p>
          <w:pPr>
            <w:widowControl w:val="0"/>
            <w:suppressAutoHyphens/>
            <w:ind w:left="4535"/>
            <w:rPr>
              <w:color w:val="000000"/>
            </w:rPr>
          </w:pPr>
          <w:r>
            <w:rPr>
              <w:color w:val="000000"/>
            </w:rPr>
            <w:t>finansų įstaigų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286020572ef844b3946cb666f2365a54"/>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3a1a5aed1061486183f2108225f42a0d"/>
            <w:lock w:val="sdtLocked"/>
            <w:richText/>
          </w:sdtPr>
          <w:sdtContent>
            <w:p>
              <w:pPr>
                <w:widowControl w:val="0"/>
                <w:suppressAutoHyphens/>
                <w:ind w:firstLine="709"/>
                <w:jc w:val="both"/>
                <w:rPr>
                  <w:color w:val="000000"/>
                </w:rPr>
              </w:pPr>
              <w:sdt>
                <w:sdtPr>
                  <w:alias w:val="Numeris"/>
                  <w:tag w:val="nr_3a1a5aed1061486183f2108225f42a0d"/>
                  <w:lock w:val="sdtLocked"/>
                  <w:richText/>
                </w:sdtPr>
                <w:sdtContent>
                  <w:r>
                    <w:rPr>
                      <w:color w:val="000000"/>
                    </w:rPr>
                    <w:t>1</w:t>
                  </w:r>
                </w:sdtContent>
              </w:sdt>
              <w:r>
                <w:rPr>
                  <w:color w:val="000000"/>
                </w:rPr>
                <w:t>. 2006 m. birželio 14 d. Europos Parlamento ir Tarybos direktyva 2006/48/EB dėl kredito įstaigų veiklos pradėjimo ir vykdymo (nauja redakcija) (OL 2006 L 177, p. 1) su paskutiniais pakeitimais, padarytais 2009 m. rugsėjo 16 d. Europos Parlamento ir Tarybos direktyva 2009/111/EB (OL 2009 L 302, p. 97).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pr. 2 p."/>
            <w:tag w:val="part_5cd036c4fbbd4b6891b5d52d05d8217a"/>
            <w:lock w:val="sdtLocked"/>
            <w:richText/>
          </w:sdtPr>
          <w:sdtContent>
            <w:p>
              <w:pPr>
                <w:widowControl w:val="0"/>
                <w:suppressAutoHyphens/>
                <w:ind w:firstLine="709"/>
                <w:jc w:val="both"/>
              </w:pPr>
              <w:sdt>
                <w:sdtPr>
                  <w:alias w:val="Numeris"/>
                  <w:tag w:val="nr_5cd036c4fbbd4b6891b5d52d05d8217a"/>
                  <w:lock w:val="sdtLocked"/>
                  <w:richText/>
                </w:sdtPr>
                <w:sdtContent>
                  <w:r>
                    <w:rPr>
                      <w:color w:val="000000"/>
                    </w:rPr>
                    <w:t>2</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w:t>
              </w:r>
            </w:p>
          </w:sdtContent>
        </w:sdt>
        <w:sdt>
          <w:sdtPr>
            <w:alias w:val="3 d."/>
            <w:tag w:val="part_54bbf39a2d96490fabe0e727ee46715a"/>
            <w:lock w:val="sdtLocked"/>
            <w:richText/>
          </w:sdtPr>
          <w:sdtContent>
            <w:p>
              <w:pPr>
                <w:widowControl w:val="0"/>
                <w:suppressAutoHyphens/>
                <w:ind w:firstLine="709"/>
                <w:jc w:val="both"/>
              </w:pPr>
              <w:sdt>
                <w:sdtPr>
                  <w:alias w:val="Numeris"/>
                  <w:tag w:val="nr_54bbf39a2d96490fabe0e727ee46715a"/>
                  <w:lock w:val="sdtLocked"/>
                  <w:richText/>
                </w:sdtPr>
                <w:sdtContent>
                  <w:r>
                    <w:rPr>
                      <w:color w:val="000000"/>
                    </w:rPr>
                    <w:t>3</w:t>
                  </w:r>
                </w:sdtContent>
              </w:sdt>
              <w:r>
                <w:rPr>
                  <w:color w:val="000000"/>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p."/>
            <w:tag w:val="part_f0fc0974e4a548b99eb354b46b25ba4c"/>
            <w:lock w:val="sdtLocked"/>
            <w:richText/>
          </w:sdtPr>
          <w:sdtContent>
            <w:p>
              <w:pPr>
                <w:ind w:firstLine="720"/>
                <w:jc w:val="both"/>
              </w:pPr>
              <w:sdt>
                <w:sdtPr>
                  <w:alias w:val="Numeris"/>
                  <w:tag w:val="nr_f0fc0974e4a548b99eb354b46b25ba4c"/>
                  <w:lock w:val="sdtLocked"/>
                  <w:richText/>
                </w:sdtPr>
                <w:sdtContent>
                  <w:r>
                    <w:rPr>
                      <w:color w:val="000000"/>
                      <w:szCs w:val="24"/>
                      <w:lang w:val="ga-IE" w:eastAsia="lt-LT"/>
                    </w:rPr>
                    <w:t>4</w:t>
                  </w:r>
                </w:sdtContent>
              </w:sdt>
              <w:r>
                <w:rPr>
                  <w:color w:val="000000"/>
                  <w:szCs w:val="24"/>
                  <w:lang w:val="ga-IE" w:eastAsia="lt-LT"/>
                </w:rPr>
                <w:t xml:space="preserve">. </w:t>
              </w:r>
              <w:r>
                <w:rPr>
                  <w:szCs w:val="24"/>
                  <w:lang w:val="ga-IE"/>
                </w:rPr>
                <w:t>2012 m. spalio 25 d. Europos Parlamento ir Tarybos direktyva 2012/30/ES dėl apsaugos priemonių, kurių valstybės narės, siekdamos tokias priemones suvienodinti, reikalauja iš Sutarties dėl Europos Sąjungos veikimo 54 straipsnio antroje pastraipoje apibrėžtų bendrovių, jų narių ir kitų interesų apsaugai, akcines bendroves steigiant, palaikant ir keičiant jų kapitalą, koordinavimo (OL 2012 L 315, p. 74).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C89715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9.wmf"/>
  <Relationship Id="rId16" Type="http://schemas.openxmlformats.org/officeDocument/2006/relationships/control" Target="activeX/activeX19.xml"/>
  <Relationship Id="rId17" Type="http://schemas.openxmlformats.org/officeDocument/2006/relationships/customXml" Target="../customXml/item1.xml"/>
  <Relationship Id="rId2" Type="http://schemas.openxmlformats.org/officeDocument/2006/relationships/header" Target="header56.xml"/>
  <Relationship Id="rId3" Type="http://schemas.openxmlformats.org/officeDocument/2006/relationships/footer" Target="footer55.xml"/>
  <Relationship Id="rId4" Type="http://schemas.openxmlformats.org/officeDocument/2006/relationships/footer" Target="footer56.xml"/>
  <Relationship Id="rId5" Type="http://schemas.openxmlformats.org/officeDocument/2006/relationships/header" Target="header57.xml"/>
  <Relationship Id="rId6" Type="http://schemas.openxmlformats.org/officeDocument/2006/relationships/footer" Target="footer5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ae5b469ba667493a824bd60f6b1d8d94">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50b81d9c85334ceebb0156b5355684c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829fe75ae6cb4125934d5263f6be3c90"/>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af940a2be26543ecad41bb517738c48e"/>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af2dd1869a2141d28b69965fae062698"/>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5e22d069293f4e1fafa2e507fed7183d"/>
          <Part Type="strPunktas" Nr="4" Abbr="3 str. 4 d. 4 p." DocPartId="21ed05fc19ec49e6a95a02b4c7c79a7d" PartId="4c7ec547096242418177f0cc4c480f5f"/>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4c0441426cf84321a9b9d2c7da204677"/>
        <Part Type="strDalis" Nr="4" Abbr="4 str. 4 d." DocPartId="5e4129436cd7400bb10b3f1e5214aa4c" PartId="8ed6e00e0abf4111847e12bf2c114499"/>
        <Part Type="strDalis" Nr="5" Abbr="5 d." DocPartId="64e5bc5eaee14083afccb4d1132ae18d" PartId="fcc167b36f88435fa9df3f377025a18e"/>
        <Part Type="strDalis" Nr="6" Abbr="6 d." DocPartId="6324c4ee0fb646f5b1cffcca6c7a2db7" PartId="8943e8372f7c4e1fb0b46ad59f08956d"/>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59b73d31c10740279b1041ad5d92f33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c33880cfdb6041dca51fdba504a8793c">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eed4c732c1c545e0a1ed80e3fa8f8709">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8c0e2a42657e49c599d94877b15fbef7"/>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fb9bef5692a43e1a293e5bd749f91fc"/>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598d507606e24084bd5f1e5f7c74cc6e"/>
        <Part Type="strDalis" Nr="2" Abbr="47 str. 2 d." DocPartId="dc2e81df0d5c47e3a0ef930cad811d9f" PartId="a2d22767fab0439794755b4a0839a23e"/>
      </Part>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286020572ef844b3946cb666f2365a54">
    <Part Type="punktas" Nr="1" Abbr="pr. 1 p." DocPartId="4347082785d942a3aa94831f55b108ae" PartId="3a1a5aed1061486183f2108225f42a0d"/>
    <Part Type="punktas" Nr="2" Abbr="pr. 2 p." DocPartId="8f4abf55e06f40018f5100d61e9b629d" PartId="5cd036c4fbbd4b6891b5d52d05d8217a"/>
    <Part Type="strDalis" Nr="3" Abbr="3 d." DocPartId="699c03e5f95a4200979ff9699538c3ee" PartId="54bbf39a2d96490fabe0e727ee46715a"/>
    <Part Type="punktas" Nr="4" Abbr="4 p." DocPartId="277266f721694aac8088892ef6ec484b" PartId="f0fc0974e4a548b99eb354b46b25ba4c"/>
  </Part>
</Parts>
</file>

<file path=customXml/itemProps1.xml><?xml version="1.0" encoding="utf-8"?>
<ds:datastoreItem xmlns:ds="http://schemas.openxmlformats.org/officeDocument/2006/customXml" ds:itemID="{A49B8D85-1BAB-4909-83FC-3EC071762CE3}">
  <ds:schemaRefs>
    <ds:schemaRef ds:uri="http://lrs.lt/TAIS/DocParts"/>
  </ds:schemaRefs>
</ds:datastoreItem>
</file>

<file path=docProps/app.xml><?xml version="1.0" encoding="utf-8"?>
<Properties xmlns="http://schemas.openxmlformats.org/officeDocument/2006/extended-properties">
  <Template>Normal.dotm</Template>
  <TotalTime>30</TotalTime>
  <Pages>25</Pages>
  <Words>57400</Words>
  <Characters>32718</Characters>
  <Application>Microsoft Office Word</Application>
  <DocSecurity>0</DocSecurity>
  <Lines>272</Lines>
  <Paragraphs>179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89939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2016-12-02T07:52:00Z</dcterms:modified>
  <revision>41</revision>
</coreProperties>
</file>