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7fe115b6baa481881a50ff70721d079"/>
        <w:lock w:val="sdtLocked"/>
        <w:richText/>
      </w:sdtPr>
      <w:sdtContent>
        <w:p>
          <w:pPr>
            <w:jc w:val="both"/>
            <w:rPr>
              <w:rFonts w:ascii="Times New Roman" w:hAnsi="Times New Roman"/>
            </w:rPr>
          </w:pPr>
          <w:r>
            <w:rPr>
              <w:rFonts w:ascii="Times New Roman" w:hAnsi="Times New Roman"/>
              <w:b/>
              <w:i/>
            </w:rPr>
            <w:t>Suvestinė redakcija nuo 2024-12-30 iki 2026-06-29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8" o:title=""/>
              </v:shape>
              <w:control r:id="rId9"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a8d7449b3b0348399266038672ba276d"/>
                    <w:lock w:val="sdtLocked"/>
                    <w:richText/>
                  </w:sdtPr>
                  <w:sdtContent>
                    <w:p>
                      <w:pPr>
                        <w:ind w:firstLine="720"/>
                        <w:jc w:val="both"/>
                        <w:rPr>
                          <w:color w:val="000000"/>
                        </w:rPr>
                      </w:pPr>
                      <w:sdt>
                        <w:sdtPr>
                          <w:alias w:val="Numeris"/>
                          <w:tag w:val="nr_a8d7449b3b0348399266038672ba276d"/>
                          <w:lock w:val="sdtLocked"/>
                          <w:richText/>
                        </w:sdtPr>
                        <w:sdtContent>
                          <w:r>
                            <w:rPr>
                              <w:szCs w:val="24"/>
                            </w:rPr>
                            <w:t>7</w:t>
                          </w:r>
                        </w:sdtContent>
                      </w:sdt>
                      <w:r>
                        <w:rPr>
                          <w:szCs w:val="24"/>
                        </w:rPr>
                        <w:t xml:space="preserve">. </w:t>
                      </w:r>
                      <w:r>
                        <w:rPr>
                          <w:b/>
                          <w:szCs w:val="24"/>
                        </w:rPr>
                        <w:t>Finansų įmonė</w:t>
                      </w:r>
                      <w:r>
                        <w:rPr>
                          <w:szCs w:val="24"/>
                        </w:rPr>
                        <w:t xml:space="preserve"> – Lietuvos Respublikos įmonė arba užsienio valstybės įmonės padalinys, kurie veikia Lietuvos Respublikoje įstatymų </w:t>
                      </w:r>
                      <w:r>
                        <w:rPr>
                          <w:bCs/>
                          <w:szCs w:val="24"/>
                        </w:rPr>
                        <w:t>ar Europos Sąjungos teisės aktų</w:t>
                      </w:r>
                      <w:r>
                        <w:rPr>
                          <w:szCs w:val="24"/>
                        </w:rPr>
                        <w:t>, reglamentuojančių finansinių paslaugų teikimą ir finansų įstaigų veiklą, nustatyta tvarka ir kurių pagrindinę veiklos dalį sudaro vienos arba daugiau šio Įstatymo 3 straipsnio 1 dalyje, išskyrus 1 punktą, nurodytų finansinių paslaugų teikimas.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1abb7bed4b684206b87e5a1acb0d25ab"/>
                    <w:lock w:val="sdtLocked"/>
                    <w:richText/>
                  </w:sdtPr>
                  <w:sdtContent>
                    <w:p>
                      <w:pPr>
                        <w:tabs>
                          <w:tab w:val="left" w:pos="2580"/>
                        </w:tabs>
                        <w:ind w:firstLine="720"/>
                        <w:jc w:val="both"/>
                        <w:rPr>
                          <w:color w:val="000000"/>
                        </w:rPr>
                      </w:pPr>
                      <w:sdt>
                        <w:sdtPr>
                          <w:alias w:val="Numeris"/>
                          <w:tag w:val="nr_1abb7bed4b684206b87e5a1acb0d25ab"/>
                          <w:lock w:val="sdtLocked"/>
                          <w:richText/>
                        </w:sdtPr>
                        <w:sdtContent>
                          <w:r>
                            <w:rPr>
                              <w:bCs/>
                              <w:szCs w:val="24"/>
                            </w:rPr>
                            <w:t>10</w:t>
                          </w:r>
                        </w:sdtContent>
                      </w:sdt>
                      <w:r>
                        <w:rPr>
                          <w:bCs/>
                          <w:szCs w:val="24"/>
                        </w:rPr>
                        <w:t xml:space="preserve">. </w:t>
                      </w:r>
                      <w:r>
                        <w:rPr>
                          <w:b/>
                          <w:bCs/>
                          <w:szCs w:val="24"/>
                        </w:rPr>
                        <w:t>Finansų kontroliuojančioji bendrovė</w:t>
                      </w:r>
                      <w:r>
                        <w:rPr>
                          <w:bCs/>
                          <w:szCs w:val="24"/>
                        </w:rPr>
                        <w:t xml:space="preserve"> – kaip apibrėžta 2013 m. birželio 26 d. Europos Parlamento ir Tarybos reglamento (ES) Nr. 575/2013 dėl prudencinių reikalavimų kredito įstaigoms ir investicinėms įmonėms ir kuriuo iš dalies keičiamas Reglamentas (ES) Nr. 648/2012 (su visais pakeitimais) 4 straipsnio 1 dalies 20 punkte.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f4dcb8c063e34d9a9a6ce36730b81cda"/>
                        <w:lock w:val="sdtLocked"/>
                        <w:richText/>
                      </w:sdtPr>
                      <w:sdtContent>
                        <w:p>
                          <w:pPr>
                            <w:widowControl w:val="0"/>
                            <w:suppressAutoHyphens/>
                            <w:ind w:firstLine="708"/>
                            <w:jc w:val="both"/>
                          </w:pPr>
                          <w:sdt>
                            <w:sdtPr>
                              <w:alias w:val="Numeris"/>
                              <w:tag w:val="nr_f4dcb8c063e34d9a9a6ce36730b81cda"/>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sdt>
                      <w:sdtPr>
                        <w:alias w:val="2 str. 17 d. 4 p."/>
                        <w:tag w:val="part_dd490b01527942b489a7c1798313e8cf"/>
                        <w:lock w:val="sdtLocked"/>
                        <w:richText/>
                      </w:sdtPr>
                      <w:sdtContent>
                        <w:p>
                          <w:pPr>
                            <w:ind w:firstLine="720"/>
                            <w:jc w:val="both"/>
                          </w:pPr>
                          <w:sdt>
                            <w:sdtPr>
                              <w:alias w:val="Numeris"/>
                              <w:tag w:val="nr_dd490b01527942b489a7c1798313e8cf"/>
                              <w:lock w:val="sdtLocked"/>
                              <w:richText/>
                            </w:sdtPr>
                            <w:sdtContent>
                              <w:r>
                                <w:rPr>
                                  <w:szCs w:val="24"/>
                                  <w:lang w:eastAsia="lt-LT"/>
                                </w:rPr>
                                <w:t>4</w:t>
                              </w:r>
                            </w:sdtContent>
                          </w:sdt>
                          <w:r>
                            <w:rPr>
                              <w:szCs w:val="24"/>
                              <w:lang w:eastAsia="lt-LT"/>
                            </w:rPr>
                            <w:t xml:space="preserve">) </w:t>
                          </w:r>
                          <w:r>
                            <w:rPr>
                              <w:szCs w:val="24"/>
                            </w:rPr>
                            <w:t xml:space="preserve">sutelktinio finansavimo paslaugų teikimas per sutelktinio finansavimo platformą, kaip tai apibrėžta 2020 m. spalio 7 d. Europos Parlamento ir Tarybos reglamente </w:t>
                          </w:r>
                          <w:r>
                            <w:rPr>
                              <w:bCs/>
                              <w:szCs w:val="24"/>
                              <w:shd w:val="clear" w:color="auto" w:fill="FFFFFF"/>
                            </w:rPr>
                            <w:t>(ES) 2020/1503</w:t>
                          </w:r>
                          <w:r>
                            <w:rPr>
                              <w:szCs w:val="24"/>
                            </w:rPr>
                            <w:t xml:space="preserve"> dėl Europos sutelktinio finansavimo paslaugų verslui teikėjų, kuriuo iš dalies keičiamas Reglamentas (ES) 2017/1129 ir Direktyva (ES) 2019/1937</w:t>
                          </w:r>
                          <w:r>
                            <w:rPr>
                              <w:szCs w:val="24"/>
                              <w:lang w:eastAsia="lt-LT"/>
                            </w:rPr>
                            <w:t>, jeigu projekto savininkas nesiverčia sandorių, turinčių galimos rizikos požymių, sudarymu;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5 p."/>
                        <w:tag w:val="part_87992f73dfd448c28b3f65b81bda350a"/>
                        <w:lock w:val="sdtLocked"/>
                        <w:richText/>
                      </w:sdtPr>
                      <w:sdtContent>
                        <w:p>
                          <w:pPr>
                            <w:ind w:firstLine="720"/>
                            <w:jc w:val="both"/>
                            <w:rPr>
                              <w:color w:val="000000"/>
                            </w:rPr>
                          </w:pPr>
                          <w:sdt>
                            <w:sdtPr>
                              <w:alias w:val="Numeris"/>
                              <w:tag w:val="nr_87992f73dfd448c28b3f65b81bda350a"/>
                              <w:lock w:val="sdtLocked"/>
                              <w:richText/>
                            </w:sdtPr>
                            <w:sdtContent>
                              <w:r>
                                <w:rPr>
                                  <w:sz w:val="22"/>
                                  <w:szCs w:val="22"/>
                                </w:rPr>
                                <w:t>5</w:t>
                              </w:r>
                            </w:sdtContent>
                          </w:sdt>
                          <w:r>
                            <w:rPr>
                              <w:sz w:val="22"/>
                              <w:szCs w:val="22"/>
                            </w:rPr>
                            <w:t>) viešas skolos vertybinių popierių leidimas, jeigu emitentas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1c7e826096534569aa8b2298bb221132"/>
                    <w:lock w:val="sdtLocked"/>
                    <w:richText/>
                  </w:sdtPr>
                  <w:sdtContent>
                    <w:p>
                      <w:pPr>
                        <w:ind w:firstLine="720"/>
                        <w:jc w:val="both"/>
                        <w:rPr>
                          <w:color w:val="000000"/>
                        </w:rPr>
                      </w:pPr>
                      <w:sdt>
                        <w:sdtPr>
                          <w:alias w:val="Numeris"/>
                          <w:tag w:val="nr_1c7e826096534569aa8b2298bb221132"/>
                          <w:lock w:val="sdtLocked"/>
                          <w:richText/>
                        </w:sdtPr>
                        <w:sdtContent>
                          <w:r>
                            <w:rPr>
                              <w:szCs w:val="24"/>
                            </w:rPr>
                            <w:t>26</w:t>
                          </w:r>
                        </w:sdtContent>
                      </w:sdt>
                      <w:r>
                        <w:rPr>
                          <w:szCs w:val="24"/>
                        </w:rPr>
                        <w:t xml:space="preserve">. </w:t>
                      </w:r>
                      <w:r>
                        <w:rPr>
                          <w:b/>
                          <w:szCs w:val="24"/>
                        </w:rPr>
                        <w:t>Licencinės finansinės paslaugos</w:t>
                      </w:r>
                      <w:r>
                        <w:rPr>
                          <w:szCs w:val="24"/>
                        </w:rPr>
                        <w:t xml:space="preserve"> – finansinės paslaugos, kurių teikimu galima verstis tik gavus įstatymų </w:t>
                      </w:r>
                      <w:r>
                        <w:rPr>
                          <w:bCs/>
                          <w:szCs w:val="24"/>
                        </w:rPr>
                        <w:t>ar Europos Sąjungos teisės aktų</w:t>
                      </w:r>
                      <w:r>
                        <w:rPr>
                          <w:szCs w:val="24"/>
                        </w:rPr>
                        <w:t xml:space="preserve"> nustatyta tvarka išduotą licenciją </w:t>
                      </w:r>
                      <w:r>
                        <w:rPr>
                          <w:bCs/>
                          <w:szCs w:val="24"/>
                        </w:rPr>
                        <w:t>(leidimą)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0a08d45854fe4e73b220ca403538e476"/>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98c0404b2193472fb9cc34fbd9e4b4ee"/>
                        <w:lock w:val="sdtLocked"/>
                        <w:richText/>
                      </w:sdtPr>
                      <w:sdtContent>
                        <w:p>
                          <w:pPr>
                            <w:ind w:firstLine="709"/>
                            <w:jc w:val="both"/>
                          </w:pPr>
                          <w:sdt>
                            <w:sdtPr>
                              <w:alias w:val="Numeris"/>
                              <w:tag w:val="nr_98c0404b2193472fb9cc34fbd9e4b4ee"/>
                              <w:lock w:val="sdtLocked"/>
                              <w:richText/>
                            </w:sdtPr>
                            <w:sdtContent>
                              <w:r>
                                <w:rPr>
                                  <w:szCs w:val="24"/>
                                  <w:lang w:eastAsia="lt-LT"/>
                                </w:rPr>
                                <w:t>18</w:t>
                              </w:r>
                            </w:sdtContent>
                          </w:sdt>
                          <w:r>
                            <w:rPr>
                              <w:szCs w:val="24"/>
                              <w:lang w:eastAsia="lt-LT"/>
                            </w:rPr>
                            <w:t>) elektroninių pinigų, įskaitant elektroninių pinigų žetonus, kaip jie apibrėžti 2023 m. gegužės 31 d. Europos Parlamento ir Tarybos reglamente (ES) 2023/1114 dėl kriptoturto rinkų, kuriuo iš dalies keičiami reglamentai (ES) Nr. 1093/2010 bei (ES) Nr. 1095/2010 ir direktyvos 2013/36/ES bei (ES) 2019/1937, 3 straipsnio 1 dalies 7 punkte,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7bbf50499c11efbdaea558de59136c">
                            <w:r w:rsidRPr="00532B9F">
                              <w:rPr>
                                <w:rFonts w:ascii="Times New Roman" w:eastAsia="MS Mincho" w:hAnsi="Times New Roman"/>
                                <w:sz w:val="20"/>
                                <w:i/>
                                <w:iCs/>
                                <w:color w:val="0000FF" w:themeColor="hyperlink"/>
                                <w:u w:val="single"/>
                              </w:rPr>
                              <w:t>XIV-2882</w:t>
                            </w:r>
                          </w:fldSimple>
                          <w:r>
                            <w:rPr>
                              <w:rFonts w:ascii="Times New Roman" w:eastAsia="MS Mincho" w:hAnsi="Times New Roman"/>
                              <w:sz w:val="20"/>
                              <w:i/>
                              <w:iCs/>
                            </w:rPr>
                            <w:t>,
2024-07-11,
paskelbta TAR 2024-07-24, i. k. 2024-13488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9a76b28c2ee9478e97cc381bc53529d1"/>
                        <w:lock w:val="sdtLocked"/>
                        <w:richText/>
                      </w:sdtPr>
                      <w:sdtContent>
                        <w:p>
                          <w:pPr>
                            <w:ind w:firstLine="708"/>
                            <w:jc w:val="both"/>
                          </w:pPr>
                          <w:sdt>
                            <w:sdtPr>
                              <w:alias w:val="Numeris"/>
                              <w:tag w:val="nr_9a76b28c2ee9478e97cc381bc53529d1"/>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3 str. 1 d. 21 p."/>
                        <w:tag w:val="part_85ef905fc75e4d61bbba2bafc4d0e4b5"/>
                        <w:lock w:val="sdtLocked"/>
                        <w:richText/>
                      </w:sdtPr>
                      <w:sdtContent>
                        <w:p>
                          <w:pPr>
                            <w:ind w:firstLine="720"/>
                            <w:jc w:val="both"/>
                          </w:pPr>
                          <w:sdt>
                            <w:sdtPr>
                              <w:alias w:val="Numeris"/>
                              <w:tag w:val="nr_85ef905fc75e4d61bbba2bafc4d0e4b5"/>
                              <w:lock w:val="sdtLocked"/>
                              <w:richText/>
                            </w:sdtPr>
                            <w:sdtContent>
                              <w:r>
                                <w:rPr>
                                  <w:szCs w:val="24"/>
                                </w:rPr>
                                <w:t>21</w:t>
                              </w:r>
                            </w:sdtContent>
                          </w:sdt>
                          <w:r>
                            <w:rPr>
                              <w:szCs w:val="24"/>
                            </w:rPr>
                            <w:t xml:space="preserve">) </w:t>
                          </w:r>
                          <w:r>
                            <w:rPr>
                              <w:szCs w:val="24"/>
                              <w:shd w:val="clear" w:color="auto" w:fill="FFFFFF"/>
                            </w:rPr>
                            <w:t>sutelktinio finansavimo paslaugų teikėjo veikla, kaip tai apibrėžta Reglamente (ES) 2020/1503</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2 p."/>
                        <w:tag w:val="part_88360f819e5c45c59ba32b85abb17efd"/>
                        <w:lock w:val="sdtLocked"/>
                        <w:richText/>
                      </w:sdtPr>
                      <w:sdtContent>
                        <w:p>
                          <w:pPr>
                            <w:ind w:firstLine="720"/>
                            <w:jc w:val="both"/>
                          </w:pPr>
                          <w:sdt>
                            <w:sdtPr>
                              <w:alias w:val="Numeris"/>
                              <w:tag w:val="nr_88360f819e5c45c59ba32b85abb17efd"/>
                              <w:lock w:val="sdtLocked"/>
                              <w:richText/>
                            </w:sdtPr>
                            <w:sdtContent>
                              <w:r>
                                <w:rPr>
                                  <w:sz w:val="22"/>
                                  <w:szCs w:val="22"/>
                                </w:rPr>
                                <w:t>22</w:t>
                              </w:r>
                            </w:sdtContent>
                          </w:sdt>
                          <w:r>
                            <w:rPr>
                              <w:sz w:val="22"/>
                              <w:szCs w:val="22"/>
                            </w:rPr>
                            <w:t>) tarpusavio skolinimo platformos operatoriaus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193f0ac9611e6b844f0f29024f5ac">
                            <w:r w:rsidRPr="00532B9F">
                              <w:rPr>
                                <w:rFonts w:ascii="Times New Roman" w:eastAsia="MS Mincho" w:hAnsi="Times New Roman"/>
                                <w:sz w:val="20"/>
                                <w:i/>
                                <w:iCs/>
                                <w:color w:val="0000FF" w:themeColor="hyperlink"/>
                                <w:u w:val="single"/>
                              </w:rPr>
                              <w:t>XII-2772</w:t>
                            </w:r>
                          </w:fldSimple>
                          <w:r>
                            <w:rPr>
                              <w:rFonts w:ascii="Times New Roman" w:eastAsia="MS Mincho" w:hAnsi="Times New Roman"/>
                              <w:sz w:val="20"/>
                              <w:i/>
                              <w:iCs/>
                            </w:rPr>
                            <w:t>,
2016-11-10,
paskelbta TAR 2016-11-17, i. k. 2016-26973        </w:t>
                          </w:r>
                        </w:p>
                        <w:p/>
                      </w:sdtContent>
                    </w:sdt>
                    <w:sdt>
                      <w:sdtPr>
                        <w:alias w:val="23 p."/>
                        <w:tag w:val="part_44288c764953470ebe7894678eae994a"/>
                        <w:lock w:val="sdtLocked"/>
                        <w:richText/>
                      </w:sdtPr>
                      <w:sdtContent>
                        <w:p>
                          <w:pPr>
                            <w:ind w:firstLine="709"/>
                            <w:jc w:val="both"/>
                          </w:pPr>
                          <w:sdt>
                            <w:sdtPr>
                              <w:alias w:val="Numeris"/>
                              <w:tag w:val="nr_44288c764953470ebe7894678eae994a"/>
                              <w:lock w:val="sdtLocked"/>
                              <w:richText/>
                            </w:sdtPr>
                            <w:sdtContent>
                              <w:r>
                                <w:rPr>
                                  <w:szCs w:val="24"/>
                                  <w:lang w:eastAsia="lt-LT"/>
                                </w:rPr>
                                <w:t>23</w:t>
                              </w:r>
                            </w:sdtContent>
                          </w:sdt>
                          <w:r>
                            <w:rPr>
                              <w:szCs w:val="24"/>
                              <w:lang w:eastAsia="lt-LT"/>
                            </w:rPr>
                            <w:t>) su turtu susietų žetonų, kaip jie apibrėžti Reglamento (ES) 2023/1114 3 straipsnio 1 dalies 6 punkte, leidimas;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7bbf50499c11efbdaea558de59136c">
                            <w:r w:rsidRPr="00532B9F">
                              <w:rPr>
                                <w:rFonts w:ascii="Times New Roman" w:eastAsia="MS Mincho" w:hAnsi="Times New Roman"/>
                                <w:sz w:val="20"/>
                                <w:i/>
                                <w:iCs/>
                                <w:color w:val="0000FF" w:themeColor="hyperlink"/>
                                <w:u w:val="single"/>
                              </w:rPr>
                              <w:t>XIV-2882</w:t>
                            </w:r>
                          </w:fldSimple>
                          <w:r>
                            <w:rPr>
                              <w:rFonts w:ascii="Times New Roman" w:eastAsia="MS Mincho" w:hAnsi="Times New Roman"/>
                              <w:sz w:val="20"/>
                              <w:i/>
                              <w:iCs/>
                            </w:rPr>
                            <w:t>,
2024-07-11,
paskelbta TAR 2024-07-24, i. k. 2024-13488        </w:t>
                          </w:r>
                        </w:p>
                        <w:p/>
                      </w:sdtContent>
                    </w:sdt>
                    <w:sdt>
                      <w:sdtPr>
                        <w:alias w:val="24 p."/>
                        <w:tag w:val="part_8d182f24108b467a9c5cfa3053218434"/>
                        <w:lock w:val="sdtLocked"/>
                        <w:richText/>
                      </w:sdtPr>
                      <w:sdtContent>
                        <w:p>
                          <w:pPr>
                            <w:ind w:firstLine="709"/>
                            <w:jc w:val="both"/>
                            <w:rPr>
                              <w:szCs w:val="24"/>
                              <w:lang w:eastAsia="lt-LT"/>
                            </w:rPr>
                          </w:pPr>
                          <w:sdt>
                            <w:sdtPr>
                              <w:alias w:val="Numeris"/>
                              <w:tag w:val="nr_8d182f24108b467a9c5cfa3053218434"/>
                              <w:lock w:val="sdtLocked"/>
                              <w:richText/>
                            </w:sdtPr>
                            <w:sdtContent>
                              <w:r>
                                <w:rPr>
                                  <w:szCs w:val="24"/>
                                  <w:lang w:eastAsia="lt-LT"/>
                                </w:rPr>
                                <w:t>24</w:t>
                              </w:r>
                            </w:sdtContent>
                          </w:sdt>
                          <w:r>
                            <w:rPr>
                              <w:szCs w:val="24"/>
                              <w:lang w:eastAsia="lt-LT"/>
                            </w:rPr>
                            <w:t>) kriptoturto paslaugos, kaip jos apibrėžtos Reglamento (ES) 2023/1114 3 straipsnio 1 dalies 16 punkte.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7bbf50499c11efbdaea558de59136c">
                            <w:r w:rsidRPr="00532B9F">
                              <w:rPr>
                                <w:rFonts w:ascii="Times New Roman" w:eastAsia="MS Mincho" w:hAnsi="Times New Roman"/>
                                <w:sz w:val="20"/>
                                <w:i/>
                                <w:iCs/>
                                <w:color w:val="0000FF" w:themeColor="hyperlink"/>
                                <w:u w:val="single"/>
                              </w:rPr>
                              <w:t>XIV-2882</w:t>
                            </w:r>
                          </w:fldSimple>
                          <w:r>
                            <w:rPr>
                              <w:rFonts w:ascii="Times New Roman" w:eastAsia="MS Mincho" w:hAnsi="Times New Roman"/>
                              <w:sz w:val="20"/>
                              <w:i/>
                              <w:iCs/>
                            </w:rPr>
                            <w:t>,
2024-07-11,
paskelbta TAR 2024-07-24, i. k. 2024-13488        </w:t>
                          </w:r>
                        </w:p>
                        <w:p/>
                      </w:sdtContent>
                    </w:sdt>
                  </w:sdtContent>
                </w:sdt>
                <w:sdt>
                  <w:sdtPr>
                    <w:alias w:val="3 str. 2 d."/>
                    <w:tag w:val="part_7e7d5b19b41546c0ac52e4a6a2a27af7"/>
                    <w:lock w:val="sdtLocked"/>
                    <w:richText/>
                  </w:sdtPr>
                  <w:sdtContent>
                    <w:p>
                      <w:pPr>
                        <w:ind w:firstLine="720"/>
                        <w:jc w:val="both"/>
                        <w:rPr>
                          <w:color w:val="000000"/>
                        </w:rPr>
                      </w:pPr>
                      <w:sdt>
                        <w:sdtPr>
                          <w:alias w:val="Numeris"/>
                          <w:tag w:val="nr_7e7d5b19b41546c0ac52e4a6a2a27af7"/>
                          <w:lock w:val="sdtLocked"/>
                          <w:richText/>
                        </w:sdtPr>
                        <w:sdtContent>
                          <w:r>
                            <w:rPr>
                              <w:szCs w:val="24"/>
                            </w:rPr>
                            <w:t>2</w:t>
                          </w:r>
                        </w:sdtContent>
                      </w:sdt>
                      <w:r>
                        <w:rPr>
                          <w:szCs w:val="24"/>
                        </w:rPr>
                        <w:t xml:space="preserve">. Licencines finansines paslaugas nustato Lietuvos Respublikos įstatymai </w:t>
                      </w:r>
                      <w:r>
                        <w:rPr>
                          <w:bCs/>
                          <w:szCs w:val="24"/>
                        </w:rPr>
                        <w:t>arba Europos Sąjungos teisės aktai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361f2de5568e40d0a5ca8d91c853ce8c"/>
                    <w:lock w:val="sdtLocked"/>
                    <w:richText/>
                  </w:sdtPr>
                  <w:sdtContent>
                    <w:p>
                      <w:pPr>
                        <w:ind w:firstLine="720"/>
                        <w:jc w:val="both"/>
                        <w:rPr>
                          <w:color w:val="000000"/>
                        </w:rPr>
                      </w:pPr>
                      <w:sdt>
                        <w:sdtPr>
                          <w:alias w:val="Numeris"/>
                          <w:tag w:val="nr_361f2de5568e40d0a5ca8d91c853ce8c"/>
                          <w:lock w:val="sdtLocked"/>
                          <w:richText/>
                        </w:sdtPr>
                        <w:sdtContent>
                          <w:r>
                            <w:rPr>
                              <w:sz w:val="22"/>
                              <w:szCs w:val="22"/>
                            </w:rPr>
                            <w:t>4</w:t>
                          </w:r>
                        </w:sdtContent>
                      </w:sdt>
                      <w:r>
                        <w:rPr>
                          <w:sz w:val="22"/>
                          <w:szCs w:val="22"/>
                        </w:rPr>
                        <w:t>. Tik kredito įstaiga turi išimtinę teisę priimti indėlius ir kitas grąžintinas lėšas iš neprofesionalių rinkos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3 str. 5 d."/>
                    <w:tag w:val="part_b443dfb0709649c5962d0119b5a319e6"/>
                    <w:lock w:val="sdtLocked"/>
                    <w:richText/>
                  </w:sdtPr>
                  <w:sdtContent>
                    <w:p>
                      <w:pPr>
                        <w:ind w:firstLine="708"/>
                        <w:jc w:val="both"/>
                      </w:pPr>
                      <w:sdt>
                        <w:sdtPr>
                          <w:alias w:val="Numeris"/>
                          <w:tag w:val="nr_b443dfb0709649c5962d0119b5a319e6"/>
                          <w:lock w:val="sdtLocked"/>
                          <w:richText/>
                        </w:sdtPr>
                        <w:sdtContent>
                          <w:r>
                            <w:rPr>
                              <w:color w:val="000000"/>
                            </w:rPr>
                            <w:t>5</w:t>
                          </w:r>
                        </w:sdtContent>
                      </w:sdt>
                      <w:r>
                        <w:rPr>
                          <w:color w:val="000000"/>
                        </w:rPr>
                        <w:t>. Finansų įstaigos gali teikti finansines paslaugas užsienio valiuta, jeigu tai nustatyta Lietuvos Respublikos įstatymuose.</w:t>
                      </w:r>
                    </w:p>
                  </w:sdtContent>
                </w:sdt>
                <w:sdt>
                  <w:sdtPr>
                    <w:alias w:val="6 d."/>
                    <w:tag w:val="part_a463f2ed30994fe38a63016ce3cd62c6"/>
                    <w:lock w:val="sdtLocked"/>
                    <w:richText/>
                  </w:sdtPr>
                  <w:sdtContent>
                    <w:p>
                      <w:pPr>
                        <w:ind w:firstLine="720"/>
                        <w:jc w:val="both"/>
                      </w:pPr>
                      <w:sdt>
                        <w:sdtPr>
                          <w:alias w:val="Numeris"/>
                          <w:tag w:val="nr_a463f2ed30994fe38a63016ce3cd62c6"/>
                          <w:lock w:val="sdtLocked"/>
                          <w:richText/>
                        </w:sdtPr>
                        <w:sdtContent>
                          <w:r>
                            <w:rPr>
                              <w:szCs w:val="24"/>
                            </w:rPr>
                            <w:t>6</w:t>
                          </w:r>
                        </w:sdtContent>
                      </w:sdt>
                      <w:r>
                        <w:rPr>
                          <w:szCs w:val="24"/>
                        </w:rPr>
                        <w:t>.</w:t>
                      </w:r>
                      <w:r>
                        <w:rPr>
                          <w:bCs/>
                          <w:szCs w:val="24"/>
                        </w:rPr>
                        <w:t xml:space="preserve"> Reglamento (ES) 2020/1503 1 straipsnio 3 dalyje nurodytais atvejais nereikalaujama kredito įstaigos ar kitų licencijų ir leidimų, susijusių su sutelktinio finansavimo paslaugų teikimu.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045c7b9f33ee4e389fea8dafee422294"/>
                    <w:lock w:val="sdtLocked"/>
                    <w:richText/>
                  </w:sdtPr>
                  <w:sdtContent>
                    <w:p>
                      <w:pPr>
                        <w:ind w:firstLine="720"/>
                        <w:jc w:val="both"/>
                        <w:rPr>
                          <w:color w:val="000000"/>
                        </w:rPr>
                      </w:pPr>
                      <w:sdt>
                        <w:sdtPr>
                          <w:alias w:val="Numeris"/>
                          <w:tag w:val="nr_045c7b9f33ee4e389fea8dafee422294"/>
                          <w:lock w:val="sdtLocked"/>
                          <w:richText/>
                        </w:sdtPr>
                        <w:sdtContent>
                          <w:r>
                            <w:rPr>
                              <w:color w:val="000000"/>
                              <w:szCs w:val="24"/>
                            </w:rPr>
                            <w:t>2</w:t>
                          </w:r>
                        </w:sdtContent>
                      </w:sdt>
                      <w:r>
                        <w:rPr>
                          <w:color w:val="000000"/>
                          <w:szCs w:val="24"/>
                        </w:rPr>
                        <w:t>. Finansų įstaigomis nelaikomi informuotiesiems investuotojams skirti kolektyvinio investavimo subjektai ir tik šiuos subjektus valdančios valdymo įmonės, taip pat specialiosios paskirties bendrovės, nurodytos Lietuvos Respublikos pakeitimo vertybiniais popieriais ir padengtųjų obligacijų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
                  <w:sdtPr>
                    <w:alias w:val="4 str. 3 d."/>
                    <w:tag w:val="part_71b0bfba9de349318db4151826a0174d"/>
                    <w:lock w:val="sdtLocked"/>
                    <w:richText/>
                  </w:sdtPr>
                  <w:sdtContent>
                    <w:p>
                      <w:pPr>
                        <w:tabs>
                          <w:tab w:val="left" w:pos="2580"/>
                        </w:tabs>
                        <w:ind w:firstLine="720"/>
                        <w:jc w:val="both"/>
                        <w:rPr>
                          <w:color w:val="000000"/>
                        </w:rPr>
                      </w:pPr>
                      <w:sdt>
                        <w:sdtPr>
                          <w:alias w:val="Numeris"/>
                          <w:tag w:val="nr_71b0bfba9de349318db4151826a0174d"/>
                          <w:lock w:val="sdtLocked"/>
                          <w:richText/>
                        </w:sdtPr>
                        <w:sdtContent>
                          <w:r>
                            <w:rPr>
                              <w:bCs/>
                              <w:szCs w:val="24"/>
                            </w:rPr>
                            <w:t>3</w:t>
                          </w:r>
                        </w:sdtContent>
                      </w:sdt>
                      <w:r>
                        <w:rPr>
                          <w:bCs/>
                          <w:szCs w:val="24"/>
                        </w:rPr>
                        <w:t>.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nuostatas priežiūrą atlieka Europos Centrinis Bankas (toliau –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4 str. 5 d."/>
                    <w:tag w:val="part_1c50e032fdfa4b2f9f7ebbff4df0be28"/>
                    <w:lock w:val="sdtLocked"/>
                    <w:richText/>
                  </w:sdtPr>
                  <w:sdtContent>
                    <w:p>
                      <w:pPr>
                        <w:ind w:firstLine="720"/>
                        <w:jc w:val="both"/>
                      </w:pPr>
                      <w:sdt>
                        <w:sdtPr>
                          <w:alias w:val="Numeris"/>
                          <w:tag w:val="nr_1c50e032fdfa4b2f9f7ebbff4df0be28"/>
                          <w:lock w:val="sdtLocked"/>
                          <w:richText/>
                        </w:sdtPr>
                        <w:sdtContent>
                          <w:r>
                            <w:rPr>
                              <w:szCs w:val="24"/>
                            </w:rPr>
                            <w:t>5</w:t>
                          </w:r>
                        </w:sdtContent>
                      </w:sdt>
                      <w:r>
                        <w:rPr>
                          <w:szCs w:val="24"/>
                        </w:rPr>
                        <w:t xml:space="preserve">. Jeigu Lietuvos Respublikos įstatymai </w:t>
                      </w:r>
                      <w:r>
                        <w:rPr>
                          <w:bCs/>
                          <w:szCs w:val="24"/>
                        </w:rPr>
                        <w:t>ar Europos Sąjungos teisės aktai</w:t>
                      </w:r>
                      <w:r>
                        <w:rPr>
                          <w:szCs w:val="24"/>
                        </w:rPr>
                        <w:t xml:space="preserve">, reglamentuojantys finansinių paslaugų teikimą ir finansų įstaigų veiklą, nustato kitokias normas negu šis Įstatymas, taikomos Lietuvos Respublikos įstatymų </w:t>
                      </w:r>
                      <w:r>
                        <w:rPr>
                          <w:bCs/>
                          <w:szCs w:val="24"/>
                        </w:rPr>
                        <w:t>arba Europos Sąjungos teisės aktų</w:t>
                      </w:r>
                      <w:r>
                        <w:rPr>
                          <w:szCs w:val="24"/>
                        </w:rPr>
                        <w:t>, reglamentuojančių finansinių paslaugų teikimą ir finansų įstaigų veiklą,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4 str. 6 d."/>
                    <w:tag w:val="part_9d2987252940494f8bb9b7055c9b2840"/>
                    <w:lock w:val="sdtLocked"/>
                    <w:richText/>
                  </w:sdtPr>
                  <w:sdtContent>
                    <w:p>
                      <w:pPr>
                        <w:ind w:firstLine="720"/>
                        <w:jc w:val="both"/>
                      </w:pPr>
                      <w:sdt>
                        <w:sdtPr>
                          <w:alias w:val="Numeris"/>
                          <w:tag w:val="nr_9d2987252940494f8bb9b7055c9b2840"/>
                          <w:lock w:val="sdtLocked"/>
                          <w:richText/>
                        </w:sdtPr>
                        <w:sdtContent>
                          <w:r>
                            <w:rPr>
                              <w:szCs w:val="24"/>
                            </w:rPr>
                            <w:t>6</w:t>
                          </w:r>
                        </w:sdtContent>
                      </w:sdt>
                      <w:r>
                        <w:rPr>
                          <w:szCs w:val="24"/>
                        </w:rPr>
                        <w:t xml:space="preserve">. </w:t>
                      </w:r>
                      <w:r>
                        <w:rPr>
                          <w:i/>
                          <w:sz w:val="20"/>
                        </w:rPr>
                        <w:t>Neteko galios nuo 2022-07-22</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
                  <w:sdtPr>
                    <w:alias w:val="4 str. 7 d."/>
                    <w:tag w:val="part_bbb75fc1559543529257256eb591ca91"/>
                    <w:lock w:val="sdtLocked"/>
                    <w:richText/>
                  </w:sdtPr>
                  <w:sdtContent>
                    <w:p>
                      <w:pPr>
                        <w:ind w:firstLine="720"/>
                        <w:jc w:val="both"/>
                      </w:pPr>
                      <w:sdt>
                        <w:sdtPr>
                          <w:alias w:val="Numeris"/>
                          <w:tag w:val="nr_bbb75fc1559543529257256eb591ca91"/>
                          <w:lock w:val="sdtLocked"/>
                          <w:richText/>
                        </w:sdtPr>
                        <w:sdtContent>
                          <w:r>
                            <w:t>7</w:t>
                          </w:r>
                        </w:sdtContent>
                      </w:sdt>
                      <w:r>
                        <w:t>. Finansų įstaigos, teikiančios šio Įstatymo 3 straipsnio 1 dalies 2, 3 ir 21 punktuose nurodytas finansines paslaugas ir atitinkančios priežiūros institucijos nustatyta tvarka apskaičiuotą reikšmingumo kriterijų pagal užimamą rinkos dalį, priežiūros institucijai privalo teikti duomenis apie šio Įstatymo 3 straipsnio 1 dalies 2, 3 ir 21 punktuose nurodytų finansinių paslaugų gavėjus ir turi teisę naudotis šiais duomenimis priežiūros institucijos nustatyta tvarka. Priežiūros institucija savo nustatyta tvarka ir vadovaudamasi asmens duomenų apsaugą reglamentuojančiais teisės aktais turi teisę kaupti ir kitaip tvarkyti duomenis apie šio Įstatymo 3 straipsnio 1 dalies 2, 3 ir 21 punktuose nurodytų finansinių paslaugų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13e8aff2381d44de97fcabb29f35dad1"/>
                    <w:lock w:val="sdtLocked"/>
                    <w:richText/>
                  </w:sdtPr>
                  <w:sdtContent>
                    <w:p>
                      <w:pPr>
                        <w:ind w:firstLine="720"/>
                        <w:jc w:val="both"/>
                      </w:pPr>
                      <w:sdt>
                        <w:sdtPr>
                          <w:alias w:val="Numeris"/>
                          <w:tag w:val="nr_13e8aff2381d44de97fcabb29f35dad1"/>
                          <w:lock w:val="sdtLocked"/>
                          <w:richText/>
                        </w:sdtPr>
                        <w:sdtContent>
                          <w:r>
                            <w:rPr>
                              <w:szCs w:val="24"/>
                            </w:rPr>
                            <w:t>2</w:t>
                          </w:r>
                        </w:sdtContent>
                      </w:sdt>
                      <w:r>
                        <w:rPr>
                          <w:szCs w:val="24"/>
                        </w:rPr>
                        <w:t xml:space="preserve">. Licencines finansines paslaugas teikiančios finansų įstaigos kvalifikuotosios įstatinio kapitalo ir (arba) balsavimo teisių dalies įsigijimo, padidinimo, perleidimo ir sumažinimo tvarką nustato Lietuvos Respublikos įstatymai </w:t>
                      </w:r>
                      <w:r>
                        <w:rPr>
                          <w:bCs/>
                          <w:szCs w:val="24"/>
                        </w:rPr>
                        <w:t>arba</w:t>
                      </w:r>
                      <w:r>
                        <w:rPr>
                          <w:szCs w:val="24"/>
                        </w:rPr>
                        <w:t xml:space="preserve"> </w:t>
                      </w:r>
                      <w:r>
                        <w:rPr>
                          <w:bCs/>
                          <w:szCs w:val="24"/>
                        </w:rPr>
                        <w:t>Europos Sąjungos teisės aktai</w:t>
                      </w:r>
                      <w:r>
                        <w:rPr>
                          <w:szCs w:val="24"/>
                        </w:rPr>
                        <w:t>, reglamentuojantys finansinių paslaugų teikimą ir finansų įstaigų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ccb11ed9509c4356ad295f67fa37f6c5"/>
                    <w:lock w:val="sdtLocked"/>
                    <w:richText/>
                  </w:sdtPr>
                  <w:sdtContent>
                    <w:p>
                      <w:pPr>
                        <w:tabs>
                          <w:tab w:val="left" w:pos="1650"/>
                        </w:tabs>
                        <w:ind w:firstLine="720"/>
                        <w:jc w:val="both"/>
                        <w:rPr>
                          <w:color w:val="000000"/>
                        </w:rPr>
                      </w:pPr>
                      <w:sdt>
                        <w:sdtPr>
                          <w:alias w:val="Numeris"/>
                          <w:tag w:val="nr_ccb11ed9509c4356ad295f67fa37f6c5"/>
                          <w:lock w:val="sdtLocked"/>
                          <w:richText/>
                        </w:sdtPr>
                        <w:sdtContent>
                          <w:r>
                            <w:rPr>
                              <w:szCs w:val="24"/>
                            </w:rPr>
                            <w:t>3</w:t>
                          </w:r>
                        </w:sdtContent>
                      </w:sdt>
                      <w:r>
                        <w:rPr>
                          <w:szCs w:val="24"/>
                        </w:rPr>
                        <w:t xml:space="preserve">. Įregistruota finansų įstaiga arba veikianti įmonė, priėmusi sprendimą verstis finansinių paslaugų teikimu, gali pradėti teikti finansines paslaugas tik gavusi licenciją (leidimą) jas teikti, jeigu Lietuvos Respublikos įstatymai </w:t>
                      </w:r>
                      <w:r>
                        <w:rPr>
                          <w:bCs/>
                          <w:szCs w:val="24"/>
                        </w:rPr>
                        <w:t>ar</w:t>
                      </w:r>
                      <w:r>
                        <w:rPr>
                          <w:szCs w:val="24"/>
                        </w:rPr>
                        <w:t xml:space="preserve"> </w:t>
                      </w:r>
                      <w:r>
                        <w:rPr>
                          <w:bCs/>
                          <w:szCs w:val="24"/>
                        </w:rPr>
                        <w:t>Europos Sąjungos teisės aktai</w:t>
                      </w:r>
                      <w:r>
                        <w:rPr>
                          <w:szCs w:val="24"/>
                        </w:rPr>
                        <w:t xml:space="preserve"> nustato, kad tokia licencija (toks leidimas) yra būtina (būtinas).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4 d."/>
                    <w:tag w:val="part_8f729a5b45584f47a7cf20af7d8781c2"/>
                    <w:lock w:val="sdtLocked"/>
                    <w:richText/>
                  </w:sdtPr>
                  <w:sdtContent>
                    <w:p>
                      <w:pPr>
                        <w:ind w:firstLine="720"/>
                        <w:jc w:val="both"/>
                        <w:rPr>
                          <w:color w:val="000000"/>
                        </w:rPr>
                      </w:pPr>
                      <w:sdt>
                        <w:sdtPr>
                          <w:alias w:val="Numeris"/>
                          <w:tag w:val="nr_8f729a5b45584f47a7cf20af7d8781c2"/>
                          <w:lock w:val="sdtLocked"/>
                          <w:richText/>
                        </w:sdtPr>
                        <w:sdtContent>
                          <w:r>
                            <w:rPr>
                              <w:szCs w:val="24"/>
                            </w:rPr>
                            <w:t>4</w:t>
                          </w:r>
                        </w:sdtContent>
                      </w:sdt>
                      <w:r>
                        <w:rPr>
                          <w:szCs w:val="24"/>
                        </w:rPr>
                        <w:t xml:space="preserve">. Licencija (leidimas) teikti finansines paslaugas finansų įstaigai išduodama (išduodamas) Lietuvos Respublikos įstatymų </w:t>
                      </w:r>
                      <w:r>
                        <w:rPr>
                          <w:bCs/>
                          <w:szCs w:val="24"/>
                        </w:rPr>
                        <w:t>arba</w:t>
                      </w:r>
                      <w:r>
                        <w:rPr>
                          <w:szCs w:val="24"/>
                        </w:rPr>
                        <w:t xml:space="preserve"> </w:t>
                      </w:r>
                      <w:r>
                        <w:rPr>
                          <w:bCs/>
                          <w:szCs w:val="24"/>
                        </w:rPr>
                        <w:t>Europos Sąjungos teisės aktų</w:t>
                      </w:r>
                      <w:r>
                        <w:rPr>
                          <w:szCs w:val="24"/>
                        </w:rPr>
                        <w:t>, reglamentuojančių finansinių paslaugų teikimą ir finansų įstaigų veiklą,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979525effb5744658642dce50ad5832a"/>
                    <w:lock w:val="sdtLocked"/>
                    <w:richText/>
                  </w:sdtPr>
                  <w:sdtContent>
                    <w:p>
                      <w:pPr>
                        <w:ind w:firstLine="720"/>
                        <w:jc w:val="both"/>
                      </w:pPr>
                      <w:sdt>
                        <w:sdtPr>
                          <w:alias w:val="Numeris"/>
                          <w:tag w:val="nr_979525effb5744658642dce50ad5832a"/>
                          <w:lock w:val="sdtLocked"/>
                          <w:richText/>
                        </w:sdtPr>
                        <w:sdtContent>
                          <w:r>
                            <w:rPr>
                              <w:szCs w:val="24"/>
                            </w:rPr>
                            <w:t>6</w:t>
                          </w:r>
                        </w:sdtContent>
                      </w:sdt>
                      <w:r>
                        <w:rPr>
                          <w:szCs w:val="24"/>
                        </w:rPr>
                        <w:t xml:space="preserve">. Lietuvos Respublikos įstatymuose </w:t>
                      </w:r>
                      <w:r>
                        <w:rPr>
                          <w:bCs/>
                          <w:szCs w:val="24"/>
                        </w:rPr>
                        <w:t>arba</w:t>
                      </w:r>
                      <w:r>
                        <w:rPr>
                          <w:szCs w:val="24"/>
                        </w:rPr>
                        <w:t xml:space="preserve"> </w:t>
                      </w:r>
                      <w:r>
                        <w:rPr>
                          <w:bCs/>
                          <w:szCs w:val="24"/>
                        </w:rPr>
                        <w:t>Europos Sąjungos teisės aktuose</w:t>
                      </w:r>
                      <w:r>
                        <w:rPr>
                          <w:szCs w:val="24"/>
                        </w:rPr>
                        <w:t xml:space="preserve"> gali būti nustatyti ir kiti atvejai, kada yra būtinas priežiūros institucijos leidimas.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9a6927426f024534af26a11a94226481"/>
                        <w:lock w:val="sdtLocked"/>
                        <w:richText/>
                      </w:sdtPr>
                      <w:sdtContent>
                        <w:p>
                          <w:pPr>
                            <w:ind w:firstLine="720"/>
                            <w:jc w:val="both"/>
                            <w:rPr>
                              <w:color w:val="000000"/>
                            </w:rPr>
                          </w:pPr>
                          <w:sdt>
                            <w:sdtPr>
                              <w:alias w:val="Numeris"/>
                              <w:tag w:val="nr_9a6927426f024534af26a11a94226481"/>
                              <w:lock w:val="sdtLocked"/>
                              <w:richText/>
                            </w:sdtPr>
                            <w:sdtContent>
                              <w:r>
                                <w:rPr>
                                  <w:szCs w:val="24"/>
                                </w:rPr>
                                <w:t>9</w:t>
                              </w:r>
                            </w:sdtContent>
                          </w:sdt>
                          <w:r>
                            <w:rPr>
                              <w:szCs w:val="24"/>
                            </w:rPr>
                            <w:t xml:space="preserve">) kitais Lietuvos Respublikos įstatymų </w:t>
                          </w:r>
                          <w:r>
                            <w:rPr>
                              <w:bCs/>
                              <w:szCs w:val="24"/>
                            </w:rPr>
                            <w:t>arba</w:t>
                          </w:r>
                          <w:r>
                            <w:rPr>
                              <w:szCs w:val="24"/>
                            </w:rPr>
                            <w:t xml:space="preserve"> </w:t>
                          </w:r>
                          <w:r>
                            <w:rPr>
                              <w:bCs/>
                              <w:szCs w:val="24"/>
                            </w:rPr>
                            <w:t>Europos Sąjungos teisės aktų</w:t>
                          </w:r>
                          <w:r>
                            <w:rPr>
                              <w:szCs w:val="24"/>
                            </w:rPr>
                            <w:t xml:space="preserv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03fce37c16a543cb9cd37ec0dd4be22d"/>
                    <w:lock w:val="sdtLocked"/>
                    <w:richText/>
                  </w:sdtPr>
                  <w:sdtContent>
                    <w:p>
                      <w:pPr>
                        <w:ind w:firstLine="720"/>
                        <w:jc w:val="both"/>
                        <w:rPr>
                          <w:color w:val="000000"/>
                        </w:rPr>
                      </w:pPr>
                      <w:sdt>
                        <w:sdtPr>
                          <w:alias w:val="Numeris"/>
                          <w:tag w:val="nr_03fce37c16a543cb9cd37ec0dd4be22d"/>
                          <w:lock w:val="sdtLocked"/>
                          <w:richText/>
                        </w:sdtPr>
                        <w:sdtContent>
                          <w:r>
                            <w:rPr>
                              <w:szCs w:val="24"/>
                            </w:rPr>
                            <w:t>1</w:t>
                          </w:r>
                        </w:sdtContent>
                      </w:sdt>
                      <w:r>
                        <w:rPr>
                          <w:szCs w:val="24"/>
                        </w:rPr>
                        <w:t xml:space="preserve">.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w:t>
                      </w:r>
                      <w:r>
                        <w:rPr>
                          <w:bCs/>
                          <w:szCs w:val="24"/>
                        </w:rPr>
                        <w:t>arba Europos Sąjungos teisės aktai</w:t>
                      </w:r>
                      <w:r>
                        <w:rPr>
                          <w:szCs w:val="24"/>
                        </w:rPr>
                        <w:t>, reglamentuojantys finansinių paslaugų teikimą ir finansų įstaigų veiklą, nenustato ko kita.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edc51d62f13d4821a5d70d05d3e0edf3"/>
                <w:lock w:val="sdtLocked"/>
                <w:richText/>
              </w:sdtPr>
              <w:sdtContent>
                <w:p>
                  <w:pPr>
                    <w:tabs>
                      <w:tab w:val="left" w:pos="320"/>
                    </w:tabs>
                    <w:ind w:firstLine="720"/>
                    <w:jc w:val="both"/>
                    <w:rPr>
                      <w:szCs w:val="24"/>
                    </w:rPr>
                  </w:pPr>
                  <w:sdt>
                    <w:sdtPr>
                      <w:alias w:val="Numeris"/>
                      <w:tag w:val="nr_edc51d62f13d4821a5d70d05d3e0edf3"/>
                      <w:lock w:val="sdtLocked"/>
                      <w:richText/>
                    </w:sdtPr>
                    <w:sdtContent>
                      <w:r>
                        <w:rPr>
                          <w:b/>
                          <w:bCs/>
                          <w:szCs w:val="24"/>
                        </w:rPr>
                        <w:t>16</w:t>
                      </w:r>
                    </w:sdtContent>
                  </w:sdt>
                  <w:r>
                    <w:rPr>
                      <w:b/>
                      <w:bCs/>
                      <w:szCs w:val="24"/>
                    </w:rPr>
                    <w:t xml:space="preserve"> straipsnis. </w:t>
                  </w:r>
                  <w:sdt>
                    <w:sdtPr>
                      <w:alias w:val="Pavadinimas"/>
                      <w:tag w:val="title_edc51d62f13d4821a5d70d05d3e0edf3"/>
                      <w:lock w:val="sdtLocked"/>
                      <w:richText/>
                    </w:sdtPr>
                    <w:sdtContent>
                      <w:r>
                        <w:rPr>
                          <w:b/>
                          <w:bCs/>
                          <w:szCs w:val="24"/>
                        </w:rPr>
                        <w:t>Finansų įstaigos</w:t>
                      </w:r>
                      <w:r>
                        <w:rPr>
                          <w:b/>
                          <w:szCs w:val="24"/>
                        </w:rPr>
                        <w:t xml:space="preserve"> </w:t>
                      </w:r>
                      <w:r>
                        <w:rPr>
                          <w:b/>
                          <w:bCs/>
                          <w:szCs w:val="24"/>
                        </w:rPr>
                        <w:t>organai</w:t>
                      </w:r>
                    </w:sdtContent>
                  </w:sdt>
                </w:p>
                <w:sdt>
                  <w:sdtPr>
                    <w:alias w:val="16 str. 1 d."/>
                    <w:tag w:val="part_cfd31bd46f0d48c08975678bb729682a"/>
                    <w:lock w:val="sdtLocked"/>
                    <w:richText/>
                  </w:sdtPr>
                  <w:sdtContent>
                    <w:p>
                      <w:pPr>
                        <w:ind w:firstLine="720"/>
                        <w:jc w:val="both"/>
                      </w:pPr>
                      <w:r>
                        <w:rPr>
                          <w:szCs w:val="24"/>
                        </w:rPr>
                        <w:t>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w:t>
                      </w:r>
                      <w:r>
                        <w:rPr>
                          <w:bCs/>
                          <w:szCs w:val="24"/>
                        </w:rPr>
                        <w:t xml:space="preserve"> arba Europos Sąjungos teisės aktai</w:t>
                      </w:r>
                      <w:r>
                        <w:rPr>
                          <w:szCs w:val="24"/>
                        </w:rPr>
                        <w:t>, reglamentuojantys finansinių paslaugų teikimą ir finansų įstaigų veiklą, nenustato ko kita.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585cd07b4cc5402eb2aecbd28c2a117f"/>
                <w:lock w:val="sdtLocked"/>
                <w:richText/>
              </w:sdtPr>
              <w:sdtContent>
                <w:p>
                  <w:pPr>
                    <w:ind w:firstLine="720"/>
                    <w:jc w:val="both"/>
                    <w:rPr>
                      <w:b/>
                      <w:szCs w:val="24"/>
                    </w:rPr>
                  </w:pPr>
                  <w:sdt>
                    <w:sdtPr>
                      <w:alias w:val="Numeris"/>
                      <w:tag w:val="nr_585cd07b4cc5402eb2aecbd28c2a117f"/>
                      <w:lock w:val="sdtLocked"/>
                      <w:richText/>
                    </w:sdtPr>
                    <w:sdtContent>
                      <w:r>
                        <w:rPr>
                          <w:b/>
                          <w:bCs/>
                          <w:szCs w:val="24"/>
                        </w:rPr>
                        <w:t>18</w:t>
                      </w:r>
                    </w:sdtContent>
                  </w:sdt>
                  <w:r>
                    <w:rPr>
                      <w:b/>
                      <w:bCs/>
                      <w:szCs w:val="24"/>
                    </w:rPr>
                    <w:t xml:space="preserve"> straipsnis. </w:t>
                  </w:r>
                  <w:sdt>
                    <w:sdtPr>
                      <w:alias w:val="Pavadinimas"/>
                      <w:tag w:val="title_585cd07b4cc5402eb2aecbd28c2a117f"/>
                      <w:lock w:val="sdtLocked"/>
                      <w:richText/>
                    </w:sdtPr>
                    <w:sdtContent>
                      <w:r>
                        <w:rPr>
                          <w:b/>
                          <w:bCs/>
                          <w:szCs w:val="24"/>
                        </w:rPr>
                        <w:t>Finansų įstaigos</w:t>
                      </w:r>
                      <w:r>
                        <w:rPr>
                          <w:b/>
                          <w:szCs w:val="24"/>
                        </w:rPr>
                        <w:t xml:space="preserve"> </w:t>
                      </w:r>
                      <w:r>
                        <w:rPr>
                          <w:b/>
                          <w:bCs/>
                          <w:szCs w:val="24"/>
                        </w:rPr>
                        <w:t>kolegialių organų posėdžiai</w:t>
                      </w:r>
                    </w:sdtContent>
                  </w:sdt>
                </w:p>
                <w:sdt>
                  <w:sdtPr>
                    <w:alias w:val="18 str. 1 d."/>
                    <w:tag w:val="part_c83b70a7bf2c4a328f70bf42b55e9123"/>
                    <w:lock w:val="sdtLocked"/>
                    <w:richText/>
                  </w:sdtPr>
                  <w:sdtContent>
                    <w:p>
                      <w:pPr>
                        <w:ind w:firstLine="720"/>
                        <w:jc w:val="both"/>
                      </w:pPr>
                      <w:r>
                        <w:rPr>
                          <w:szCs w:val="24"/>
                        </w:rPr>
                        <w:t>Finansų įstaigos kolegialių organų posėdžiai protokoluojami Lietuvos Respublikos įstatymų, reglamentuojančių finansinių paslaugų teikimą ir finansų įstaigų veiklą, bei kitų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19 str."/>
                <w:tag w:val="part_77730a8515af4ec597e4c26adf07bb7f"/>
                <w:lock w:val="sdtLocked"/>
                <w:richText/>
              </w:sdtPr>
              <w:sdtContent>
                <w:p>
                  <w:pPr>
                    <w:ind w:firstLine="720"/>
                    <w:jc w:val="both"/>
                    <w:rPr>
                      <w:szCs w:val="24"/>
                    </w:rPr>
                  </w:pPr>
                  <w:sdt>
                    <w:sdtPr>
                      <w:alias w:val="Numeris"/>
                      <w:tag w:val="nr_77730a8515af4ec597e4c26adf07bb7f"/>
                      <w:lock w:val="sdtLocked"/>
                      <w:richText/>
                    </w:sdtPr>
                    <w:sdtContent>
                      <w:r>
                        <w:rPr>
                          <w:b/>
                          <w:szCs w:val="24"/>
                        </w:rPr>
                        <w:t>19</w:t>
                      </w:r>
                    </w:sdtContent>
                  </w:sdt>
                  <w:r>
                    <w:rPr>
                      <w:b/>
                      <w:szCs w:val="24"/>
                    </w:rPr>
                    <w:t xml:space="preserve"> straipsnis. </w:t>
                  </w:r>
                  <w:sdt>
                    <w:sdtPr>
                      <w:alias w:val="Pavadinimas"/>
                      <w:tag w:val="title_77730a8515af4ec597e4c26adf07bb7f"/>
                      <w:lock w:val="sdtLocked"/>
                      <w:richText/>
                    </w:sdtPr>
                    <w:sdtContent>
                      <w:r>
                        <w:rPr>
                          <w:b/>
                          <w:szCs w:val="24"/>
                        </w:rPr>
                        <w:t>Finansų įstaigos administracija</w:t>
                      </w:r>
                    </w:sdtContent>
                  </w:sdt>
                </w:p>
                <w:sdt>
                  <w:sdtPr>
                    <w:alias w:val="19 str. 1 d."/>
                    <w:tag w:val="part_58d5d742d28d4d00a32fcdbcae7ba79d"/>
                    <w:lock w:val="sdtLocked"/>
                    <w:richText/>
                  </w:sdtPr>
                  <w:sdtContent>
                    <w:p>
                      <w:pPr>
                        <w:ind w:firstLine="720"/>
                        <w:jc w:val="both"/>
                        <w:rPr>
                          <w:szCs w:val="24"/>
                        </w:rPr>
                      </w:pPr>
                      <w:sdt>
                        <w:sdtPr>
                          <w:alias w:val="Numeris"/>
                          <w:tag w:val="nr_58d5d742d28d4d00a32fcdbcae7ba79d"/>
                          <w:lock w:val="sdtLocked"/>
                          <w:richText/>
                        </w:sdtPr>
                        <w:sdtContent>
                          <w:r>
                            <w:rPr>
                              <w:szCs w:val="24"/>
                            </w:rPr>
                            <w:t>1</w:t>
                          </w:r>
                        </w:sdtContent>
                      </w:sdt>
                      <w:r>
                        <w:rPr>
                          <w:szCs w:val="24"/>
                        </w:rPr>
                        <w:t xml:space="preserve">. Finansų įstaigos administracijos sudarymo tvarką, įgaliojimus, jos funkcijas, pareigas ir darbo tvarką nustato Lietuvos Respublikos įstatymai arba </w:t>
                      </w:r>
                      <w:r>
                        <w:rPr>
                          <w:bCs/>
                          <w:szCs w:val="24"/>
                        </w:rPr>
                        <w:t>Europos Sąjungos teisės aktai</w:t>
                      </w:r>
                      <w:r>
                        <w:rPr>
                          <w:szCs w:val="24"/>
                        </w:rPr>
                        <w:t>, reglamentuojantys finansinių paslaugų teikimą ir finansų įstaigų veiklą bei atitinkamos teisinės formos, kurios pagrindu veikia finansų įstaiga, juridinio asmens veiklą.</w:t>
                      </w:r>
                    </w:p>
                  </w:sdtContent>
                </w:sdt>
                <w:sdt>
                  <w:sdtPr>
                    <w:alias w:val="19 str. 2 d."/>
                    <w:tag w:val="part_0f44e8eafc8244d58da1a40869ffb94e"/>
                    <w:lock w:val="sdtLocked"/>
                    <w:richText/>
                  </w:sdtPr>
                  <w:sdtContent>
                    <w:p>
                      <w:pPr>
                        <w:ind w:firstLine="720"/>
                        <w:jc w:val="both"/>
                        <w:rPr>
                          <w:szCs w:val="24"/>
                          <w:lang w:eastAsia="lt-LT"/>
                        </w:rPr>
                      </w:pPr>
                      <w:sdt>
                        <w:sdtPr>
                          <w:alias w:val="Numeris"/>
                          <w:tag w:val="nr_0f44e8eafc8244d58da1a40869ffb94e"/>
                          <w:lock w:val="sdtLocked"/>
                          <w:richText/>
                        </w:sdtPr>
                        <w:sdtContent>
                          <w:r>
                            <w:rPr>
                              <w:szCs w:val="24"/>
                              <w:lang w:eastAsia="lt-LT"/>
                            </w:rPr>
                            <w:t>2</w:t>
                          </w:r>
                        </w:sdtContent>
                      </w:sdt>
                      <w:r>
                        <w:rPr>
                          <w:szCs w:val="24"/>
                          <w:lang w:eastAsia="lt-LT"/>
                        </w:rPr>
                        <w:t xml:space="preserve">. Finansų įstaigos administracijoje, jeigu Lietuvos Respublikos įstatymai </w:t>
                      </w:r>
                      <w:r>
                        <w:rPr>
                          <w:szCs w:val="24"/>
                        </w:rPr>
                        <w:t xml:space="preserve">ar </w:t>
                      </w:r>
                      <w:r>
                        <w:rPr>
                          <w:bCs/>
                          <w:szCs w:val="24"/>
                        </w:rPr>
                        <w:t>Europos Sąjungos teisės aktai</w:t>
                      </w:r>
                      <w:r>
                        <w:rPr>
                          <w:szCs w:val="24"/>
                          <w:lang w:eastAsia="lt-LT"/>
                        </w:rPr>
                        <w:t>,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w:t>
                      </w:r>
                    </w:p>
                    <w:sdt>
                      <w:sdtPr>
                        <w:alias w:val="19 str. 2 d. 1 p."/>
                        <w:tag w:val="part_fd259456d9454eaab2a53c2cddadae8e"/>
                        <w:lock w:val="sdtLocked"/>
                        <w:richText/>
                      </w:sdtPr>
                      <w:sdtContent>
                        <w:p>
                          <w:pPr>
                            <w:ind w:firstLine="720"/>
                            <w:jc w:val="both"/>
                            <w:rPr>
                              <w:szCs w:val="24"/>
                              <w:lang w:eastAsia="lt-LT"/>
                            </w:rPr>
                          </w:pPr>
                          <w:sdt>
                            <w:sdtPr>
                              <w:alias w:val="Numeris"/>
                              <w:tag w:val="nr_fd259456d9454eaab2a53c2cddadae8e"/>
                              <w:lock w:val="sdtLocked"/>
                              <w:richText/>
                            </w:sdtPr>
                            <w:sdtContent>
                              <w:r>
                                <w:rPr>
                                  <w:szCs w:val="24"/>
                                  <w:lang w:eastAsia="lt-LT"/>
                                </w:rPr>
                                <w:t>1</w:t>
                              </w:r>
                            </w:sdtContent>
                          </w:sdt>
                          <w:r>
                            <w:rPr>
                              <w:szCs w:val="24"/>
                              <w:lang w:eastAsia="lt-LT"/>
                            </w:rPr>
                            <w:t>) teisę veikti ir sudaryti sandorius gali tik abu administracijos vadovai, veikdami kartu ir turėdami bendrą nuomonę;</w:t>
                          </w:r>
                        </w:p>
                      </w:sdtContent>
                    </w:sdt>
                    <w:sdt>
                      <w:sdtPr>
                        <w:alias w:val="19 str. 2 d. 2 p."/>
                        <w:tag w:val="part_9e0e30a9d6734ed4abd26e19117eef57"/>
                        <w:lock w:val="sdtLocked"/>
                        <w:richText/>
                      </w:sdtPr>
                      <w:sdtContent>
                        <w:p>
                          <w:pPr>
                            <w:ind w:firstLine="720"/>
                            <w:jc w:val="both"/>
                          </w:pPr>
                          <w:sdt>
                            <w:sdtPr>
                              <w:alias w:val="Numeris"/>
                              <w:tag w:val="nr_9e0e30a9d6734ed4abd26e19117eef57"/>
                              <w:lock w:val="sdtLocked"/>
                              <w:richText/>
                            </w:sdtPr>
                            <w:sdtContent>
                              <w:r>
                                <w:rPr>
                                  <w:szCs w:val="24"/>
                                  <w:lang w:eastAsia="lt-LT"/>
                                </w:rPr>
                                <w:t>2</w:t>
                              </w:r>
                            </w:sdtContent>
                          </w:sdt>
                          <w:r>
                            <w:rPr>
                              <w:szCs w:val="24"/>
                              <w:lang w:eastAsia="lt-LT"/>
                            </w:rPr>
                            <w:t>) teisę veikti ir sudaryti sandorius gali savarankiškai ir administracijos vadovas, ir jo pavaduotojas arba jų įgalioti asmenys.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662534305cf145cca9cc2abdebeb2eee"/>
                        <w:lock w:val="sdtLocked"/>
                        <w:richText/>
                      </w:sdtPr>
                      <w:sdtContent>
                        <w:p>
                          <w:pPr>
                            <w:ind w:firstLine="720"/>
                            <w:jc w:val="both"/>
                          </w:pPr>
                          <w:sdt>
                            <w:sdtPr>
                              <w:alias w:val="Numeris"/>
                              <w:tag w:val="nr_662534305cf145cca9cc2abdebeb2eee"/>
                              <w:lock w:val="sdtLocked"/>
                              <w:richText/>
                            </w:sdtPr>
                            <w:sdtContent>
                              <w:r>
                                <w:rPr>
                                  <w:szCs w:val="24"/>
                                </w:rPr>
                                <w:t>5</w:t>
                              </w:r>
                            </w:sdtContent>
                          </w:sdt>
                          <w:r>
                            <w:rPr>
                              <w:szCs w:val="24"/>
                            </w:rPr>
                            <w:t>) neatitinka kituose Lietuvos Respublikos įstatymuose</w:t>
                          </w:r>
                          <w:r>
                            <w:rPr>
                              <w:bCs/>
                              <w:szCs w:val="24"/>
                            </w:rPr>
                            <w:t xml:space="preserve">, jų įgyvendinamuosiuose teisės aktuose ar Europos Sąjungos </w:t>
                          </w:r>
                          <w:r>
                            <w:rPr>
                              <w:szCs w:val="24"/>
                            </w:rPr>
                            <w:t>teisės aktuose vadovams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228b1148bb5c4d0cb56aca7f6cd3c9d8"/>
                    <w:lock w:val="sdtLocked"/>
                    <w:richText/>
                  </w:sdtPr>
                  <w:sdtContent>
                    <w:p>
                      <w:pPr>
                        <w:ind w:firstLine="720"/>
                        <w:jc w:val="both"/>
                        <w:rPr>
                          <w:szCs w:val="24"/>
                        </w:rPr>
                      </w:pPr>
                      <w:sdt>
                        <w:sdtPr>
                          <w:alias w:val="Numeris"/>
                          <w:tag w:val="nr_228b1148bb5c4d0cb56aca7f6cd3c9d8"/>
                          <w:lock w:val="sdtLocked"/>
                          <w:richText/>
                        </w:sdtPr>
                        <w:sdtContent>
                          <w:r>
                            <w:rPr>
                              <w:szCs w:val="24"/>
                            </w:rPr>
                            <w:t>2</w:t>
                          </w:r>
                        </w:sdtContent>
                      </w:sdt>
                      <w:r>
                        <w:rPr>
                          <w:szCs w:val="24"/>
                        </w:rPr>
                        <w:t xml:space="preserve">. Finansų įstaigos nuosavą kapitalą, jeigu Lietuvos Respublikos įstatymai </w:t>
                      </w:r>
                      <w:r>
                        <w:rPr>
                          <w:bCs/>
                          <w:szCs w:val="24"/>
                        </w:rPr>
                        <w:t>ar Europos Sąjungos teisės aktai</w:t>
                      </w:r>
                      <w:r>
                        <w:rPr>
                          <w:szCs w:val="24"/>
                        </w:rPr>
                        <w:t xml:space="preserve">, reglamentuojantys finansinių paslaugų teikimą ir finansų įstaigų veiklą, nenustato ko kita, sudaro: </w:t>
                      </w:r>
                    </w:p>
                    <w:sdt>
                      <w:sdtPr>
                        <w:alias w:val="26 str. 2 d. 1 p."/>
                        <w:tag w:val="part_36fc3a3de80a4b8883eb62eb7468374d"/>
                        <w:lock w:val="sdtLocked"/>
                        <w:richText/>
                      </w:sdtPr>
                      <w:sdtContent>
                        <w:p>
                          <w:pPr>
                            <w:ind w:firstLine="720"/>
                            <w:jc w:val="both"/>
                            <w:rPr>
                              <w:szCs w:val="24"/>
                            </w:rPr>
                          </w:pPr>
                          <w:sdt>
                            <w:sdtPr>
                              <w:alias w:val="Numeris"/>
                              <w:tag w:val="nr_36fc3a3de80a4b8883eb62eb7468374d"/>
                              <w:lock w:val="sdtLocked"/>
                              <w:richText/>
                            </w:sdtPr>
                            <w:sdtContent>
                              <w:r>
                                <w:rPr>
                                  <w:szCs w:val="24"/>
                                </w:rPr>
                                <w:t>1</w:t>
                              </w:r>
                            </w:sdtContent>
                          </w:sdt>
                          <w:r>
                            <w:rPr>
                              <w:szCs w:val="24"/>
                            </w:rPr>
                            <w:t xml:space="preserve">) įstatinis kapitalas (apmokėtas akcinis kapitalas) arba pajinis kapitalas; </w:t>
                          </w:r>
                        </w:p>
                      </w:sdtContent>
                    </w:sdt>
                    <w:sdt>
                      <w:sdtPr>
                        <w:alias w:val="26 str. 2 d. 2 p."/>
                        <w:tag w:val="part_769740ae56904b2c947252b9bfb771f1"/>
                        <w:lock w:val="sdtLocked"/>
                        <w:richText/>
                      </w:sdtPr>
                      <w:sdtContent>
                        <w:p>
                          <w:pPr>
                            <w:ind w:firstLine="720"/>
                            <w:jc w:val="both"/>
                            <w:rPr>
                              <w:szCs w:val="24"/>
                            </w:rPr>
                          </w:pPr>
                          <w:sdt>
                            <w:sdtPr>
                              <w:alias w:val="Numeris"/>
                              <w:tag w:val="nr_769740ae56904b2c947252b9bfb771f1"/>
                              <w:lock w:val="sdtLocked"/>
                              <w:richText/>
                            </w:sdtPr>
                            <w:sdtContent>
                              <w:r>
                                <w:rPr>
                                  <w:szCs w:val="24"/>
                                </w:rPr>
                                <w:t>2</w:t>
                              </w:r>
                            </w:sdtContent>
                          </w:sdt>
                          <w:r>
                            <w:rPr>
                              <w:szCs w:val="24"/>
                            </w:rPr>
                            <w:t xml:space="preserve">) kapitalo rezervas; </w:t>
                          </w:r>
                        </w:p>
                      </w:sdtContent>
                    </w:sdt>
                    <w:sdt>
                      <w:sdtPr>
                        <w:alias w:val="26 str. 2 d. 3 p."/>
                        <w:tag w:val="part_55238f5720e944b19637f1357d8c3477"/>
                        <w:lock w:val="sdtLocked"/>
                        <w:richText/>
                      </w:sdtPr>
                      <w:sdtContent>
                        <w:p>
                          <w:pPr>
                            <w:ind w:firstLine="720"/>
                            <w:jc w:val="both"/>
                            <w:rPr>
                              <w:szCs w:val="24"/>
                            </w:rPr>
                          </w:pPr>
                          <w:sdt>
                            <w:sdtPr>
                              <w:alias w:val="Numeris"/>
                              <w:tag w:val="nr_55238f5720e944b19637f1357d8c3477"/>
                              <w:lock w:val="sdtLocked"/>
                              <w:richText/>
                            </w:sdtPr>
                            <w:sdtContent>
                              <w:r>
                                <w:rPr>
                                  <w:szCs w:val="24"/>
                                </w:rPr>
                                <w:t>3</w:t>
                              </w:r>
                            </w:sdtContent>
                          </w:sdt>
                          <w:r>
                            <w:rPr>
                              <w:szCs w:val="24"/>
                            </w:rPr>
                            <w:t xml:space="preserve">) ilgalaikio materialiojo turto perkainojimo rezervas; </w:t>
                          </w:r>
                        </w:p>
                      </w:sdtContent>
                    </w:sdt>
                    <w:sdt>
                      <w:sdtPr>
                        <w:alias w:val="26 str. 2 d. 4 p."/>
                        <w:tag w:val="part_102dc5204db0446cb2f1b1c53a5194d1"/>
                        <w:lock w:val="sdtLocked"/>
                        <w:richText/>
                      </w:sdtPr>
                      <w:sdtContent>
                        <w:p>
                          <w:pPr>
                            <w:ind w:firstLine="720"/>
                            <w:jc w:val="both"/>
                            <w:rPr>
                              <w:szCs w:val="24"/>
                            </w:rPr>
                          </w:pPr>
                          <w:sdt>
                            <w:sdtPr>
                              <w:alias w:val="Numeris"/>
                              <w:tag w:val="nr_102dc5204db0446cb2f1b1c53a5194d1"/>
                              <w:lock w:val="sdtLocked"/>
                              <w:richText/>
                            </w:sdtPr>
                            <w:sdtContent>
                              <w:r>
                                <w:rPr>
                                  <w:szCs w:val="24"/>
                                </w:rPr>
                                <w:t>4</w:t>
                              </w:r>
                            </w:sdtContent>
                          </w:sdt>
                          <w:r>
                            <w:rPr>
                              <w:szCs w:val="24"/>
                            </w:rPr>
                            <w:t xml:space="preserve">) finansinio turto perkainojimo rezervas; </w:t>
                          </w:r>
                        </w:p>
                      </w:sdtContent>
                    </w:sdt>
                    <w:sdt>
                      <w:sdtPr>
                        <w:alias w:val="26 str. 2 d. 5 p."/>
                        <w:tag w:val="part_107da6a622de4d1e8d18b0d58b94f171"/>
                        <w:lock w:val="sdtLocked"/>
                        <w:richText/>
                      </w:sdtPr>
                      <w:sdtContent>
                        <w:p>
                          <w:pPr>
                            <w:ind w:firstLine="720"/>
                            <w:jc w:val="both"/>
                            <w:rPr>
                              <w:szCs w:val="24"/>
                            </w:rPr>
                          </w:pPr>
                          <w:sdt>
                            <w:sdtPr>
                              <w:alias w:val="Numeris"/>
                              <w:tag w:val="nr_107da6a622de4d1e8d18b0d58b94f171"/>
                              <w:lock w:val="sdtLocked"/>
                              <w:richText/>
                            </w:sdtPr>
                            <w:sdtContent>
                              <w:r>
                                <w:rPr>
                                  <w:szCs w:val="24"/>
                                </w:rPr>
                                <w:t>5</w:t>
                              </w:r>
                            </w:sdtContent>
                          </w:sdt>
                          <w:r>
                            <w:rPr>
                              <w:szCs w:val="24"/>
                            </w:rPr>
                            <w:t xml:space="preserve">) privalomas rezervas arba rezervinis kapitalas; </w:t>
                          </w:r>
                        </w:p>
                      </w:sdtContent>
                    </w:sdt>
                    <w:sdt>
                      <w:sdtPr>
                        <w:alias w:val="26 str. 2 d. 6 p."/>
                        <w:tag w:val="part_5704db00bcac4baba988cc9ffc80049c"/>
                        <w:lock w:val="sdtLocked"/>
                        <w:richText/>
                      </w:sdtPr>
                      <w:sdtContent>
                        <w:p>
                          <w:pPr>
                            <w:ind w:firstLine="720"/>
                            <w:jc w:val="both"/>
                            <w:rPr>
                              <w:szCs w:val="24"/>
                            </w:rPr>
                          </w:pPr>
                          <w:sdt>
                            <w:sdtPr>
                              <w:alias w:val="Numeris"/>
                              <w:tag w:val="nr_5704db00bcac4baba988cc9ffc80049c"/>
                              <w:lock w:val="sdtLocked"/>
                              <w:richText/>
                            </w:sdtPr>
                            <w:sdtContent>
                              <w:r>
                                <w:rPr>
                                  <w:szCs w:val="24"/>
                                </w:rPr>
                                <w:t>6</w:t>
                              </w:r>
                            </w:sdtContent>
                          </w:sdt>
                          <w:r>
                            <w:rPr>
                              <w:szCs w:val="24"/>
                            </w:rPr>
                            <w:t xml:space="preserve">) atsargos rezervas; </w:t>
                          </w:r>
                        </w:p>
                      </w:sdtContent>
                    </w:sdt>
                    <w:sdt>
                      <w:sdtPr>
                        <w:alias w:val="26 str. 2 d. 7 p."/>
                        <w:tag w:val="part_710889dd621d44fba4b1154c88aa5be9"/>
                        <w:lock w:val="sdtLocked"/>
                        <w:richText/>
                      </w:sdtPr>
                      <w:sdtContent>
                        <w:p>
                          <w:pPr>
                            <w:ind w:firstLine="720"/>
                            <w:jc w:val="both"/>
                            <w:rPr>
                              <w:szCs w:val="24"/>
                            </w:rPr>
                          </w:pPr>
                          <w:sdt>
                            <w:sdtPr>
                              <w:alias w:val="Numeris"/>
                              <w:tag w:val="nr_710889dd621d44fba4b1154c88aa5be9"/>
                              <w:lock w:val="sdtLocked"/>
                              <w:richText/>
                            </w:sdtPr>
                            <w:sdtContent>
                              <w:r>
                                <w:rPr>
                                  <w:szCs w:val="24"/>
                                </w:rPr>
                                <w:t>7</w:t>
                              </w:r>
                            </w:sdtContent>
                          </w:sdt>
                          <w:r>
                            <w:rPr>
                              <w:szCs w:val="24"/>
                            </w:rPr>
                            <w:t xml:space="preserve">) kiti rezervai; </w:t>
                          </w:r>
                        </w:p>
                      </w:sdtContent>
                    </w:sdt>
                    <w:sdt>
                      <w:sdtPr>
                        <w:alias w:val="26 str. 2 d. 8 p."/>
                        <w:tag w:val="part_e5c6fe2bd9ea438693567dc83edd50df"/>
                        <w:lock w:val="sdtLocked"/>
                        <w:richText/>
                      </w:sdtPr>
                      <w:sdtContent>
                        <w:p>
                          <w:pPr>
                            <w:ind w:firstLine="720"/>
                            <w:jc w:val="both"/>
                          </w:pPr>
                          <w:sdt>
                            <w:sdtPr>
                              <w:alias w:val="Numeris"/>
                              <w:tag w:val="nr_e5c6fe2bd9ea438693567dc83edd50df"/>
                              <w:lock w:val="sdtLocked"/>
                              <w:richText/>
                            </w:sdtPr>
                            <w:sdtContent>
                              <w:r>
                                <w:rPr>
                                  <w:szCs w:val="24"/>
                                </w:rPr>
                                <w:t>8</w:t>
                              </w:r>
                            </w:sdtContent>
                          </w:sdt>
                          <w:r>
                            <w:rPr>
                              <w:szCs w:val="24"/>
                            </w:rPr>
                            <w:t>) nepaskirstytasis pelnas (nuostolis).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1767cb3ce72b4ca0901508160617e430"/>
                        <w:lock w:val="sdtLocked"/>
                        <w:richText/>
                      </w:sdtPr>
                      <w:sdtContent>
                        <w:p>
                          <w:pPr>
                            <w:ind w:firstLine="720"/>
                            <w:jc w:val="both"/>
                            <w:rPr>
                              <w:color w:val="000000"/>
                            </w:rPr>
                          </w:pPr>
                          <w:sdt>
                            <w:sdtPr>
                              <w:alias w:val="Numeris"/>
                              <w:tag w:val="nr_1767cb3ce72b4ca0901508160617e430"/>
                              <w:lock w:val="sdtLocked"/>
                              <w:richText/>
                            </w:sdtPr>
                            <w:sdtContent>
                              <w:r>
                                <w:rPr>
                                  <w:szCs w:val="24"/>
                                  <w:lang w:eastAsia="lt-LT"/>
                                </w:rPr>
                                <w:t>1</w:t>
                              </w:r>
                            </w:sdtContent>
                          </w:sdt>
                          <w:r>
                            <w:rPr>
                              <w:szCs w:val="24"/>
                              <w:lang w:eastAsia="lt-LT"/>
                            </w:rPr>
                            <w:t xml:space="preserve">) kliento arba trečiojo asmens turto, kuris jau įkeistas pagal kitą sandorį, įkeitimo, išskyrus atvejį, kai šio turto įkeitimas yra įregistruotas </w:t>
                          </w:r>
                          <w:r>
                            <w:rPr>
                              <w:color w:val="000000"/>
                              <w:szCs w:val="24"/>
                              <w:lang w:eastAsia="lt-LT"/>
                            </w:rPr>
                            <w:t xml:space="preserve">priklausomai nuo įkeisto turto – </w:t>
                          </w:r>
                          <w:r>
                            <w:rPr>
                              <w:bCs/>
                              <w:iCs/>
                              <w:szCs w:val="24"/>
                              <w:lang w:eastAsia="lt-LT"/>
                            </w:rPr>
                            <w:t xml:space="preserve">Nekilnojamojo turto registre arba Sutarčių ir teisių suvaržymų </w:t>
                          </w:r>
                          <w:r>
                            <w:rPr>
                              <w:szCs w:val="24"/>
                              <w:lang w:eastAsia="lt-LT"/>
                            </w:rPr>
                            <w:t>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2 p."/>
                        <w:tag w:val="part_5049800bae204bdfb0748d1c968ec9fe"/>
                        <w:lock w:val="sdtLocked"/>
                        <w:richText/>
                      </w:sdtPr>
                      <w:sdtContent>
                        <w:p>
                          <w:pPr>
                            <w:ind w:firstLine="720"/>
                            <w:jc w:val="both"/>
                            <w:rPr>
                              <w:color w:val="000000"/>
                            </w:rPr>
                          </w:pPr>
                          <w:sdt>
                            <w:sdtPr>
                              <w:alias w:val="Numeris"/>
                              <w:tag w:val="nr_5049800bae204bdfb0748d1c968ec9fe"/>
                              <w:lock w:val="sdtLocked"/>
                              <w:richText/>
                            </w:sdtPr>
                            <w:sdtContent>
                              <w:r>
                                <w:rPr>
                                  <w:szCs w:val="24"/>
                                  <w:lang w:eastAsia="lt-LT"/>
                                </w:rPr>
                                <w:t>2</w:t>
                              </w:r>
                            </w:sdtContent>
                          </w:sdt>
                          <w:r>
                            <w:rPr>
                              <w:szCs w:val="24"/>
                              <w:lang w:eastAsia="lt-LT"/>
                            </w:rPr>
                            <w:t xml:space="preserve">) kliento arba trečiojo asmens turto, kurio įkeitimas yra įregistruotas </w:t>
                          </w:r>
                          <w:r>
                            <w:rPr>
                              <w:color w:val="000000"/>
                              <w:szCs w:val="24"/>
                              <w:lang w:eastAsia="lt-LT"/>
                            </w:rPr>
                            <w:t xml:space="preserve">priklausomai nuo įkeisto turto – </w:t>
                          </w:r>
                          <w:r>
                            <w:rPr>
                              <w:bCs/>
                              <w:iCs/>
                              <w:szCs w:val="24"/>
                              <w:lang w:eastAsia="lt-LT"/>
                            </w:rPr>
                            <w:t>Nekilnojamojo turto registre arba Sutarčių ir teisių suvaržymų</w:t>
                          </w:r>
                          <w:r>
                            <w:rPr>
                              <w:szCs w:val="24"/>
                              <w:lang w:eastAsia="lt-LT"/>
                            </w:rPr>
                            <w:t xml:space="preserve"> registre, įkeitimo, kai šiuo įkeitimu užtikrinta kliento prievolė kitiems kreditoriams (kreditoriaus reikalavimas) yra didesnė kaip 70 procentų įkeisto turto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b53d9ce7381f46518a17245d3b5167ae"/>
                    <w:lock w:val="sdtLocked"/>
                    <w:richText/>
                  </w:sdtPr>
                  <w:sdtContent>
                    <w:p>
                      <w:pPr>
                        <w:ind w:firstLine="720"/>
                        <w:jc w:val="both"/>
                      </w:pPr>
                      <w:sdt>
                        <w:sdtPr>
                          <w:alias w:val="Numeris"/>
                          <w:tag w:val="nr_b53d9ce7381f46518a17245d3b5167ae"/>
                          <w:lock w:val="sdtLocked"/>
                          <w:richText/>
                        </w:sdtPr>
                        <w:sdtContent>
                          <w:r>
                            <w:rPr>
                              <w:szCs w:val="24"/>
                            </w:rPr>
                            <w:t>3</w:t>
                          </w:r>
                        </w:sdtContent>
                      </w:sdt>
                      <w:r>
                        <w:rPr>
                          <w:szCs w:val="24"/>
                        </w:rPr>
                        <w:t>. Finansų įstaiga privalo iki einamųjų finansinių metų pirmojo pusmečio pabaigos sudaryti sutartį dėl metinės finansinės atskaitomybės audito su visuotinio finansų įstaigos dalyvių susirinkimo išrinkta audito įmone, jeigu finansų įstaigos veiklos priežiūrą nustato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4 d."/>
                    <w:tag w:val="part_9c84ab7cadf146b3b9a8ece7e225c117"/>
                    <w:lock w:val="sdtLocked"/>
                    <w:richText/>
                  </w:sdtPr>
                  <w:sdtContent>
                    <w:p>
                      <w:pPr>
                        <w:ind w:firstLine="720"/>
                        <w:jc w:val="both"/>
                      </w:pPr>
                      <w:sdt>
                        <w:sdtPr>
                          <w:alias w:val="Numeris"/>
                          <w:tag w:val="nr_9c84ab7cadf146b3b9a8ece7e225c117"/>
                          <w:lock w:val="sdtLocked"/>
                          <w:richText/>
                        </w:sdtPr>
                        <w:sdtContent>
                          <w:r>
                            <w:rPr>
                              <w:bCs/>
                              <w:lang w:bidi="lt-LT"/>
                            </w:rPr>
                            <w:t>4</w:t>
                          </w:r>
                        </w:sdtContent>
                      </w:sdt>
                      <w:r>
                        <w:rPr>
                          <w:bCs/>
                          <w:lang w:bidi="lt-LT"/>
                        </w:rPr>
                        <w:t>. Priežiūros institucija gali pareikalauti pakeisti auditą atliekančią audito įmonę, kai ji neatlieka šiame Įstatyme ir Lietuvos Respublikos finansinių ataskaitų audito įstatyme nustatytų pareigų.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de89c709137f4d7fa4009e32c12158b7"/>
                <w:lock w:val="sdtLocked"/>
                <w:richText/>
              </w:sdtPr>
              <w:sdtContent>
                <w:p>
                  <w:pPr>
                    <w:ind w:firstLine="720"/>
                    <w:jc w:val="both"/>
                    <w:rPr>
                      <w:b/>
                      <w:szCs w:val="24"/>
                    </w:rPr>
                  </w:pPr>
                  <w:sdt>
                    <w:sdtPr>
                      <w:alias w:val="Numeris"/>
                      <w:tag w:val="nr_de89c709137f4d7fa4009e32c12158b7"/>
                      <w:lock w:val="sdtLocked"/>
                      <w:richText/>
                    </w:sdtPr>
                    <w:sdtContent>
                      <w:r>
                        <w:rPr>
                          <w:b/>
                          <w:szCs w:val="24"/>
                        </w:rPr>
                        <w:t>45</w:t>
                      </w:r>
                    </w:sdtContent>
                  </w:sdt>
                  <w:r>
                    <w:rPr>
                      <w:b/>
                      <w:szCs w:val="24"/>
                    </w:rPr>
                    <w:t xml:space="preserve"> straipsnis. </w:t>
                  </w:r>
                  <w:sdt>
                    <w:sdtPr>
                      <w:alias w:val="Pavadinimas"/>
                      <w:tag w:val="title_de89c709137f4d7fa4009e32c12158b7"/>
                      <w:lock w:val="sdtLocked"/>
                      <w:richText/>
                    </w:sdtPr>
                    <w:sdtContent>
                      <w:r>
                        <w:rPr>
                          <w:b/>
                          <w:szCs w:val="24"/>
                        </w:rPr>
                        <w:t>Reikalavimai auditoriui ir audito įmonei, jų atsakomybė</w:t>
                      </w:r>
                    </w:sdtContent>
                  </w:sdt>
                </w:p>
                <w:sdt>
                  <w:sdtPr>
                    <w:alias w:val="45 str. 1 d."/>
                    <w:tag w:val="part_4aa4c13610e34ecba2dae890cfedea31"/>
                    <w:lock w:val="sdtLocked"/>
                    <w:richText/>
                  </w:sdtPr>
                  <w:sdtContent>
                    <w:p>
                      <w:pPr>
                        <w:ind w:firstLine="720"/>
                        <w:jc w:val="both"/>
                      </w:pPr>
                      <w:r>
                        <w:rPr>
                          <w:szCs w:val="24"/>
                        </w:rPr>
                        <w:t>Reikalavimus auditoriui ir audito įmonei, jų atsakomybę nustato šis įstatymas ir Lietuvos Respublikos finansinių ataskaitų audito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1 d."/>
                    <w:tag w:val="part_911b08d124924bc18523b25c8cf8a0d1"/>
                    <w:lock w:val="sdtLocked"/>
                    <w:richText/>
                  </w:sdtPr>
                  <w:sdtContent>
                    <w:p>
                      <w:pPr>
                        <w:ind w:firstLine="720"/>
                        <w:jc w:val="both"/>
                      </w:pPr>
                      <w:sdt>
                        <w:sdtPr>
                          <w:alias w:val="Numeris"/>
                          <w:tag w:val="nr_911b08d124924bc18523b25c8cf8a0d1"/>
                          <w:lock w:val="sdtLocked"/>
                          <w:richText/>
                        </w:sdtPr>
                        <w:sdtContent>
                          <w:r>
                            <w:rPr>
                              <w:bCs/>
                              <w:szCs w:val="24"/>
                            </w:rPr>
                            <w:t>1</w:t>
                          </w:r>
                        </w:sdtContent>
                      </w:sdt>
                      <w:r>
                        <w:rPr>
                          <w:bCs/>
                          <w:szCs w:val="24"/>
                        </w:rPr>
                        <w:t>. Auditoriaus ir audito įmonės pareigas nustato šis įstatymas ir Lietuvos Respublikos finansinių ataskaitų audito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2 d."/>
                    <w:tag w:val="part_70e068e2e3ce4aa6bee96cc453957279"/>
                    <w:lock w:val="sdtLocked"/>
                    <w:richText/>
                  </w:sdtPr>
                  <w:sdtContent>
                    <w:p>
                      <w:pPr>
                        <w:ind w:firstLine="708"/>
                        <w:jc w:val="both"/>
                        <w:rPr>
                          <w:color w:val="000000"/>
                        </w:rPr>
                      </w:pPr>
                      <w:sdt>
                        <w:sdtPr>
                          <w:alias w:val="Numeris"/>
                          <w:tag w:val="nr_70e068e2e3ce4aa6bee96cc453957279"/>
                          <w:lock w:val="sdtLocked"/>
                          <w:richText/>
                        </w:sdtPr>
                        <w:sdtContent>
                          <w:r>
                            <w:rPr>
                              <w:color w:val="000000"/>
                            </w:rPr>
                            <w:t>2</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3 d."/>
                    <w:tag w:val="part_f7dc4f7be47749f8af8979f4cbd55cf6"/>
                    <w:lock w:val="sdtLocked"/>
                    <w:richText/>
                  </w:sdtPr>
                  <w:sdtContent>
                    <w:p>
                      <w:pPr>
                        <w:ind w:firstLine="708"/>
                        <w:jc w:val="both"/>
                        <w:rPr>
                          <w:color w:val="000000"/>
                        </w:rPr>
                      </w:pPr>
                      <w:sdt>
                        <w:sdtPr>
                          <w:alias w:val="Numeris"/>
                          <w:tag w:val="nr_f7dc4f7be47749f8af8979f4cbd55cf6"/>
                          <w:lock w:val="sdtLocked"/>
                          <w:richText/>
                        </w:sdtPr>
                        <w:sdtContent>
                          <w:r>
                            <w:rPr>
                              <w:color w:val="000000"/>
                            </w:rPr>
                            <w:t>3</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
                      <w:sdtPr>
                        <w:alias w:val="46 str. 3 d. 1 p."/>
                        <w:tag w:val="part_d3a955bbf9fb4bc88ceb950329e4d29e"/>
                        <w:lock w:val="sdtLocked"/>
                        <w:richText/>
                      </w:sdtPr>
                      <w:sdtContent>
                        <w:p>
                          <w:pPr>
                            <w:widowControl w:val="0"/>
                            <w:suppressAutoHyphens/>
                            <w:ind w:firstLine="708"/>
                            <w:jc w:val="both"/>
                            <w:rPr>
                              <w:color w:val="000000"/>
                            </w:rPr>
                          </w:pPr>
                          <w:sdt>
                            <w:sdtPr>
                              <w:alias w:val="Numeris"/>
                              <w:tag w:val="nr_d3a955bbf9fb4bc88ceb950329e4d29e"/>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3 d. 2 p."/>
                        <w:tag w:val="part_f354f0e6263f4b92a84d7b7c35a4f467"/>
                        <w:lock w:val="sdtLocked"/>
                        <w:richText/>
                      </w:sdtPr>
                      <w:sdtContent>
                        <w:p>
                          <w:pPr>
                            <w:ind w:firstLine="708"/>
                            <w:jc w:val="both"/>
                            <w:rPr>
                              <w:color w:val="000000"/>
                            </w:rPr>
                          </w:pPr>
                          <w:sdt>
                            <w:sdtPr>
                              <w:alias w:val="Numeris"/>
                              <w:tag w:val="nr_f354f0e6263f4b92a84d7b7c35a4f467"/>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3 d. 3 p."/>
                        <w:tag w:val="part_726512be9e2844389e95279a6dcf5316"/>
                        <w:lock w:val="sdtLocked"/>
                        <w:richText/>
                      </w:sdtPr>
                      <w:sdtContent>
                        <w:p>
                          <w:pPr>
                            <w:ind w:firstLine="708"/>
                            <w:jc w:val="both"/>
                            <w:rPr>
                              <w:color w:val="000000"/>
                            </w:rPr>
                          </w:pPr>
                          <w:sdt>
                            <w:sdtPr>
                              <w:alias w:val="Numeris"/>
                              <w:tag w:val="nr_726512be9e2844389e95279a6dcf5316"/>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3 d. 4 p."/>
                        <w:tag w:val="part_b954b364f488432d92e0c66c778c94a1"/>
                        <w:lock w:val="sdtLocked"/>
                        <w:richText/>
                      </w:sdtPr>
                      <w:sdtContent>
                        <w:p>
                          <w:pPr>
                            <w:ind w:firstLine="708"/>
                            <w:jc w:val="both"/>
                            <w:rPr>
                              <w:color w:val="000000"/>
                            </w:rPr>
                          </w:pPr>
                          <w:sdt>
                            <w:sdtPr>
                              <w:alias w:val="Numeris"/>
                              <w:tag w:val="nr_b954b364f488432d92e0c66c778c94a1"/>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3 d. 5 p."/>
                        <w:tag w:val="part_dbb9b4fd01bc43beb531bde0470a32bd"/>
                        <w:lock w:val="sdtLocked"/>
                        <w:richText/>
                      </w:sdtPr>
                      <w:sdtContent>
                        <w:p>
                          <w:pPr>
                            <w:ind w:firstLine="708"/>
                            <w:jc w:val="both"/>
                            <w:rPr>
                              <w:color w:val="000000"/>
                            </w:rPr>
                          </w:pPr>
                          <w:sdt>
                            <w:sdtPr>
                              <w:alias w:val="Numeris"/>
                              <w:tag w:val="nr_dbb9b4fd01bc43beb531bde0470a32bd"/>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3 d. 6 p."/>
                        <w:tag w:val="part_62798fb4a37a44ffaa5ae5cb3a519935"/>
                        <w:lock w:val="sdtLocked"/>
                        <w:richText/>
                      </w:sdtPr>
                      <w:sdtContent>
                        <w:p>
                          <w:pPr>
                            <w:ind w:firstLine="708"/>
                            <w:jc w:val="both"/>
                            <w:rPr>
                              <w:color w:val="000000"/>
                            </w:rPr>
                          </w:pPr>
                          <w:sdt>
                            <w:sdtPr>
                              <w:alias w:val="Numeris"/>
                              <w:tag w:val="nr_62798fb4a37a44ffaa5ae5cb3a519935"/>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3 d. 7 p."/>
                        <w:tag w:val="part_9ef4e722f9974b35a01b70419f331eba"/>
                        <w:lock w:val="sdtLocked"/>
                        <w:richText/>
                      </w:sdtPr>
                      <w:sdtContent>
                        <w:p>
                          <w:pPr>
                            <w:ind w:firstLine="708"/>
                            <w:jc w:val="both"/>
                            <w:rPr>
                              <w:color w:val="000000"/>
                            </w:rPr>
                          </w:pPr>
                          <w:sdt>
                            <w:sdtPr>
                              <w:alias w:val="Numeris"/>
                              <w:tag w:val="nr_9ef4e722f9974b35a01b70419f331eba"/>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4 d."/>
                    <w:tag w:val="part_b6db73740654418599381e08f556fef7"/>
                    <w:lock w:val="sdtLocked"/>
                    <w:richText/>
                  </w:sdtPr>
                  <w:sdtContent>
                    <w:p>
                      <w:pPr>
                        <w:ind w:firstLine="720"/>
                        <w:jc w:val="both"/>
                        <w:rPr>
                          <w:strike/>
                          <w:color w:val="000000"/>
                        </w:rPr>
                      </w:pPr>
                      <w:sdt>
                        <w:sdtPr>
                          <w:alias w:val="Numeris"/>
                          <w:tag w:val="nr_b6db73740654418599381e08f556fef7"/>
                          <w:lock w:val="sdtLocked"/>
                          <w:richText/>
                        </w:sdtPr>
                        <w:sdtContent>
                          <w:r>
                            <w:rPr>
                              <w:bCs/>
                              <w:szCs w:val="24"/>
                            </w:rPr>
                            <w:t>4</w:t>
                          </w:r>
                        </w:sdtContent>
                      </w:sdt>
                      <w:r>
                        <w:rPr>
                          <w:bCs/>
                          <w:szCs w:val="24"/>
                        </w:rPr>
                        <w:t>. Šio straipsnio 3 dalyje nustatytą pareigą audito įmonė turi ir tuo atveju, jei sužino apie nurodytus faktus atlikdama savo darbą kitoje, su šia finansų įstaiga artimais ryšiais susijusioje,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5 d."/>
                    <w:tag w:val="part_0dc65cf7f50b4af19c5f936ec384b866"/>
                    <w:lock w:val="sdtLocked"/>
                    <w:richText/>
                  </w:sdtPr>
                  <w:sdtContent>
                    <w:p>
                      <w:pPr>
                        <w:ind w:firstLine="720"/>
                        <w:jc w:val="both"/>
                        <w:rPr>
                          <w:color w:val="000000"/>
                        </w:rPr>
                      </w:pPr>
                      <w:sdt>
                        <w:sdtPr>
                          <w:alias w:val="Numeris"/>
                          <w:tag w:val="nr_0dc65cf7f50b4af19c5f936ec384b866"/>
                          <w:lock w:val="sdtLocked"/>
                          <w:richText/>
                        </w:sdtPr>
                        <w:sdtContent>
                          <w:r>
                            <w:rPr>
                              <w:bCs/>
                              <w:szCs w:val="24"/>
                            </w:rPr>
                            <w:t>5</w:t>
                          </w:r>
                        </w:sdtContent>
                      </w:sdt>
                      <w:r>
                        <w:rPr>
                          <w:bCs/>
                          <w:szCs w:val="24"/>
                        </w:rPr>
                        <w:t>. Audito įmonė gali suteikti priežiūros institucijai konsultacijas arba perspėti ją apie patikrinimo rezultatus šio straipsnio 3 dalyje nenumatytais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6 d."/>
                    <w:tag w:val="part_927ac70869054192aec7c2ea0c021acb"/>
                    <w:lock w:val="sdtLocked"/>
                    <w:richText/>
                  </w:sdtPr>
                  <w:sdtContent>
                    <w:p>
                      <w:pPr>
                        <w:ind w:firstLine="708"/>
                        <w:jc w:val="both"/>
                      </w:pPr>
                      <w:sdt>
                        <w:sdtPr>
                          <w:alias w:val="Numeris"/>
                          <w:tag w:val="nr_927ac70869054192aec7c2ea0c021acb"/>
                          <w:lock w:val="sdtLocked"/>
                          <w:richText/>
                        </w:sdtPr>
                        <w:sdtContent>
                          <w:r>
                            <w:rPr>
                              <w:color w:val="000000"/>
                            </w:rPr>
                            <w:t>6</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47 str."/>
                <w:tag w:val="part_f194aef5358042fca571e630d4ac78d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2daba7b54a434c9091cb84b5abd92be8"/>
                        <w:lock w:val="sdtLocked"/>
                        <w:richText/>
                      </w:sdtPr>
                      <w:sdtContent>
                        <w:p>
                          <w:pPr>
                            <w:ind w:firstLine="720"/>
                            <w:jc w:val="both"/>
                            <w:rPr>
                              <w:color w:val="000000"/>
                            </w:rPr>
                          </w:pPr>
                          <w:sdt>
                            <w:sdtPr>
                              <w:alias w:val="Numeris"/>
                              <w:tag w:val="nr_2daba7b54a434c9091cb84b5abd92be8"/>
                              <w:lock w:val="sdtLocked"/>
                              <w:richText/>
                            </w:sdtPr>
                            <w:sdtContent>
                              <w:r>
                                <w:rPr>
                                  <w:szCs w:val="24"/>
                                </w:rPr>
                                <w:t>4</w:t>
                              </w:r>
                            </w:sdtContent>
                          </w:sdt>
                          <w:r>
                            <w:rPr>
                              <w:szCs w:val="24"/>
                            </w:rPr>
                            <w:t>) Lietuvos banko valdybos narys, kuruojantis finansų rinkos priežiūros sritį.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03000eb1a11ed9978886e85107ab2">
                            <w:r w:rsidRPr="00532B9F">
                              <w:rPr>
                                <w:rFonts w:ascii="Times New Roman" w:eastAsia="MS Mincho" w:hAnsi="Times New Roman"/>
                                <w:sz w:val="20"/>
                                <w:i/>
                                <w:iCs/>
                                <w:color w:val="0000FF" w:themeColor="hyperlink"/>
                                <w:u w:val="single"/>
                              </w:rPr>
                              <w:t>XIV-1894</w:t>
                            </w:r>
                          </w:fldSimple>
                          <w:r>
                            <w:rPr>
                              <w:rFonts w:ascii="Times New Roman" w:eastAsia="MS Mincho" w:hAnsi="Times New Roman"/>
                              <w:sz w:val="20"/>
                              <w:i/>
                              <w:iCs/>
                            </w:rPr>
                            <w:t>,
2023-04-25,
paskelbta TAR 2023-05-05, i. k. 2023-08613            </w:t>
                          </w:r>
                        </w:p>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f61082b8f82542118e4d03f4fc222652"/>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p>
              <w:pPr>
                <w:tabs>
                  <w:tab w:val="right" w:pos="8730"/>
                </w:tabs>
                <w:jc w:val="center"/>
                <w:rPr>
                  <w:color w:val="000000"/>
                </w:rPr>
              </w:pPr>
            </w:p>
          </w:sdtContent>
        </w:sdt>
      </w:sdtContent>
    </w:sdt>
    <w:sdt>
      <w:sdtPr>
        <w:alias w:val="pr."/>
        <w:tag w:val="part_b21cb1396a714180b1483a14f22ca8ae"/>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type w:val="continuous"/>
              <w:pgSz w:w="11907" w:h="16839" w:code="9"/>
              <w:pgMar w:top="1134" w:right="567" w:bottom="1134" w:left="1701" w:header="706" w:footer="706" w:gutter="0"/>
              <w:cols w:space="1296"/>
              <w:titlePg/>
              <w:docGrid w:linePitch="78"/>
            </w:sectPr>
          </w:pPr>
        </w:p>
        <w:p>
          <w:pPr>
            <w:ind w:firstLine="6804"/>
            <w:rPr>
              <w:bCs/>
              <w:color w:val="000000"/>
              <w:szCs w:val="24"/>
            </w:rPr>
          </w:pPr>
          <w:r>
            <w:rPr>
              <w:bCs/>
              <w:color w:val="000000"/>
              <w:szCs w:val="24"/>
            </w:rPr>
            <w:t xml:space="preserve">Lietuvos Respublikos </w:t>
          </w:r>
        </w:p>
        <w:p>
          <w:pPr>
            <w:ind w:firstLine="6804"/>
            <w:rPr>
              <w:bCs/>
              <w:color w:val="000000"/>
              <w:szCs w:val="24"/>
            </w:rPr>
          </w:pPr>
          <w:r>
            <w:rPr>
              <w:bCs/>
              <w:color w:val="000000"/>
              <w:szCs w:val="24"/>
            </w:rPr>
            <w:t>finansų įstaigų įstatymo</w:t>
          </w:r>
        </w:p>
        <w:p>
          <w:pPr>
            <w:ind w:firstLine="6804"/>
            <w:rPr>
              <w:bCs/>
              <w:color w:val="000000"/>
              <w:szCs w:val="24"/>
            </w:rPr>
          </w:pPr>
          <w:r>
            <w:rPr>
              <w:bCs/>
              <w:color w:val="000000"/>
              <w:szCs w:val="24"/>
            </w:rPr>
            <w:t>priedas</w:t>
          </w:r>
        </w:p>
        <w:p>
          <w:pPr>
            <w:ind w:firstLine="720"/>
            <w:jc w:val="center"/>
            <w:rPr>
              <w:bCs/>
              <w:color w:val="000000"/>
              <w:szCs w:val="24"/>
            </w:rPr>
          </w:pPr>
        </w:p>
        <w:p>
          <w:pPr>
            <w:jc w:val="center"/>
            <w:rPr>
              <w:b/>
              <w:color w:val="000000"/>
              <w:szCs w:val="24"/>
            </w:rPr>
          </w:pPr>
          <w:sdt>
            <w:sdtPr>
              <w:alias w:val="Pavadinimas"/>
              <w:tag w:val="title_b21cb1396a714180b1483a14f22ca8ae"/>
              <w:lock w:val="sdtLocked"/>
              <w:richText/>
            </w:sdtPr>
            <w:sdtContent>
              <w:r>
                <w:rPr>
                  <w:b/>
                  <w:color w:val="000000"/>
                </w:rPr>
                <w:t>ĮGYVENDINAMI EUROPOS SĄJUNGOS TEISĖS AKTAI</w:t>
              </w:r>
            </w:sdtContent>
          </w:sdt>
        </w:p>
        <w:p>
          <w:pPr>
            <w:ind w:firstLine="787"/>
            <w:jc w:val="center"/>
            <w:rPr>
              <w:color w:val="000000"/>
              <w:sz w:val="27"/>
              <w:szCs w:val="27"/>
            </w:rPr>
          </w:pPr>
        </w:p>
        <w:sdt>
          <w:sdtPr>
            <w:alias w:val="pr. 1 p."/>
            <w:tag w:val="part_7419d9f6205a44e4bda042935ed35b84"/>
            <w:lock w:val="sdtLocked"/>
            <w:richText/>
          </w:sdtPr>
          <w:sdtContent>
            <w:p>
              <w:pPr>
                <w:ind w:firstLine="720"/>
                <w:jc w:val="both"/>
                <w:rPr>
                  <w:color w:val="000000"/>
                  <w:szCs w:val="24"/>
                </w:rPr>
              </w:pPr>
              <w:sdt>
                <w:sdtPr>
                  <w:alias w:val="Numeris"/>
                  <w:tag w:val="nr_7419d9f6205a44e4bda042935ed35b84"/>
                  <w:lock w:val="sdtLocked"/>
                  <w:richText/>
                </w:sdtPr>
                <w:sdtContent>
                  <w:r>
                    <w:rPr>
                      <w:color w:val="000000"/>
                      <w:szCs w:val="24"/>
                    </w:rPr>
                    <w:t>1</w:t>
                  </w:r>
                </w:sdtContent>
              </w:sdt>
              <w:r>
                <w:rPr>
                  <w:color w:val="000000"/>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2000/46/EB, su paskutiniais pakeitimais, padarytais 2015 m. lapkričio 25 d. </w:t>
              </w:r>
              <w:r>
                <w:rPr>
                  <w:bCs/>
                  <w:szCs w:val="24"/>
                </w:rPr>
                <w:t>Europos Parlamento ir Tarybos direktyva (ES) 2015/2366.</w:t>
              </w:r>
            </w:p>
          </w:sdtContent>
        </w:sdt>
        <w:sdt>
          <w:sdtPr>
            <w:alias w:val="pr. 2 p."/>
            <w:tag w:val="part_b2078d277dca4069b022a53563af6c0a"/>
            <w:lock w:val="sdtLocked"/>
            <w:richText/>
          </w:sdtPr>
          <w:sdtContent>
            <w:p>
              <w:pPr>
                <w:ind w:firstLine="720"/>
                <w:jc w:val="both"/>
                <w:rPr>
                  <w:szCs w:val="24"/>
                  <w:lang w:eastAsia="lt-LT"/>
                </w:rPr>
              </w:pPr>
              <w:sdt>
                <w:sdtPr>
                  <w:alias w:val="Numeris"/>
                  <w:tag w:val="nr_b2078d277dca4069b022a53563af6c0a"/>
                  <w:lock w:val="sdtLocked"/>
                  <w:richText/>
                </w:sdtPr>
                <w:sdtContent>
                  <w:r>
                    <w:rPr>
                      <w:szCs w:val="24"/>
                      <w:lang w:eastAsia="lt-LT"/>
                    </w:rPr>
                    <w:t>2</w:t>
                  </w:r>
                </w:sdtContent>
              </w:sdt>
              <w:r>
                <w:rPr>
                  <w:szCs w:val="24"/>
                  <w:lang w:eastAsia="lt-LT"/>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2023 m. gegužės 31 d. Europos Parlamento ir Tarybos reglamentu (ES) 2023/1114.</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7bbf50499c11efbdaea558de59136c">
                <w:r w:rsidRPr="00532B9F">
                  <w:rPr>
                    <w:rFonts w:ascii="Times New Roman" w:eastAsia="MS Mincho" w:hAnsi="Times New Roman"/>
                    <w:sz w:val="20"/>
                    <w:i/>
                    <w:iCs/>
                    <w:color w:val="0000FF" w:themeColor="hyperlink"/>
                    <w:u w:val="single"/>
                  </w:rPr>
                  <w:t>XIV-2882</w:t>
                </w:r>
              </w:fldSimple>
              <w:r>
                <w:rPr>
                  <w:rFonts w:ascii="Times New Roman" w:eastAsia="MS Mincho" w:hAnsi="Times New Roman"/>
                  <w:sz w:val="20"/>
                  <w:i/>
                  <w:iCs/>
                </w:rPr>
                <w:t>,
2024-07-11,
paskelbta TAR 2024-07-24, i. k. 2024-13488            </w:t>
              </w:r>
            </w:p>
            <w:p/>
          </w:sdtContent>
        </w:sdt>
        <w:sdt>
          <w:sdtPr>
            <w:alias w:val="pr. 3 p."/>
            <w:tag w:val="part_b00abad3221d4b53b61067ff08676e8e"/>
            <w:lock w:val="sdtLocked"/>
            <w:richText/>
          </w:sdtPr>
          <w:sdtContent>
            <w:p>
              <w:pPr>
                <w:ind w:firstLine="720"/>
                <w:jc w:val="both"/>
              </w:pPr>
              <w:sdt>
                <w:sdtPr>
                  <w:alias w:val="Numeris"/>
                  <w:tag w:val="nr_b00abad3221d4b53b61067ff08676e8e"/>
                  <w:lock w:val="sdtLocked"/>
                  <w:richText/>
                </w:sdtPr>
                <w:sdtContent>
                  <w:r>
                    <w:rPr>
                      <w:color w:val="000000"/>
                      <w:szCs w:val="24"/>
                    </w:rPr>
                    <w:t>3</w:t>
                  </w:r>
                </w:sdtContent>
              </w:sdt>
              <w:r>
                <w:rPr>
                  <w:color w:val="000000"/>
                  <w:szCs w:val="24"/>
                </w:rPr>
                <w:t>. 2015 m. lapkričio 25 d. Europos Parlamento ir Tarybos direktyva (ES) 2015/2366 dėl mokėjimo paslaugų vidaus rinkoje, kuria iš dalies keičiamos direktyvos 2002/65/EB, 2009/110/EB ir 2013/36/ES bei Reglamentas (ES) Nr. 1093/2010 ir panaikinama Direktyva 2007/64/EB.</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699c80fed511e488da8908dfa91cac">
            <w:r w:rsidRPr="00532B9F">
              <w:rPr>
                <w:rFonts w:ascii="Times New Roman" w:eastAsia="MS Mincho" w:hAnsi="Times New Roman"/>
                <w:sz w:val="20"/>
                <w:iCs/>
                <w:color w:val="0000FF" w:themeColor="hyperlink"/>
                <w:u w:val="single"/>
              </w:rPr>
              <w:t>XII-1694</w:t>
            </w:r>
          </w:fldSimple>
          <w:r>
            <w:rPr>
              <w:rFonts w:ascii="Times New Roman" w:eastAsia="MS Mincho" w:hAnsi="Times New Roman"/>
              <w:sz w:val="20"/>
              <w:iCs/>
            </w:rPr>
            <w:t>,
2015-05-14,
paskelbta TAR 2015-05-20, i. k. 2015-07670                </w:t>
          </w:r>
        </w:p>
        <w:p>
          <w:pPr>
            <w:jc w:val="both"/>
            <w:rPr>
              <w:rFonts w:ascii="Times New Roman" w:hAnsi="Times New Roman"/>
            </w:rPr>
          </w:pPr>
          <w:r>
            <w:rPr>
              <w:rFonts w:ascii="Times New Roman" w:hAnsi="Times New Roman"/>
              <w:sz w:val="20"/>
            </w:rPr>
            <w:t>Lietuvos Respublikos finansų įstaigų įstatymo Nr. IX-1068 4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fd9f098f211e58fd1fc0b9bba68a7">
            <w:r w:rsidRPr="00532B9F">
              <w:rPr>
                <w:rFonts w:ascii="Times New Roman" w:eastAsia="MS Mincho" w:hAnsi="Times New Roman"/>
                <w:sz w:val="20"/>
                <w:iCs/>
                <w:color w:val="0000FF" w:themeColor="hyperlink"/>
                <w:u w:val="single"/>
              </w:rPr>
              <w:t>XII-2059</w:t>
            </w:r>
          </w:fldSimple>
          <w:r>
            <w:rPr>
              <w:rFonts w:ascii="Times New Roman" w:eastAsia="MS Mincho" w:hAnsi="Times New Roman"/>
              <w:sz w:val="20"/>
              <w:iCs/>
            </w:rPr>
            <w:t>,
2015-11-24,
paskelbta TAR 2015-12-02, i. k. 2015-19170                </w:t>
          </w:r>
        </w:p>
        <w:p>
          <w:pPr>
            <w:jc w:val="both"/>
            <w:rPr>
              <w:rFonts w:ascii="Times New Roman" w:hAnsi="Times New Roman"/>
            </w:rPr>
          </w:pPr>
          <w:r>
            <w:rPr>
              <w:rFonts w:ascii="Times New Roman" w:hAnsi="Times New Roman"/>
              <w:sz w:val="20"/>
            </w:rPr>
            <w:t>Lietuvos Respublikos finansų įstaigų įstatymo Nr. IX-1068 57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133f80ab3c11e6a6f98c1425a5ffa8">
            <w:r w:rsidRPr="00532B9F">
              <w:rPr>
                <w:rFonts w:ascii="Times New Roman" w:eastAsia="MS Mincho" w:hAnsi="Times New Roman"/>
                <w:sz w:val="20"/>
                <w:iCs/>
                <w:color w:val="0000FF" w:themeColor="hyperlink"/>
                <w:u w:val="single"/>
              </w:rPr>
              <w:t>XII-2691</w:t>
            </w:r>
          </w:fldSimple>
          <w:r>
            <w:rPr>
              <w:rFonts w:ascii="Times New Roman" w:eastAsia="MS Mincho" w:hAnsi="Times New Roman"/>
              <w:sz w:val="20"/>
              <w:iCs/>
            </w:rPr>
            <w:t>,
2016-11-03,
paskelbta TAR 2016-11-15, i. k. 2016-26829                </w:t>
          </w:r>
        </w:p>
        <w:p>
          <w:pPr>
            <w:jc w:val="both"/>
            <w:rPr>
              <w:rFonts w:ascii="Times New Roman" w:hAnsi="Times New Roman"/>
            </w:rPr>
          </w:pPr>
          <w:r>
            <w:rPr>
              <w:rFonts w:ascii="Times New Roman" w:hAnsi="Times New Roman"/>
              <w:sz w:val="20"/>
            </w:rPr>
            <w:t>Lietuvos Respublikos finansų įstaigų įstatymo Nr. IX-1068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88100c8df11e69dec860c1f4a5372">
            <w:r w:rsidRPr="00532B9F">
              <w:rPr>
                <w:rFonts w:ascii="Times New Roman" w:eastAsia="MS Mincho" w:hAnsi="Times New Roman"/>
                <w:sz w:val="20"/>
                <w:iCs/>
                <w:color w:val="0000FF" w:themeColor="hyperlink"/>
                <w:u w:val="single"/>
              </w:rPr>
              <w:t>XIII-99</w:t>
            </w:r>
          </w:fldSimple>
          <w:r>
            <w:rPr>
              <w:rFonts w:ascii="Times New Roman" w:eastAsia="MS Mincho" w:hAnsi="Times New Roman"/>
              <w:sz w:val="20"/>
              <w:iCs/>
            </w:rPr>
            <w:t>,
2016-12-15,
paskelbta TAR 2016-12-23, i. k. 2016-29411                </w:t>
          </w:r>
        </w:p>
        <w:p>
          <w:pPr>
            <w:jc w:val="both"/>
            <w:rPr>
              <w:rFonts w:ascii="Times New Roman" w:hAnsi="Times New Roman"/>
            </w:rPr>
          </w:pPr>
          <w:r>
            <w:rPr>
              <w:rFonts w:ascii="Times New Roman" w:hAnsi="Times New Roman"/>
              <w:sz w:val="20"/>
            </w:rPr>
            <w:t>Lietuvos Respublikos finansų įstaigų įstatymo Nr. IX-1068 4, 45, 46 straipsnių pakeitimo ir 47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193f0ac9611e6b844f0f29024f5ac">
            <w:r w:rsidRPr="00532B9F">
              <w:rPr>
                <w:rFonts w:ascii="Times New Roman" w:eastAsia="MS Mincho" w:hAnsi="Times New Roman"/>
                <w:sz w:val="20"/>
                <w:iCs/>
                <w:color w:val="0000FF" w:themeColor="hyperlink"/>
                <w:u w:val="single"/>
              </w:rPr>
              <w:t>XII-2772</w:t>
            </w:r>
          </w:fldSimple>
          <w:r>
            <w:rPr>
              <w:rFonts w:ascii="Times New Roman" w:eastAsia="MS Mincho" w:hAnsi="Times New Roman"/>
              <w:sz w:val="20"/>
              <w:iCs/>
            </w:rPr>
            <w:t>,
2016-11-10,
paskelbta TAR 2016-11-17, i. k. 2016-26973                </w:t>
          </w:r>
        </w:p>
        <w:p>
          <w:pPr>
            <w:jc w:val="both"/>
            <w:rPr>
              <w:rFonts w:ascii="Times New Roman" w:hAnsi="Times New Roman"/>
            </w:rPr>
          </w:pPr>
          <w:r>
            <w:rPr>
              <w:rFonts w:ascii="Times New Roman" w:hAnsi="Times New Roman"/>
              <w:sz w:val="20"/>
            </w:rPr>
            <w:t>Lietuvos Respublikos finansų įstaigų įstatymo Nr. IX-1068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8c38049e411e8ade598b2394a491d">
            <w:r w:rsidRPr="00532B9F">
              <w:rPr>
                <w:rFonts w:ascii="Times New Roman" w:eastAsia="MS Mincho" w:hAnsi="Times New Roman"/>
                <w:sz w:val="20"/>
                <w:iCs/>
                <w:color w:val="0000FF" w:themeColor="hyperlink"/>
                <w:u w:val="single"/>
              </w:rPr>
              <w:t>XIII-1097</w:t>
            </w:r>
          </w:fldSimple>
          <w:r>
            <w:rPr>
              <w:rFonts w:ascii="Times New Roman" w:eastAsia="MS Mincho" w:hAnsi="Times New Roman"/>
              <w:sz w:val="20"/>
              <w:iCs/>
            </w:rPr>
            <w:t>,
2018-04-17,
paskelbta TAR 2018-04-27, i. k. 2018-06736                </w:t>
          </w:r>
        </w:p>
        <w:p>
          <w:pPr>
            <w:jc w:val="both"/>
            <w:rPr>
              <w:rFonts w:ascii="Times New Roman" w:hAnsi="Times New Roman"/>
            </w:rPr>
          </w:pPr>
          <w:r>
            <w:rPr>
              <w:rFonts w:ascii="Times New Roman" w:hAnsi="Times New Roman"/>
              <w:sz w:val="20"/>
            </w:rPr>
            <w:t>Lietuvos Respublikos finansų įstaigų įstatymo Nr. IX-1068 2, 18, 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595760697011eca9ac839120d251c4">
            <w:r w:rsidRPr="00532B9F">
              <w:rPr>
                <w:rFonts w:ascii="Times New Roman" w:eastAsia="MS Mincho" w:hAnsi="Times New Roman"/>
                <w:sz w:val="20"/>
                <w:iCs/>
                <w:color w:val="0000FF" w:themeColor="hyperlink"/>
                <w:u w:val="single"/>
              </w:rPr>
              <w:t>XIV-828</w:t>
            </w:r>
          </w:fldSimple>
          <w:r>
            <w:rPr>
              <w:rFonts w:ascii="Times New Roman" w:eastAsia="MS Mincho" w:hAnsi="Times New Roman"/>
              <w:sz w:val="20"/>
              <w:iCs/>
            </w:rPr>
            <w:t>,
2021-12-23,
paskelbta TAR 2021-12-30, i. k. 2021-27720                </w:t>
          </w:r>
        </w:p>
        <w:p>
          <w:pPr>
            <w:jc w:val="both"/>
            <w:rPr>
              <w:rFonts w:ascii="Times New Roman" w:hAnsi="Times New Roman"/>
            </w:rPr>
          </w:pPr>
          <w:r>
            <w:rPr>
              <w:rFonts w:ascii="Times New Roman" w:hAnsi="Times New Roman"/>
              <w:sz w:val="20"/>
            </w:rPr>
            <w:t>Lietuvos Respublikos finansų įstaigų įstatymo Nr. IX-1068 2, 3, 4, 7, 9, 10, 14, 16, 19, 20, 26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67ac0304c11eabe008ea93139d588">
            <w:r w:rsidRPr="00532B9F">
              <w:rPr>
                <w:rFonts w:ascii="Times New Roman" w:eastAsia="MS Mincho" w:hAnsi="Times New Roman"/>
                <w:sz w:val="20"/>
                <w:iCs/>
                <w:color w:val="0000FF" w:themeColor="hyperlink"/>
                <w:u w:val="single"/>
              </w:rPr>
              <w:t>XIII-2732</w:t>
            </w:r>
          </w:fldSimple>
          <w:r>
            <w:rPr>
              <w:rFonts w:ascii="Times New Roman" w:eastAsia="MS Mincho" w:hAnsi="Times New Roman"/>
              <w:sz w:val="20"/>
              <w:iCs/>
            </w:rPr>
            <w:t>,
2019-12-19,
paskelbta TAR 2020-01-06, i. k. 2020-00107                </w:t>
          </w:r>
        </w:p>
        <w:p>
          <w:pPr>
            <w:jc w:val="both"/>
            <w:rPr>
              <w:rFonts w:ascii="Times New Roman" w:hAnsi="Times New Roman"/>
            </w:rPr>
          </w:pPr>
          <w:r>
            <w:rPr>
              <w:rFonts w:ascii="Times New Roman" w:hAnsi="Times New Roman"/>
              <w:sz w:val="20"/>
            </w:rPr>
            <w:t>Lietuvos Respublikos finansų įstaigų įstatymo Nr. IX-1068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f7ef0640211eca9ac839120d251c4">
            <w:r w:rsidRPr="00532B9F">
              <w:rPr>
                <w:rFonts w:ascii="Times New Roman" w:eastAsia="MS Mincho" w:hAnsi="Times New Roman"/>
                <w:sz w:val="20"/>
                <w:iCs/>
                <w:color w:val="0000FF" w:themeColor="hyperlink"/>
                <w:u w:val="single"/>
              </w:rPr>
              <w:t>XIV-766</w:t>
            </w:r>
          </w:fldSimple>
          <w:r>
            <w:rPr>
              <w:rFonts w:ascii="Times New Roman" w:eastAsia="MS Mincho" w:hAnsi="Times New Roman"/>
              <w:sz w:val="20"/>
              <w:iCs/>
            </w:rPr>
            <w:t>,
2021-12-14,
paskelbta TAR 2021-12-23, i. k. 2021-26895                </w:t>
          </w:r>
        </w:p>
        <w:p>
          <w:pPr>
            <w:jc w:val="both"/>
            <w:rPr>
              <w:rFonts w:ascii="Times New Roman" w:hAnsi="Times New Roman"/>
            </w:rPr>
          </w:pPr>
          <w:r>
            <w:rPr>
              <w:rFonts w:ascii="Times New Roman" w:hAnsi="Times New Roman"/>
              <w:sz w:val="20"/>
            </w:rPr>
            <w:t>Lietuvos Respublikos finansų įstaigų įstatymo Nr. IX-1068 2, 4, 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7448f002b011edb32c9f9d8ba206f8">
            <w:r w:rsidRPr="00532B9F">
              <w:rPr>
                <w:rFonts w:ascii="Times New Roman" w:eastAsia="MS Mincho" w:hAnsi="Times New Roman"/>
                <w:sz w:val="20"/>
                <w:iCs/>
                <w:color w:val="0000FF" w:themeColor="hyperlink"/>
                <w:u w:val="single"/>
              </w:rPr>
              <w:t>XIV-1336</w:t>
            </w:r>
          </w:fldSimple>
          <w:r>
            <w:rPr>
              <w:rFonts w:ascii="Times New Roman" w:eastAsia="MS Mincho" w:hAnsi="Times New Roman"/>
              <w:sz w:val="20"/>
              <w:iCs/>
            </w:rPr>
            <w:t>,
2022-06-30,
paskelbta TAR 2022-07-13, i. k. 2022-15401                </w:t>
          </w:r>
        </w:p>
        <w:p>
          <w:pPr>
            <w:jc w:val="both"/>
            <w:rPr>
              <w:rFonts w:ascii="Times New Roman" w:hAnsi="Times New Roman"/>
            </w:rPr>
          </w:pPr>
          <w:r>
            <w:rPr>
              <w:rFonts w:ascii="Times New Roman" w:hAnsi="Times New Roman"/>
              <w:sz w:val="20"/>
            </w:rPr>
            <w:t>Lietuvos Respublikos finansų įstaigų įstatymo Nr. IX-1068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9b85f0603f11edbc04912defe897d1">
            <w:r w:rsidRPr="00532B9F">
              <w:rPr>
                <w:rFonts w:ascii="Times New Roman" w:eastAsia="MS Mincho" w:hAnsi="Times New Roman"/>
                <w:sz w:val="20"/>
                <w:iCs/>
                <w:color w:val="0000FF" w:themeColor="hyperlink"/>
                <w:u w:val="single"/>
              </w:rPr>
              <w:t>XIV-1492</w:t>
            </w:r>
          </w:fldSimple>
          <w:r>
            <w:rPr>
              <w:rFonts w:ascii="Times New Roman" w:eastAsia="MS Mincho" w:hAnsi="Times New Roman"/>
              <w:sz w:val="20"/>
              <w:iCs/>
            </w:rPr>
            <w:t>,
2022-11-08,
paskelbta TAR 2022-11-09, i. k. 2022-22680                </w:t>
          </w:r>
        </w:p>
        <w:p>
          <w:pPr>
            <w:jc w:val="both"/>
            <w:rPr>
              <w:rFonts w:ascii="Times New Roman" w:hAnsi="Times New Roman"/>
            </w:rPr>
          </w:pPr>
          <w:r>
            <w:rPr>
              <w:rFonts w:ascii="Times New Roman" w:hAnsi="Times New Roman"/>
              <w:sz w:val="20"/>
            </w:rPr>
            <w:t>Lietuvos Respublikos finansų įstaigų įstatymo Nr. IX-1068 2, 3, 4, 7, 9, 10, 14, 16, 19, 20, 26 straipsnių ir priedo pakeitimo įstatymo Nr. XIV-828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a03000eb1a11ed9978886e85107ab2">
            <w:r w:rsidRPr="00532B9F">
              <w:rPr>
                <w:rFonts w:ascii="Times New Roman" w:eastAsia="MS Mincho" w:hAnsi="Times New Roman"/>
                <w:sz w:val="20"/>
                <w:iCs/>
                <w:color w:val="0000FF" w:themeColor="hyperlink"/>
                <w:u w:val="single"/>
              </w:rPr>
              <w:t>XIV-1894</w:t>
            </w:r>
          </w:fldSimple>
          <w:r>
            <w:rPr>
              <w:rFonts w:ascii="Times New Roman" w:eastAsia="MS Mincho" w:hAnsi="Times New Roman"/>
              <w:sz w:val="20"/>
              <w:iCs/>
            </w:rPr>
            <w:t>,
2023-04-25,
paskelbta TAR 2023-05-05, i. k. 2023-08613                </w:t>
          </w:r>
        </w:p>
        <w:p>
          <w:pPr>
            <w:jc w:val="both"/>
            <w:rPr>
              <w:rFonts w:ascii="Times New Roman" w:hAnsi="Times New Roman"/>
            </w:rPr>
          </w:pPr>
          <w:r>
            <w:rPr>
              <w:rFonts w:ascii="Times New Roman" w:hAnsi="Times New Roman"/>
              <w:sz w:val="20"/>
            </w:rPr>
            <w:t>Lietuvos Respublikos finansų įstaigų įstatymo Nr. IX-1068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7bbf50499c11efbdaea558de59136c">
            <w:r w:rsidRPr="00532B9F">
              <w:rPr>
                <w:rFonts w:ascii="Times New Roman" w:eastAsia="MS Mincho" w:hAnsi="Times New Roman"/>
                <w:sz w:val="20"/>
                <w:iCs/>
                <w:color w:val="0000FF" w:themeColor="hyperlink"/>
                <w:u w:val="single"/>
              </w:rPr>
              <w:t>XIV-2882</w:t>
            </w:r>
          </w:fldSimple>
          <w:r>
            <w:rPr>
              <w:rFonts w:ascii="Times New Roman" w:eastAsia="MS Mincho" w:hAnsi="Times New Roman"/>
              <w:sz w:val="20"/>
              <w:iCs/>
            </w:rPr>
            <w:t>,
2024-07-11,
paskelbta TAR 2024-07-24, i. k. 2024-13488                </w:t>
          </w:r>
        </w:p>
        <w:p>
          <w:pPr>
            <w:jc w:val="both"/>
            <w:rPr>
              <w:rFonts w:ascii="Times New Roman" w:hAnsi="Times New Roman"/>
            </w:rPr>
          </w:pPr>
          <w:r>
            <w:rPr>
              <w:rFonts w:ascii="Times New Roman" w:hAnsi="Times New Roman"/>
              <w:sz w:val="20"/>
            </w:rPr>
            <w:t>Lietuvos Respublikos finansų įstaigų įstatymo Nr. IX-1068 3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F3CA386"/>
  <w15:docId w15:val="{6F1A26D6-DB8C-4B75-9486-0145760C1D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9.xml"/>
  <Relationship Id="rId11" Type="http://schemas.openxmlformats.org/officeDocument/2006/relationships/header" Target="header110.xml"/>
  <Relationship Id="rId12" Type="http://schemas.openxmlformats.org/officeDocument/2006/relationships/footer" Target="footer109.xml"/>
  <Relationship Id="rId13" Type="http://schemas.openxmlformats.org/officeDocument/2006/relationships/footer" Target="footer110.xml"/>
  <Relationship Id="rId14" Type="http://schemas.openxmlformats.org/officeDocument/2006/relationships/header" Target="header111.xml"/>
  <Relationship Id="rId15" Type="http://schemas.openxmlformats.org/officeDocument/2006/relationships/footer" Target="footer111.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8.wmf"/>
  <Relationship Id="rId9" Type="http://schemas.openxmlformats.org/officeDocument/2006/relationships/control" Target="activeX/activeX38.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34.xml.rels><?xml version="1.0" encoding="UTF-8"?>

<Relationships xmlns="http://schemas.openxmlformats.org/package/2006/relationships">
  <Relationship Id="rId1" Type="http://schemas.microsoft.com/office/2006/relationships/activeXControlBinary" Target="activeX34.bin"/>
</Relationships>

</file>

<file path=word/activeX/_rels/activeX35.xml.rels><?xml version="1.0" encoding="UTF-8"?>

<Relationships xmlns="http://schemas.openxmlformats.org/package/2006/relationships">
  <Relationship Id="rId1" Type="http://schemas.microsoft.com/office/2006/relationships/activeXControlBinary" Target="activeX35.bin"/>
</Relationships>

</file>

<file path=word/activeX/_rels/activeX36.xml.rels><?xml version="1.0" encoding="UTF-8"?>

<Relationships xmlns="http://schemas.openxmlformats.org/package/2006/relationships">
  <Relationship Id="rId1" Type="http://schemas.microsoft.com/office/2006/relationships/activeXControlBinary" Target="activeX36.bin"/>
</Relationships>

</file>

<file path=word/activeX/_rels/activeX37.xml.rels><?xml version="1.0" encoding="UTF-8"?>

<Relationships xmlns="http://schemas.openxmlformats.org/package/2006/relationships">
  <Relationship Id="rId1" Type="http://schemas.microsoft.com/office/2006/relationships/activeXControlBinary" Target="activeX37.bin"/>
</Relationships>

</file>

<file path=word/activeX/_rels/activeX38.xml.rels><?xml version="1.0" encoding="UTF-8"?>

<Relationships xmlns="http://schemas.openxmlformats.org/package/2006/relationships">
  <Relationship Id="rId1" Type="http://schemas.microsoft.com/office/2006/relationships/activeXControlBinary" Target="activeX38.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34.xml><?xml version="1.0" encoding="utf-8"?>
<ax:ocx xmlns:ax="http://schemas.microsoft.com/office/2006/activeX" xmlns:r="http://schemas.openxmlformats.org/officeDocument/2006/relationships" ax:classid="{868FBE40-B964-453C-BEA2-77F32F2C294F}" ax:persistence="persistStorage" r:id="rId1"/>
</file>

<file path=word/activeX/activeX35.xml><?xml version="1.0" encoding="utf-8"?>
<ax:ocx xmlns:ax="http://schemas.microsoft.com/office/2006/activeX" xmlns:r="http://schemas.openxmlformats.org/officeDocument/2006/relationships" ax:classid="{868FBE40-B964-453C-BEA2-77F32F2C294F}" ax:persistence="persistStorage" r:id="rId1"/>
</file>

<file path=word/activeX/activeX36.xml><?xml version="1.0" encoding="utf-8"?>
<ax:ocx xmlns:ax="http://schemas.microsoft.com/office/2006/activeX" xmlns:r="http://schemas.openxmlformats.org/officeDocument/2006/relationships" ax:classid="{868FBE40-B964-453C-BEA2-77F32F2C294F}" ax:persistence="persistStorage" r:id="rId1"/>
</file>

<file path=word/activeX/activeX37.xml><?xml version="1.0" encoding="utf-8"?>
<ax:ocx xmlns:ax="http://schemas.microsoft.com/office/2006/activeX" xmlns:r="http://schemas.openxmlformats.org/officeDocument/2006/relationships" ax:classid="{868FBE40-B964-453C-BEA2-77F32F2C294F}" ax:persistence="persistStorage" r:id="rId1"/>
</file>

<file path=word/activeX/activeX38.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37fe115b6baa481881a50ff70721d079">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a8d7449b3b0348399266038672ba276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1abb7bed4b684206b87e5a1acb0d25a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f4dcb8c063e34d9a9a6ce36730b81cda"/>
          <Part Type="strPunktas" Nr="4" Abbr="2 str. 17 d. 4 p." DocPartId="22a0c9175f4a4186b359c0aa9ea963ad" PartId="dd490b01527942b489a7c1798313e8cf"/>
          <Part Type="strPunktas" Nr="5" Abbr="5 p." DocPartId="15827a9e1c174d109c62d0cbccc2a523" PartId="87992f73dfd448c28b3f65b81bda350a"/>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1c7e826096534569aa8b2298bb221132"/>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0a08d45854fe4e73b220ca403538e476"/>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98c0404b2193472fb9cc34fbd9e4b4ee"/>
          <Part Type="strPunktas" Nr="19" Abbr="3 str. 1 d. 19 p." DocPartId="664ee4ccbc8b4e61a2983c7f334efa0a" PartId="48f0ef0bc00f413c8640c2c9e5599b0d"/>
          <Part Type="strPunktas" Nr="20" Abbr="20 p." DocPartId="90777c13e3a342c0b924c80a0015af3b" PartId="9a76b28c2ee9478e97cc381bc53529d1"/>
          <Part Type="strPunktas" Nr="21" Abbr="3 str. 1 d. 21 p." DocPartId="7e9f357ba91147709263ca2aa3ecce10" PartId="85ef905fc75e4d61bbba2bafc4d0e4b5"/>
          <Part Type="strPunktas" Nr="22" Abbr="22 p." DocPartId="7d8b2ce1739249d5bb84732262edb51c" PartId="88360f819e5c45c59ba32b85abb17efd"/>
          <Part Type="strPunktas" Nr="23" Abbr="23 p." DocPartId="9f54db59d8d44ea789d842d2de57dd28" PartId="44288c764953470ebe7894678eae994a"/>
          <Part Type="strPunktas" Nr="24" Abbr="24 p." DocPartId="d5e24d20f8a246559ba9776499aa6005" PartId="8d182f24108b467a9c5cfa3053218434"/>
        </Part>
        <Part Type="strDalis" Nr="2" Abbr="3 str. 2 d." DocPartId="5a9830eac32b41579683958434252d3a" PartId="7e7d5b19b41546c0ac52e4a6a2a27af7"/>
        <Part Type="strDalis" Nr="3" Abbr="3 str. 3 d." DocPartId="4ca3075e47fb400292432ece593abe7b" PartId="894aabf88feb46518c7f7a6b6b3cc84f"/>
        <Part Type="strDalis" Nr="4" Abbr="3 str. 4 d." DocPartId="e1e99f56affc484a9d6f7fba339cc3f6" PartId="361f2de5568e40d0a5ca8d91c853ce8c"/>
        <Part Type="strDalis" Nr="5" Abbr="3 str. 5 d." DocPartId="6b03e4d5cf6249b2b708671a731c096f" PartId="b443dfb0709649c5962d0119b5a319e6"/>
        <Part Type="strDalis" Nr="6" Abbr="6 d." DocPartId="48a2cbce4cff4a68b45846504badc12e" PartId="a463f2ed30994fe38a63016ce3cd62c6"/>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045c7b9f33ee4e389fea8dafee422294"/>
        <Part Type="strDalis" Nr="3" Abbr="4 str. 3 d." DocPartId="a930b4831b1b457989d6a8e60add0435" PartId="71b0bfba9de349318db4151826a0174d"/>
        <Part Type="strDalis" Nr="4" Abbr="4 str. 4 d." DocPartId="5e4129436cd7400bb10b3f1e5214aa4c" PartId="8ed6e00e0abf4111847e12bf2c114499"/>
        <Part Type="strDalis" Nr="5" Abbr="4 str. 5 d." DocPartId="64e5bc5eaee14083afccb4d1132ae18d" PartId="1c50e032fdfa4b2f9f7ebbff4df0be28"/>
        <Part Type="strDalis" Nr="6" Abbr="4 str. 6 d." DocPartId="6324c4ee0fb646f5b1cffcca6c7a2db7" PartId="9d2987252940494f8bb9b7055c9b2840"/>
        <Part Type="strDalis" Nr="7" Abbr="4 str. 7 d." DocPartId="7e0cbb6bd66e403880180a78ba57161b" PartId="bbb75fc1559543529257256eb591ca91"/>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13e8aff2381d44de97fcabb29f35dad1"/>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ccb11ed9509c4356ad295f67fa37f6c5"/>
        <Part Type="strDalis" Nr="4" Abbr="9 str. 4 d." DocPartId="4d6b1b3cdd774072b694600fd2fed0ba" PartId="8f729a5b45584f47a7cf20af7d8781c2"/>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979525effb5744658642dce50ad5832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9a6927426f024534af26a11a94226481"/>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03fce37c16a543cb9cd37ec0dd4be22d"/>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edc51d62f13d4821a5d70d05d3e0edf3">
        <Part Type="strDalis" Nr="1" Abbr="16 str. 1 d." DocPartId="b220bbc6acba451d9827188b67aa4258" PartId="cfd31bd46f0d48c08975678bb729682a"/>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ių organų posėdžiai" DocPartId="6a73efb29e4c4beeba655b5a34799b6b" PartId="585cd07b4cc5402eb2aecbd28c2a117f">
        <Part Type="strDalis" Nr="1" Abbr="18 str. 1 d." DocPartId="ea83bc518af04cebb33451dc87a949b0" PartId="c83b70a7bf2c4a328f70bf42b55e9123"/>
      </Part>
      <Part Type="straipsnis" Nr="19" Abbr="19 str." Title="Finansų įstaigos administracija" DocPartId="d4459808580245e7804a36acd4c4e344" PartId="77730a8515af4ec597e4c26adf07bb7f">
        <Part Type="strDalis" Nr="1" Abbr="19 str. 1 d." DocPartId="32d840dd147b46ac85aea4ca80626dee" PartId="58d5d742d28d4d00a32fcdbcae7ba79d"/>
        <Part Type="strDalis" Nr="2" Abbr="19 str. 2 d." DocPartId="9379a86d42cf44c6855a5a4e1f8087c9" PartId="0f44e8eafc8244d58da1a40869ffb94e">
          <Part Type="strPunktas" Nr="1" Abbr="19 str. 2 d. 1 p." DocPartId="5fa5cf303f67442c8fb2395a003e0b63" PartId="fd259456d9454eaab2a53c2cddadae8e"/>
          <Part Type="strPunktas" Nr="2" Abbr="19 str. 2 d. 2 p." DocPartId="4cabe816669048dd8b664ce909c8a4b4" PartId="9e0e30a9d6734ed4abd26e19117eef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662534305cf145cca9cc2abdebeb2eee"/>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228b1148bb5c4d0cb56aca7f6cd3c9d8">
          <Part Type="strPunktas" Nr="1" Abbr="26 str. 2 d. 1 p." DocPartId="1b2ce304c6f2489da71bec7ff19d4b62" PartId="36fc3a3de80a4b8883eb62eb7468374d"/>
          <Part Type="strPunktas" Nr="2" Abbr="26 str. 2 d. 2 p." DocPartId="8643d88d453f4da1ba442d3954efd821" PartId="769740ae56904b2c947252b9bfb771f1"/>
          <Part Type="strPunktas" Nr="3" Abbr="26 str. 2 d. 3 p." DocPartId="54e2a6392ea442baa1bf6a871336dbae" PartId="55238f5720e944b19637f1357d8c3477"/>
          <Part Type="strPunktas" Nr="4" Abbr="26 str. 2 d. 4 p." DocPartId="d00d010a52844600bcf444a82e3c25d8" PartId="102dc5204db0446cb2f1b1c53a5194d1"/>
          <Part Type="strPunktas" Nr="5" Abbr="26 str. 2 d. 5 p." DocPartId="91ba86eb6f9d4195a57556f9bcf357ba" PartId="107da6a622de4d1e8d18b0d58b94f171"/>
          <Part Type="strPunktas" Nr="6" Abbr="26 str. 2 d. 6 p." DocPartId="6518ddd09b1a4af8abf52780f423128e" PartId="5704db00bcac4baba988cc9ffc80049c"/>
          <Part Type="strPunktas" Nr="7" Abbr="26 str. 2 d. 7 p." DocPartId="5074b18ad8424d90ab3a11fe51b265a1" PartId="710889dd621d44fba4b1154c88aa5be9"/>
          <Part Type="strPunktas" Nr="8" Abbr="26 str. 2 d. 8 p." DocPartId="bc5d8f2a79b049b7b2915ce0cb5413e2" PartId="e5c6fe2bd9ea438693567dc83edd50df"/>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1767cb3ce72b4ca0901508160617e430"/>
          <Part Type="strPunktas" Nr="2" Abbr="31 str. 5 d. 2 p." DocPartId="051f9f3bd09049aea0e8f920c77c323d" PartId="5049800bae204bdfb0748d1c968ec9fe"/>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b53d9ce7381f46518a17245d3b5167ae"/>
        <Part Type="strDalis" Nr="4" Abbr="4 d." DocPartId="df4edde2138748ecb72e8dc3e74bb5d8" PartId="9c84ab7cadf146b3b9a8ece7e225c117"/>
      </Part>
      <Part Type="straipsnis" Nr="45" Abbr="45 str." Title="Reikalavimai auditoriui ir audito įmonei, jų atsakomybė" DocPartId="2c29e248bef94a7b8afd1b5319b7b5ba" PartId="de89c709137f4d7fa4009e32c12158b7">
        <Part Type="strDalis" Nr="1" Abbr="45 str. 1 d." DocPartId="7a866919af17445795811165cfb4d7c8" PartId="4aa4c13610e34ecba2dae890cfedea31"/>
      </Part>
      <Part Type="straipsnis" Nr="46" Abbr="46 str." Title="Auditoriaus ir audito įmonės pareigos" DocPartId="88b9779d0f874494a5aa8e536e9d707a" PartId="e9c0daae9ac5492aa82e508dc624c402">
        <Part Type="strDalis" Nr="1" Abbr="1 d." DocPartId="dfbb684c6b034b7d8b11a6424623e658" PartId="911b08d124924bc18523b25c8cf8a0d1"/>
        <Part Type="strDalis" Nr="2" Abbr="46 str. 2 d." DocPartId="1cf7155327e245d88f11a836a142e440" PartId="70e068e2e3ce4aa6bee96cc453957279"/>
        <Part Type="strDalis" Nr="3" Abbr="46 str. 3 d." DocPartId="fb61f4d2f28447d09c168b10fb39f544" PartId="f7dc4f7be47749f8af8979f4cbd55cf6">
          <Part Type="strPunktas" Nr="1" Abbr="46 str. 3 d. 1 p." DocPartId="4851824afacb43c68e59d6fcfa85640a" PartId="d3a955bbf9fb4bc88ceb950329e4d29e"/>
          <Part Type="strPunktas" Nr="2" Abbr="46 str. 3 d. 2 p." DocPartId="120ba0ac24ee42248d2ae2302c778c13" PartId="f354f0e6263f4b92a84d7b7c35a4f467"/>
          <Part Type="strPunktas" Nr="3" Abbr="46 str. 3 d. 3 p." DocPartId="b3e9ad9ba2f44c18b3d6e27974f42e89" PartId="726512be9e2844389e95279a6dcf5316"/>
          <Part Type="strPunktas" Nr="4" Abbr="46 str. 3 d. 4 p." DocPartId="e458cb24e39945c2aa4df37d4a83d491" PartId="b954b364f488432d92e0c66c778c94a1"/>
          <Part Type="strPunktas" Nr="5" Abbr="46 str. 3 d. 5 p." DocPartId="fe56bf97e8604502a1ceb6f2dd16cf8a" PartId="dbb9b4fd01bc43beb531bde0470a32bd"/>
          <Part Type="strPunktas" Nr="6" Abbr="46 str. 3 d. 6 p." DocPartId="390c274041fa4cac84ecf0489bce4be3" PartId="62798fb4a37a44ffaa5ae5cb3a519935"/>
          <Part Type="strPunktas" Nr="7" Abbr="46 str. 3 d. 7 p." DocPartId="c95fea7af79244e7a6cfa98d57809a78" PartId="9ef4e722f9974b35a01b70419f331eba"/>
        </Part>
        <Part Type="strDalis" Nr="4" Abbr="46 str. 4 d." DocPartId="e35194a119d14ba6958580a16ce8ce61" PartId="b6db73740654418599381e08f556fef7"/>
        <Part Type="strDalis" Nr="5" Abbr="46 str. 5 d." DocPartId="9dc6ecc143014f5dad1c010a32792047" PartId="0dc65cf7f50b4af19c5f936ec384b866"/>
        <Part Type="strDalis" Nr="6" Abbr="46 str. 6 d." DocPartId="de1b329e25a647a28ca28db9dffe7c1c" PartId="927ac70869054192aec7c2ea0c021acb"/>
      </Part>
      <Part Type="straipsnis" Nr="47" Abbr="47 str." Title="Audito įmonės ir auditoriaus atsakomybė" DocPartId="ce5620e216d64123a1a11b78c1f15fa7" PartId="f194aef5358042fca571e630d4ac78d8"/>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2daba7b54a434c9091cb84b5abd92be8"/>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f61082b8f82542118e4d03f4fc222652"/>
  </Part>
  <Part Type="priedas" Abbr="pr." Title="ĮGYVENDINAMI EUROPOS SĄJUNGOS TEISĖS AKTAI" DocPartId="389da0df08c5414a96db08fd558b6221" PartId="b21cb1396a714180b1483a14f22ca8ae">
    <Part Type="punktas" Nr="1" Abbr="pr. 1 p." DocPartId="f29c80c892fd457892970b0122d155c6" PartId="7419d9f6205a44e4bda042935ed35b84"/>
    <Part Type="punktas" Nr="2" Abbr="pr. 2 p." DocPartId="f2f8d6a9bddc42d1a7014314e1f62136" PartId="b2078d277dca4069b022a53563af6c0a"/>
    <Part Type="punktas" Nr="3" Abbr="pr. 3 p." DocPartId="546a05d620854a3d869e0c150d8c5561" PartId="b00abad3221d4b53b61067ff08676e8e"/>
  </Part>
</Parts>
</file>

<file path=customXml/itemProps1.xml><?xml version="1.0" encoding="utf-8"?>
<ds:datastoreItem xmlns:ds="http://schemas.openxmlformats.org/officeDocument/2006/customXml" ds:itemID="{0489CED3-1415-4A72-85D7-16B09D4E82F2}">
  <ds:schemaRefs>
    <ds:schemaRef ds:uri="http://lrs.lt/TAIS/DocParts"/>
  </ds:schemaRefs>
</ds:datastoreItem>
</file>

<file path=docProps/app.xml><?xml version="1.0" encoding="utf-8"?>
<Properties xmlns="http://schemas.openxmlformats.org/officeDocument/2006/extended-properties">
  <Template>Normal.dotm</Template>
  <TotalTime>52</TotalTime>
  <Pages>25</Pages>
  <Words>57218</Words>
  <Characters>32615</Characters>
  <Application>Microsoft Office Word</Application>
  <DocSecurity>0</DocSecurity>
  <Lines>271</Lines>
  <Paragraphs>179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89654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RUDOKIENĖ Vitalija</lastModifiedBy>
  <dcterms:modified xsi:type="dcterms:W3CDTF">2024-07-26T11:49:00Z</dcterms:modified>
  <revision>69</revision>
</coreProperties>
</file>