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4f043b86e764606958e15fc51cfc9cf"/>
        <w:lock w:val="sdtLocked"/>
        <w:richText/>
      </w:sdtPr>
      <w:sdtContent>
        <w:p>
          <w:pPr>
            <w:jc w:val="both"/>
            <w:rPr>
              <w:rFonts w:ascii="Times New Roman" w:hAnsi="Times New Roman"/>
            </w:rPr>
          </w:pPr>
          <w:r>
            <w:rPr>
              <w:rFonts w:ascii="Times New Roman" w:hAnsi="Times New Roman"/>
              <w:b/>
              <w:i/>
            </w:rPr>
            <w:t>Suvestinė redakcija nuo 2011-05-03 iki 2011-08-31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073b337308864050ade53b011fbe8110"/>
                    <w:lock w:val="sdtLocked"/>
                    <w:richText/>
                  </w:sdtPr>
                  <w:sdtContent>
                    <w:p>
                      <w:pPr>
                        <w:widowControl w:val="0"/>
                        <w:suppressAutoHyphens/>
                        <w:ind w:firstLine="708"/>
                        <w:jc w:val="both"/>
                        <w:rPr>
                          <w:color w:val="000000"/>
                        </w:rPr>
                      </w:pPr>
                      <w:sdt>
                        <w:sdtPr>
                          <w:alias w:val="Numeris"/>
                          <w:tag w:val="nr_073b337308864050ade53b011fbe8110"/>
                          <w:lock w:val="sdtLocked"/>
                          <w:richText/>
                        </w:sdtPr>
                        <w:sdtContent>
                          <w:r>
                            <w:rPr>
                              <w:color w:val="000000"/>
                            </w:rPr>
                            <w:t>39</w:t>
                          </w:r>
                        </w:sdtContent>
                      </w:sdt>
                      <w:r>
                        <w:rPr>
                          <w:color w:val="000000"/>
                        </w:rPr>
                        <w:t xml:space="preserve">. </w:t>
                      </w:r>
                      <w:r>
                        <w:rPr>
                          <w:b/>
                          <w:bCs/>
                          <w:color w:val="000000"/>
                        </w:rPr>
                        <w:t>Tarpusavyje susijusių klientų grupė</w:t>
                      </w:r>
                      <w:r>
                        <w:rPr>
                          <w:color w:val="000000"/>
                        </w:rPr>
                        <w:t>:</w:t>
                      </w:r>
                    </w:p>
                    <w:sdt>
                      <w:sdtPr>
                        <w:alias w:val="2 str. 39 d. 1 p."/>
                        <w:tag w:val="part_66de715fa9294303818664c89a9396a1"/>
                        <w:lock w:val="sdtLocked"/>
                        <w:richText/>
                      </w:sdtPr>
                      <w:sdtContent>
                        <w:p>
                          <w:pPr>
                            <w:widowControl w:val="0"/>
                            <w:suppressAutoHyphens/>
                            <w:ind w:firstLine="708"/>
                            <w:jc w:val="both"/>
                            <w:rPr>
                              <w:color w:val="000000"/>
                            </w:rPr>
                          </w:pPr>
                          <w:sdt>
                            <w:sdtPr>
                              <w:alias w:val="Numeris"/>
                              <w:tag w:val="nr_66de715fa9294303818664c89a9396a1"/>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39 d. 2 p."/>
                        <w:tag w:val="part_fffa2802e40a4d208613c876091e4a02"/>
                        <w:lock w:val="sdtLocked"/>
                        <w:richText/>
                      </w:sdtPr>
                      <w:sdtContent>
                        <w:p>
                          <w:pPr>
                            <w:widowControl w:val="0"/>
                            <w:suppressAutoHyphens/>
                            <w:ind w:firstLine="708"/>
                            <w:jc w:val="both"/>
                            <w:rPr>
                              <w:color w:val="000000"/>
                            </w:rPr>
                          </w:pPr>
                          <w:sdt>
                            <w:sdtPr>
                              <w:alias w:val="Numeris"/>
                              <w:tag w:val="nr_fffa2802e40a4d208613c876091e4a0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176321737287459f8151501c72d13d2b"/>
                        <w:lock w:val="sdtLocked"/>
                        <w:richText/>
                      </w:sdtPr>
                      <w:sdtContent>
                        <w:p>
                          <w:pPr>
                            <w:widowControl w:val="0"/>
                            <w:suppressAutoHyphens/>
                            <w:ind w:firstLine="708"/>
                            <w:jc w:val="both"/>
                            <w:rPr>
                              <w:color w:val="000000"/>
                            </w:rPr>
                          </w:pPr>
                          <w:sdt>
                            <w:sdtPr>
                              <w:alias w:val="Numeris"/>
                              <w:tag w:val="nr_176321737287459f8151501c72d13d2b"/>
                              <w:lock w:val="sdtLocked"/>
                              <w:richText/>
                            </w:sdtPr>
                            <w:sdtContent>
                              <w:r>
                                <w:rPr>
                                  <w:color w:val="000000"/>
                                </w:rPr>
                                <w:t>4</w:t>
                              </w:r>
                            </w:sdtContent>
                          </w:sdt>
                          <w:r>
                            <w:rPr>
                              <w:color w:val="000000"/>
                            </w:rPr>
                            <w:t>) nustatyti prižiūrimoms finansų įstaigoms apskaitos reikalavimus, finansinių ir priežiūrai skirtų ataskaitų formą, turinį ir pateikimo priežiūros institucijai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605a214f02144b21aa164d6b02076833"/>
                        <w:lock w:val="sdtLocked"/>
                        <w:richText/>
                      </w:sdtPr>
                      <w:sdtContent>
                        <w:p>
                          <w:pPr>
                            <w:widowControl w:val="0"/>
                            <w:suppressAutoHyphens/>
                            <w:ind w:firstLine="708"/>
                            <w:jc w:val="both"/>
                            <w:rPr>
                              <w:color w:val="000000"/>
                            </w:rPr>
                          </w:pPr>
                          <w:sdt>
                            <w:sdtPr>
                              <w:alias w:val="Numeris"/>
                              <w:tag w:val="nr_605a214f02144b21aa164d6b02076833"/>
                              <w:lock w:val="sdtLocked"/>
                              <w:richText/>
                            </w:sdtPr>
                            <w:sdtContent>
                              <w:r>
                                <w:rPr>
                                  <w:color w:val="000000"/>
                                </w:rPr>
                                <w:t>2</w:t>
                              </w:r>
                            </w:sdtContent>
                          </w:sdt>
                          <w:r>
                            <w:rPr>
                              <w:color w:val="000000"/>
                            </w:rPr>
                            <w:t>) dokumentinė priežiūra: analizuojama ir vertinama finansų įstaigos veikla remiantis jos pateiktais finansinių ataskaitų rinkiniais ir kita iš finansų įstaigų bei kitų šaltinių gauta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C6214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3.wmf"/>
  <Relationship Id="rId16" Type="http://schemas.openxmlformats.org/officeDocument/2006/relationships/control" Target="activeX/activeX13.xml"/>
  <Relationship Id="rId17"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24f043b86e764606958e15fc51cfc9cf">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073b337308864050ade53b011fbe8110">
          <Part Type="strPunktas" Nr="1" Abbr="2 str. 39 d. 1 p." DocPartId="6ac7e8ed83a44711afe138851f183f6f" PartId="66de715fa9294303818664c89a9396a1"/>
          <Part Type="strPunktas" Nr="2" Abbr="2 str. 39 d. 2 p." DocPartId="5208895197b9464099ba0e44380e2070" PartId="fffa2802e40a4d208613c876091e4a02"/>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176321737287459f8151501c72d13d2b"/>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605a214f02144b21aa164d6b02076833"/>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Parts>
</file>

<file path=customXml/itemProps1.xml><?xml version="1.0" encoding="utf-8"?>
<ds:datastoreItem xmlns:ds="http://schemas.openxmlformats.org/officeDocument/2006/customXml" ds:itemID="{BB2AFD3B-8035-4A0E-B7DA-230FF864BBF0}">
  <ds:schemaRefs>
    <ds:schemaRef ds:uri="http://lrs.lt/TAIS/DocParts"/>
  </ds:schemaRefs>
</ds:datastoreItem>
</file>

<file path=docProps/app.xml><?xml version="1.0" encoding="utf-8"?>
<Properties xmlns="http://schemas.openxmlformats.org/officeDocument/2006/extended-properties">
  <Template>Normal.dotm</Template>
  <TotalTime>22</TotalTime>
  <Pages>27</Pages>
  <Words>63181</Words>
  <Characters>36014</Characters>
  <Application>Microsoft Office Word</Application>
  <DocSecurity>0</DocSecurity>
  <Lines>300</Lines>
  <Paragraphs>197</Paragraphs>
  <ScaleCrop>false</ScaleCrop>
  <Company/>
  <LinksUpToDate>false</LinksUpToDate>
  <CharactersWithSpaces>98998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2016-12-01T13:34:00Z</dcterms:modified>
  <revision>29</revision>
</coreProperties>
</file>