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698fd172f4243daa20955c433a46f33"/>
        <w:lock w:val="sdtLocked"/>
        <w:richText/>
      </w:sdtPr>
      <w:sdtContent>
        <w:p>
          <w:pPr>
            <w:jc w:val="both"/>
            <w:rPr>
              <w:rFonts w:ascii="Times New Roman" w:hAnsi="Times New Roman"/>
            </w:rPr>
          </w:pPr>
          <w:r>
            <w:rPr>
              <w:rFonts w:ascii="Times New Roman" w:hAnsi="Times New Roman"/>
              <w:b/>
              <w:i/>
            </w:rPr>
            <w:t>Suvestinė redakcija nuo 2009-04-04 iki 2009-12-27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4 d."/>
                    <w:tag w:val="part_3034c270a92648d3a569ae0e53a722b1"/>
                    <w:lock w:val="sdtLocked"/>
                    <w:richText/>
                  </w:sdtPr>
                  <w:sdtContent>
                    <w:p>
                      <w:pPr>
                        <w:widowControl w:val="0"/>
                        <w:ind w:firstLine="708"/>
                        <w:jc w:val="both"/>
                      </w:pPr>
                      <w:sdt>
                        <w:sdtPr>
                          <w:alias w:val="Numeris"/>
                          <w:tag w:val="nr_3034c270a92648d3a569ae0e53a722b1"/>
                          <w:lock w:val="sdtLocked"/>
                          <w:richText/>
                        </w:sdtPr>
                        <w:sdtContent>
                          <w:r>
                            <w:rPr>
                              <w:color w:val="000000"/>
                            </w:rPr>
                            <w:t>4</w:t>
                          </w:r>
                        </w:sdtContent>
                      </w:sdt>
                      <w:r>
                        <w:rPr>
                          <w:color w:val="000000"/>
                        </w:rPr>
                        <w:t>. Šiuo Įstatymu įgyvendinamas Europos Sąjungos teisės aktas, nurodytas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5ca99ff6d9e44e8fb068e14c667eed88"/>
                    <w:lock w:val="sdtLocked"/>
                    <w:richText/>
                  </w:sdtPr>
                  <w:sdtContent>
                    <w:p>
                      <w:pPr>
                        <w:widowControl w:val="0"/>
                        <w:ind w:firstLine="709"/>
                        <w:jc w:val="both"/>
                        <w:rPr>
                          <w:color w:val="000000"/>
                        </w:rPr>
                      </w:pPr>
                      <w:sdt>
                        <w:sdtPr>
                          <w:alias w:val="Numeris"/>
                          <w:tag w:val="nr_5ca99ff6d9e44e8fb068e14c667eed88"/>
                          <w:lock w:val="sdtLocked"/>
                          <w:richText/>
                        </w:sdtPr>
                        <w:sdtContent>
                          <w:r>
                            <w:t>7</w:t>
                          </w:r>
                        </w:sdtContent>
                      </w:sdt>
                      <w:r>
                        <w:t xml:space="preserve">. Finansų įmonė – 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19 punktuose nurodytų finansinių paslaugų teikimu.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418dbfa6f1d24a81bcdc9541da037447"/>
                    <w:lock w:val="sdtLocked"/>
                    <w:richText/>
                  </w:sdtPr>
                  <w:sdtContent>
                    <w:p>
                      <w:pPr>
                        <w:ind w:firstLine="708"/>
                        <w:jc w:val="both"/>
                        <w:rPr>
                          <w:color w:val="000000"/>
                        </w:rPr>
                      </w:pPr>
                      <w:sdt>
                        <w:sdtPr>
                          <w:alias w:val="Numeris"/>
                          <w:tag w:val="nr_418dbfa6f1d24a81bcdc9541da037447"/>
                          <w:lock w:val="sdtLocked"/>
                          <w:richText/>
                        </w:sdtPr>
                        <w:sdtContent>
                          <w:r>
                            <w:rPr>
                              <w:color w:val="000000"/>
                            </w:rPr>
                            <w:t>12</w:t>
                          </w:r>
                        </w:sdtContent>
                      </w:sdt>
                      <w:r>
                        <w:rPr>
                          <w:color w:val="000000"/>
                        </w:rPr>
                        <w:t xml:space="preserve">. </w:t>
                      </w:r>
                      <w:r>
                        <w:rPr>
                          <w:b/>
                          <w:color w:val="000000"/>
                        </w:rPr>
                        <w:t>Finansinis tarpininkavimas (agento veikla)</w:t>
                      </w:r>
                      <w:r>
                        <w:rPr>
                          <w:color w:val="000000"/>
                        </w:rPr>
                        <w:t xml:space="preserve"> – veikla vienos arba kelių finansų įstaigų vardu ir naudai priimant indėlius ir kitas grąžintinas lėšas, skolinant, priimant įmokas už kitų asmenų suteiktas paslaugas, teikiant kitas finansines paslaugas, taip pat finansų įstaigų vykdoma priklausomo draudimo tarpininkavimo veikla, išskyrus draudiminių įvykių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be77843e796145f1bf591c1c0281fa63"/>
                    <w:lock w:val="sdtLocked"/>
                    <w:richText/>
                  </w:sdtPr>
                  <w:sdtContent>
                    <w:p>
                      <w:pPr>
                        <w:ind w:firstLine="708"/>
                        <w:jc w:val="both"/>
                        <w:rPr>
                          <w:color w:val="000000"/>
                        </w:rPr>
                      </w:pPr>
                      <w:sdt>
                        <w:sdtPr>
                          <w:alias w:val="Numeris"/>
                          <w:tag w:val="nr_be77843e796145f1bf591c1c0281fa63"/>
                          <w:lock w:val="sdtLocked"/>
                          <w:richText/>
                        </w:sdtPr>
                        <w:sdtContent>
                          <w:r>
                            <w:rPr>
                              <w:color w:val="000000"/>
                            </w:rPr>
                            <w:t>17</w:t>
                          </w:r>
                        </w:sdtContent>
                      </w:sdt>
                      <w:r>
                        <w:rPr>
                          <w:color w:val="000000"/>
                        </w:rPr>
                        <w:t xml:space="preserve">. </w:t>
                      </w:r>
                      <w:r>
                        <w:rPr>
                          <w:b/>
                          <w:color w:val="000000"/>
                        </w:rPr>
                        <w:t xml:space="preserve">Indėlių ir kitų grąžintinų lėšų priėmimas iš neprofesionalių rinkos dalyvių </w:t>
                      </w:r>
                      <w:r>
                        <w:rPr>
                          <w:color w:val="000000"/>
                        </w:rPr>
                        <w:t>– piniginių lėšų priėmimas iš nenustatytų iš anksto asmenų, kad būtų galima jas valdyti, naudoti ir (arba) jomis disponuoti, įsipareigojant jas sugrąžinti su palūkanomis ar be jų. Mokėjimo kortelių ar kitokių priemonių, kurios gali būti naudojamos kaip mokėjimo priemonė perkant prekes arba paslaugas tik iš šias korteles ar kitokias priemones išleidusio asmens, išleidimas nėra indėlių ar kitokių grąžintinų lėšų priėmimas iš neprofesionalių rinkos dalyvių.</w:t>
                      </w:r>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c359c510c17f4567948a82b3699081af"/>
                    <w:lock w:val="sdtLocked"/>
                    <w:richText/>
                  </w:sdtPr>
                  <w:sdtContent>
                    <w:p>
                      <w:pPr>
                        <w:ind w:firstLine="708"/>
                        <w:jc w:val="both"/>
                        <w:rPr>
                          <w:color w:val="000000"/>
                        </w:rPr>
                      </w:pPr>
                      <w:sdt>
                        <w:sdtPr>
                          <w:alias w:val="Numeris"/>
                          <w:tag w:val="nr_c359c510c17f4567948a82b3699081af"/>
                          <w:lock w:val="sdtLocked"/>
                          <w:richText/>
                        </w:sdtPr>
                        <w:sdtContent>
                          <w:r>
                            <w:rPr>
                              <w:color w:val="000000"/>
                            </w:rPr>
                            <w:t>21</w:t>
                          </w:r>
                        </w:sdtContent>
                      </w:sdt>
                      <w:r>
                        <w:rPr>
                          <w:color w:val="000000"/>
                        </w:rPr>
                        <w:t xml:space="preserve">. </w:t>
                      </w:r>
                      <w:r>
                        <w:rPr>
                          <w:b/>
                          <w:color w:val="000000"/>
                        </w:rPr>
                        <w:t>Jungtinė (konsoliduota) priežiūra</w:t>
                      </w:r>
                      <w:r>
                        <w:rPr>
                          <w:color w:val="000000"/>
                        </w:rPr>
                        <w:t xml:space="preserve"> – globojančios (patronuojančios) įmonės ir jos kontroliuojamos finansinės grupės priežiūra, atliekama remiantis jungtinėmis (konsoliduotomis) finansinės atskaitomybės ir kitomis priežiūrai skirtomis ataskaitomis, kurias sudaro ir priežiūrą atliekančiai institucijai pateikia globojanti (patronuojanti) įmonė.</w:t>
                      </w:r>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3 d."/>
                    <w:tag w:val="part_672121a170e64a9098eaabd5439b0593"/>
                    <w:lock w:val="sdtLocked"/>
                    <w:richText/>
                  </w:sdtPr>
                  <w:sdtContent>
                    <w:p>
                      <w:pPr>
                        <w:widowControl w:val="0"/>
                        <w:ind w:firstLine="708"/>
                        <w:jc w:val="both"/>
                        <w:rPr>
                          <w:color w:val="000000"/>
                        </w:rPr>
                      </w:pPr>
                      <w:sdt>
                        <w:sdtPr>
                          <w:alias w:val="Numeris"/>
                          <w:tag w:val="nr_672121a170e64a9098eaabd5439b0593"/>
                          <w:lock w:val="sdtLocked"/>
                          <w:richText/>
                        </w:sdtPr>
                        <w:sdtContent>
                          <w:r>
                            <w:rPr>
                              <w:color w:val="000000"/>
                            </w:rPr>
                            <w:t>23</w:t>
                          </w:r>
                        </w:sdtContent>
                      </w:sdt>
                      <w:r>
                        <w:rPr>
                          <w:color w:val="000000"/>
                        </w:rPr>
                        <w:t xml:space="preserve">. </w:t>
                      </w:r>
                      <w:r>
                        <w:rPr>
                          <w:b/>
                          <w:bCs/>
                          <w:color w:val="000000"/>
                        </w:rPr>
                        <w:t xml:space="preserve">Kredito įstaiga – </w:t>
                      </w:r>
                      <w:r>
                        <w:rPr>
                          <w:color w:val="000000"/>
                        </w:rPr>
                        <w:t>įmonė, kuri turi licenciją verstis ir verčiasi indėlių ar kitų grąžintinų lėšų priėmimu iš neprofesionalių rinkos dalyvių ir jų skolinimu arba elektroninių pinigų išleidimu ir tvarkymu.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4 d."/>
                    <w:tag w:val="part_6f2cc55b75114096a49af8cdc281ad42"/>
                    <w:lock w:val="sdtLocked"/>
                    <w:richText/>
                  </w:sdtPr>
                  <w:sdtContent>
                    <w:p>
                      <w:pPr>
                        <w:widowControl w:val="0"/>
                        <w:ind w:firstLine="708"/>
                        <w:jc w:val="both"/>
                        <w:rPr>
                          <w:color w:val="000000"/>
                        </w:rPr>
                      </w:pPr>
                      <w:sdt>
                        <w:sdtPr>
                          <w:alias w:val="Numeris"/>
                          <w:tag w:val="nr_6f2cc55b75114096a49af8cdc281ad42"/>
                          <w:lock w:val="sdtLocked"/>
                          <w:richText/>
                        </w:sdtPr>
                        <w:sdtContent>
                          <w:r>
                            <w:rPr>
                              <w:color w:val="000000"/>
                            </w:rPr>
                            <w:t>24</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c4441a91cf54615b484988af1ae2d42"/>
                    <w:lock w:val="sdtLocked"/>
                    <w:richText/>
                  </w:sdtPr>
                  <w:sdtContent>
                    <w:p>
                      <w:pPr>
                        <w:widowControl w:val="0"/>
                        <w:ind w:firstLine="708"/>
                        <w:jc w:val="both"/>
                        <w:rPr>
                          <w:color w:val="000000"/>
                        </w:rPr>
                      </w:pPr>
                      <w:sdt>
                        <w:sdtPr>
                          <w:alias w:val="Numeris"/>
                          <w:tag w:val="nr_1c4441a91cf54615b484988af1ae2d42"/>
                          <w:lock w:val="sdtLocked"/>
                          <w:richText/>
                        </w:sdtPr>
                        <w:sdtContent>
                          <w:r>
                            <w:rPr>
                              <w:color w:val="000000"/>
                            </w:rPr>
                            <w:t>27</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748236eb586e4da59c2b5b8ab745b9f6"/>
                    <w:lock w:val="sdtLocked"/>
                    <w:richText/>
                  </w:sdtPr>
                  <w:sdtContent>
                    <w:p>
                      <w:pPr>
                        <w:ind w:firstLine="708"/>
                        <w:jc w:val="both"/>
                        <w:rPr>
                          <w:color w:val="000000"/>
                        </w:rPr>
                      </w:pPr>
                      <w:sdt>
                        <w:sdtPr>
                          <w:alias w:val="Numeris"/>
                          <w:tag w:val="nr_748236eb586e4da59c2b5b8ab745b9f6"/>
                          <w:lock w:val="sdtLocked"/>
                          <w:richText/>
                        </w:sdtPr>
                        <w:sdtContent>
                          <w:r>
                            <w:rPr>
                              <w:color w:val="000000"/>
                            </w:rPr>
                            <w:t>39</w:t>
                          </w:r>
                        </w:sdtContent>
                      </w:sdt>
                      <w:r>
                        <w:rPr>
                          <w:color w:val="000000"/>
                        </w:rPr>
                        <w:t xml:space="preserve">. </w:t>
                      </w:r>
                      <w:r>
                        <w:rPr>
                          <w:b/>
                          <w:color w:val="000000"/>
                        </w:rPr>
                        <w:t xml:space="preserve">Tarpusavyje susijusių klientų grupė </w:t>
                      </w:r>
                      <w:r>
                        <w:rPr>
                          <w:color w:val="000000"/>
                        </w:rPr>
                        <w:t xml:space="preserve">– du arba daugiau finansų įstaigos (arba kelių tai pačiai finansinei grupei priklausančių finansų įstaigų) klientų, kurie yra susiję tarpusavyje dėl to, kad: </w:t>
                      </w:r>
                    </w:p>
                    <w:sdt>
                      <w:sdtPr>
                        <w:alias w:val="2 str. 39 d. 1 p."/>
                        <w:tag w:val="part_25dae9ac3205435f961b5f936a417075"/>
                        <w:lock w:val="sdtLocked"/>
                        <w:richText/>
                      </w:sdtPr>
                      <w:sdtContent>
                        <w:p>
                          <w:pPr>
                            <w:ind w:firstLine="708"/>
                            <w:jc w:val="both"/>
                            <w:rPr>
                              <w:color w:val="000000"/>
                            </w:rPr>
                          </w:pPr>
                          <w:sdt>
                            <w:sdtPr>
                              <w:alias w:val="Numeris"/>
                              <w:tag w:val="nr_25dae9ac3205435f961b5f936a417075"/>
                              <w:lock w:val="sdtLocked"/>
                              <w:richText/>
                            </w:sdtPr>
                            <w:sdtContent>
                              <w:r>
                                <w:rPr>
                                  <w:color w:val="000000"/>
                                </w:rPr>
                                <w:t>1</w:t>
                              </w:r>
                            </w:sdtContent>
                          </w:sdt>
                          <w:r>
                            <w:rPr>
                              <w:color w:val="000000"/>
                            </w:rPr>
                            <w:t xml:space="preserve">) vienas iš klientų tiesiogiai ir (arba) netiesiogiai gali kontroliuoti kitus klientus; </w:t>
                          </w:r>
                        </w:p>
                      </w:sdtContent>
                    </w:sdt>
                    <w:sdt>
                      <w:sdtPr>
                        <w:alias w:val="2 str. 39 d. 2 p."/>
                        <w:tag w:val="part_194e1bafce824293b55178c17c79badf"/>
                        <w:lock w:val="sdtLocked"/>
                        <w:richText/>
                      </w:sdtPr>
                      <w:sdtContent>
                        <w:p>
                          <w:pPr>
                            <w:widowControl w:val="0"/>
                            <w:ind w:firstLine="708"/>
                            <w:jc w:val="both"/>
                            <w:rPr>
                              <w:color w:val="000000"/>
                            </w:rPr>
                          </w:pPr>
                          <w:sdt>
                            <w:sdtPr>
                              <w:alias w:val="Numeris"/>
                              <w:tag w:val="nr_194e1bafce824293b55178c17c79badf"/>
                              <w:lock w:val="sdtLocked"/>
                              <w:richText/>
                            </w:sdtPr>
                            <w:sdtContent>
                              <w:r>
                                <w:rPr>
                                  <w:color w:val="000000"/>
                                </w:rPr>
                                <w:t>2</w:t>
                              </w:r>
                            </w:sdtContent>
                          </w:sdt>
                          <w:r>
                            <w:rPr>
                              <w:color w:val="000000"/>
                            </w:rPr>
                            <w:t>) klientai yra susiję tokiais tarpusavio ryšiais, kad jeigu vienas iš jų negalėtų įvykdyti savo įsipareigojimų finansų įstaigai, kiltų sunkumų ir kitam arba kitiems klientams įvykdyti įsipareigojimus šiai finansų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4b4db8b347bf419c8762dd0238b39767"/>
                        <w:lock w:val="sdtLocked"/>
                        <w:richText/>
                      </w:sdtPr>
                      <w:sdtContent>
                        <w:p>
                          <w:pPr>
                            <w:ind w:firstLine="708"/>
                            <w:jc w:val="both"/>
                          </w:pPr>
                          <w:sdt>
                            <w:sdtPr>
                              <w:alias w:val="Numeris"/>
                              <w:tag w:val="nr_4b4db8b347bf419c8762dd0238b39767"/>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af12e2a71c6a402486287ed8be89e7d8"/>
                        <w:lock w:val="sdtLocked"/>
                        <w:richText/>
                      </w:sdtPr>
                      <w:sdtContent>
                        <w:p>
                          <w:pPr>
                            <w:ind w:firstLine="708"/>
                            <w:jc w:val="both"/>
                            <w:rPr>
                              <w:color w:val="000000"/>
                            </w:rPr>
                          </w:pPr>
                          <w:sdt>
                            <w:sdtPr>
                              <w:alias w:val="Numeris"/>
                              <w:tag w:val="nr_af12e2a71c6a402486287ed8be89e7d8"/>
                              <w:lock w:val="sdtLocked"/>
                              <w:richText/>
                            </w:sdtPr>
                            <w:sdtContent>
                              <w:r>
                                <w:rPr>
                                  <w:color w:val="000000"/>
                                </w:rPr>
                                <w:t>4</w:t>
                              </w:r>
                            </w:sdtContent>
                          </w:sdt>
                          <w:r>
                            <w:rPr>
                              <w:color w:val="000000"/>
                            </w:rPr>
                            <w:t xml:space="preserve">) pinigų pervedimas; </w:t>
                          </w:r>
                        </w:p>
                      </w:sdtContent>
                    </w:sdt>
                    <w:sdt>
                      <w:sdtPr>
                        <w:alias w:val="3 str. 1 d. 5 p."/>
                        <w:tag w:val="part_c63344530200494ca2a115feab69a96c"/>
                        <w:lock w:val="sdtLocked"/>
                        <w:richText/>
                      </w:sdtPr>
                      <w:sdtContent>
                        <w:p>
                          <w:pPr>
                            <w:ind w:firstLine="708"/>
                            <w:jc w:val="both"/>
                            <w:rPr>
                              <w:color w:val="000000"/>
                            </w:rPr>
                          </w:pPr>
                          <w:sdt>
                            <w:sdtPr>
                              <w:alias w:val="Numeris"/>
                              <w:tag w:val="nr_c63344530200494ca2a115feab69a96c"/>
                              <w:lock w:val="sdtLocked"/>
                              <w:richText/>
                            </w:sdtPr>
                            <w:sdtContent>
                              <w:r>
                                <w:rPr>
                                  <w:color w:val="000000"/>
                                </w:rPr>
                                <w:t>5</w:t>
                              </w:r>
                            </w:sdtContent>
                          </w:sdt>
                          <w:r>
                            <w:rPr>
                              <w:color w:val="000000"/>
                            </w:rPr>
                            <w:t xml:space="preserve">) mokėjimo kortelių ir kitų mokėjimo priemonių išleidimas ir (arba) operacijų su jomis atlikimas; </w:t>
                          </w:r>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51b151f9d3e242ff955f90620854ceaa"/>
                        <w:lock w:val="sdtLocked"/>
                        <w:richText/>
                      </w:sdtPr>
                      <w:sdtContent>
                        <w:p>
                          <w:pPr>
                            <w:ind w:firstLine="708"/>
                            <w:jc w:val="both"/>
                          </w:pPr>
                          <w:sdt>
                            <w:sdtPr>
                              <w:alias w:val="Numeris"/>
                              <w:tag w:val="nr_51b151f9d3e242ff955f90620854ceaa"/>
                              <w:lock w:val="sdtLocked"/>
                              <w:richText/>
                            </w:sdtPr>
                            <w:sdtContent>
                              <w:r>
                                <w:rPr>
                                  <w:color w:val="000000"/>
                                </w:rPr>
                                <w:t>18</w:t>
                              </w:r>
                            </w:sdtContent>
                          </w:sdt>
                          <w:r>
                            <w:rPr>
                              <w:color w:val="000000"/>
                            </w:rPr>
                            <w:t>) elektroninių pinigų išleidimas ir tvarkymas;</w:t>
                          </w:r>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3aa0f32551a141589299a162f5f7d852"/>
                        <w:lock w:val="sdtLocked"/>
                        <w:richText/>
                      </w:sdtPr>
                      <w:sdtContent>
                        <w:p>
                          <w:pPr>
                            <w:ind w:firstLine="708"/>
                            <w:jc w:val="both"/>
                            <w:rPr>
                              <w:color w:val="000000"/>
                            </w:rPr>
                          </w:pPr>
                          <w:sdt>
                            <w:sdtPr>
                              <w:alias w:val="Numeris"/>
                              <w:tag w:val="nr_3aa0f32551a141589299a162f5f7d852"/>
                              <w:lock w:val="sdtLocked"/>
                              <w:richText/>
                            </w:sdtPr>
                            <w:sdtContent>
                              <w:r>
                                <w:rPr>
                                  <w:color w:val="000000"/>
                                </w:rPr>
                                <w:t>3</w:t>
                              </w:r>
                            </w:sdtContent>
                          </w:sdt>
                          <w:r>
                            <w:rPr>
                              <w:color w:val="000000"/>
                            </w:rPr>
                            <w:t xml:space="preserve">) atlikti pinigų pervedimus; </w:t>
                          </w:r>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3aec338a436b421fba164d3ed32daf0f"/>
                        <w:lock w:val="sdtLocked"/>
                        <w:richText/>
                      </w:sdtPr>
                      <w:sdtContent>
                        <w:p>
                          <w:pPr>
                            <w:ind w:firstLine="708"/>
                            <w:jc w:val="both"/>
                            <w:rPr>
                              <w:color w:val="000000"/>
                            </w:rPr>
                          </w:pPr>
                          <w:sdt>
                            <w:sdtPr>
                              <w:alias w:val="Numeris"/>
                              <w:tag w:val="nr_3aec338a436b421fba164d3ed32daf0f"/>
                              <w:lock w:val="sdtLocked"/>
                              <w:richText/>
                            </w:sdtPr>
                            <w:sdtContent>
                              <w:r>
                                <w:rPr>
                                  <w:color w:val="000000"/>
                                </w:rPr>
                                <w:t>3</w:t>
                              </w:r>
                            </w:sdtContent>
                          </w:sdt>
                          <w:r>
                            <w:rPr>
                              <w:color w:val="000000"/>
                            </w:rPr>
                            <w:t>) vertinti, ar finansų įstaigos finansinė atskaitomybė rodo tikrąją būklę;</w:t>
                          </w:r>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b076a2c3ab5a487fafad7221454ac4a9"/>
                    <w:lock w:val="sdtLocked"/>
                    <w:richText/>
                  </w:sdtPr>
                  <w:sdtContent>
                    <w:p>
                      <w:pPr>
                        <w:ind w:firstLine="708"/>
                        <w:jc w:val="both"/>
                        <w:rPr>
                          <w:color w:val="000000"/>
                        </w:rPr>
                      </w:pPr>
                      <w:sdt>
                        <w:sdtPr>
                          <w:alias w:val="Numeris"/>
                          <w:tag w:val="nr_b076a2c3ab5a487fafad7221454ac4a9"/>
                          <w:lock w:val="sdtLocked"/>
                          <w:richText/>
                        </w:sdtPr>
                        <w:sdtContent>
                          <w:r>
                            <w:rPr>
                              <w:color w:val="000000"/>
                            </w:rPr>
                            <w:t>4</w:t>
                          </w:r>
                        </w:sdtContent>
                      </w:sdt>
                      <w:r>
                        <w:rPr>
                          <w:color w:val="000000"/>
                        </w:rPr>
                        <w:t xml:space="preserve">. Per finansinius metus gautas grynasis finansinis metinės veiklos rezultatas (pelnas arba nuostolis) turi būti paskirstytas ne vėliau kaip per 3 mėnesius pasibaigus finansiniams metams, finansų įstaigos dalyviams savo sprendimu tvirtinant metinę finansinę atskaitomybę. </w:t>
                      </w:r>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859df493cbe84fc881fabeaafa839909"/>
                <w:lock w:val="sdtLocked"/>
                <w:richText/>
              </w:sdtPr>
              <w:sdtContent>
                <w:p>
                  <w:pPr>
                    <w:ind w:firstLine="708"/>
                    <w:jc w:val="both"/>
                    <w:rPr>
                      <w:color w:val="000000"/>
                    </w:rPr>
                  </w:pPr>
                  <w:sdt>
                    <w:sdtPr>
                      <w:alias w:val="Numeris"/>
                      <w:tag w:val="nr_859df493cbe84fc881fabeaafa839909"/>
                      <w:lock w:val="sdtLocked"/>
                      <w:richText/>
                    </w:sdtPr>
                    <w:sdtContent>
                      <w:r>
                        <w:rPr>
                          <w:b/>
                          <w:color w:val="000000"/>
                        </w:rPr>
                        <w:t>43</w:t>
                      </w:r>
                    </w:sdtContent>
                  </w:sdt>
                  <w:r>
                    <w:rPr>
                      <w:b/>
                      <w:color w:val="000000"/>
                    </w:rPr>
                    <w:t xml:space="preserve"> straipsnis. </w:t>
                  </w:r>
                  <w:sdt>
                    <w:sdtPr>
                      <w:alias w:val="Pavadinimas"/>
                      <w:tag w:val="title_859df493cbe84fc881fabeaafa839909"/>
                      <w:lock w:val="sdtLocked"/>
                      <w:richText/>
                    </w:sdtPr>
                    <w:sdtContent>
                      <w:r>
                        <w:rPr>
                          <w:b/>
                          <w:color w:val="000000"/>
                        </w:rPr>
                        <w:t>Apskaita</w:t>
                      </w:r>
                      <w:r>
                        <w:rPr>
                          <w:color w:val="000000"/>
                        </w:rPr>
                        <w:t xml:space="preserve"> </w:t>
                      </w:r>
                    </w:sdtContent>
                  </w:sdt>
                </w:p>
                <w:sdt>
                  <w:sdtPr>
                    <w:alias w:val="43 str. 1 d."/>
                    <w:tag w:val="part_fa90f937f8fa4566b36d81eef4a59cae"/>
                    <w:lock w:val="sdtLocked"/>
                    <w:richText/>
                  </w:sdtPr>
                  <w:sdtContent>
                    <w:p>
                      <w:pPr>
                        <w:ind w:firstLine="708"/>
                        <w:jc w:val="both"/>
                        <w:rPr>
                          <w:color w:val="000000"/>
                        </w:rPr>
                      </w:pPr>
                      <w:sdt>
                        <w:sdtPr>
                          <w:alias w:val="Numeris"/>
                          <w:tag w:val="nr_fa90f937f8fa4566b36d81eef4a59cae"/>
                          <w:lock w:val="sdtLocked"/>
                          <w:richText/>
                        </w:sdtPr>
                        <w:sdtContent>
                          <w:r>
                            <w:rPr>
                              <w:color w:val="000000"/>
                            </w:rPr>
                            <w:t>1</w:t>
                          </w:r>
                        </w:sdtContent>
                      </w:sdt>
                      <w:r>
                        <w:rPr>
                          <w:color w:val="000000"/>
                        </w:rPr>
                        <w:t xml:space="preserve">. Finansų įstaiga privalo tvarkyti buhalterinę apskaitą vadovaudamasi Lietuvos Respublikos įstatymais ir kitais teisės aktais, taip pat finansų įstaigos organų pasirinkta apskaitos politika, kuri įgyvendinama atsižvelgiant į konkrečias sąlygas, verslo pobūdį bei vadovaujantis tarptautiniais ar verslo apskaitos standartais. </w:t>
                      </w:r>
                    </w:p>
                  </w:sdtContent>
                </w:sdt>
                <w:sdt>
                  <w:sdtPr>
                    <w:alias w:val="43 str. 2 d."/>
                    <w:tag w:val="part_85ce06f1d9694b44a8f98cd5b356d7f9"/>
                    <w:lock w:val="sdtLocked"/>
                    <w:richText/>
                  </w:sdtPr>
                  <w:sdtContent>
                    <w:p>
                      <w:pPr>
                        <w:ind w:firstLine="708"/>
                        <w:jc w:val="both"/>
                        <w:rPr>
                          <w:color w:val="000000"/>
                        </w:rPr>
                      </w:pPr>
                      <w:sdt>
                        <w:sdtPr>
                          <w:alias w:val="Numeris"/>
                          <w:tag w:val="nr_85ce06f1d9694b44a8f98cd5b356d7f9"/>
                          <w:lock w:val="sdtLocked"/>
                          <w:richText/>
                        </w:sdtPr>
                        <w:sdtContent>
                          <w:r>
                            <w:rPr>
                              <w:color w:val="000000"/>
                            </w:rPr>
                            <w:t>2</w:t>
                          </w:r>
                        </w:sdtContent>
                      </w:sdt>
                      <w:r>
                        <w:rPr>
                          <w:color w:val="000000"/>
                        </w:rPr>
                        <w:t xml:space="preserve">. Finansų įstaigos veiklos apskaitos sistema privalo būti organizuota taip, kad: </w:t>
                      </w:r>
                    </w:p>
                    <w:sdt>
                      <w:sdtPr>
                        <w:alias w:val="43 str. 2 d. 1 p."/>
                        <w:tag w:val="part_e33abae2bb164d38b4b05189b28b4211"/>
                        <w:lock w:val="sdtLocked"/>
                        <w:richText/>
                      </w:sdtPr>
                      <w:sdtContent>
                        <w:p>
                          <w:pPr>
                            <w:ind w:firstLine="708"/>
                            <w:jc w:val="both"/>
                            <w:rPr>
                              <w:color w:val="000000"/>
                            </w:rPr>
                          </w:pPr>
                          <w:sdt>
                            <w:sdtPr>
                              <w:alias w:val="Numeris"/>
                              <w:tag w:val="nr_e33abae2bb164d38b4b05189b28b4211"/>
                              <w:lock w:val="sdtLocked"/>
                              <w:richText/>
                            </w:sdtPr>
                            <w:sdtContent>
                              <w:r>
                                <w:rPr>
                                  <w:color w:val="000000"/>
                                </w:rPr>
                                <w:t>1</w:t>
                              </w:r>
                            </w:sdtContent>
                          </w:sdt>
                          <w:r>
                            <w:rPr>
                              <w:color w:val="000000"/>
                            </w:rPr>
                            <w:t xml:space="preserve">) finansinė atskaitomybė rodytų tikrą finansų įstaigos finansinę būklę ir veiklos rezultatus; </w:t>
                          </w:r>
                        </w:p>
                      </w:sdtContent>
                    </w:sdt>
                    <w:sdt>
                      <w:sdtPr>
                        <w:alias w:val="43 str. 2 d. 2 p."/>
                        <w:tag w:val="part_7777e5882e4a437299c08dad030a7ade"/>
                        <w:lock w:val="sdtLocked"/>
                        <w:richText/>
                      </w:sdtPr>
                      <w:sdtContent>
                        <w:p>
                          <w:pPr>
                            <w:ind w:firstLine="708"/>
                            <w:jc w:val="both"/>
                            <w:rPr>
                              <w:color w:val="000000"/>
                            </w:rPr>
                          </w:pPr>
                          <w:sdt>
                            <w:sdtPr>
                              <w:alias w:val="Numeris"/>
                              <w:tag w:val="nr_7777e5882e4a437299c08dad030a7ade"/>
                              <w:lock w:val="sdtLocked"/>
                              <w:richText/>
                            </w:sdtPr>
                            <w:sdtContent>
                              <w:r>
                                <w:rPr>
                                  <w:color w:val="000000"/>
                                </w:rPr>
                                <w:t>2</w:t>
                              </w:r>
                            </w:sdtContent>
                          </w:sdt>
                          <w:r>
                            <w:rPr>
                              <w:color w:val="000000"/>
                            </w:rPr>
                            <w:t xml:space="preserve">) sudarytų sąlygas finansų įstaigos vadovams saugiai ir patikimai naudoti bei valdyti finansų įstaigos turtą ir juo disponuoti; </w:t>
                          </w:r>
                        </w:p>
                      </w:sdtContent>
                    </w:sdt>
                    <w:sdt>
                      <w:sdtPr>
                        <w:alias w:val="43 str. 2 d. 3 p."/>
                        <w:tag w:val="part_e2ec6f1a5b5043f9bd048578161bf699"/>
                        <w:lock w:val="sdtLocked"/>
                        <w:richText/>
                      </w:sdtPr>
                      <w:sdtContent>
                        <w:p>
                          <w:pPr>
                            <w:ind w:firstLine="708"/>
                            <w:jc w:val="both"/>
                            <w:rPr>
                              <w:color w:val="000000"/>
                            </w:rPr>
                          </w:pPr>
                          <w:sdt>
                            <w:sdtPr>
                              <w:alias w:val="Numeris"/>
                              <w:tag w:val="nr_e2ec6f1a5b5043f9bd048578161bf699"/>
                              <w:lock w:val="sdtLocked"/>
                              <w:richText/>
                            </w:sdtPr>
                            <w:sdtContent>
                              <w:r>
                                <w:rPr>
                                  <w:color w:val="000000"/>
                                </w:rPr>
                                <w:t>3</w:t>
                              </w:r>
                            </w:sdtContent>
                          </w:sdt>
                          <w:r>
                            <w:rPr>
                              <w:color w:val="000000"/>
                            </w:rPr>
                            <w:t xml:space="preserve">)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 </w:t>
                          </w:r>
                        </w:p>
                      </w:sdtContent>
                    </w:sdt>
                  </w:sdtContent>
                </w:sdt>
                <w:sdt>
                  <w:sdtPr>
                    <w:alias w:val="43 str. 3 d."/>
                    <w:tag w:val="part_d62b1f80cdff42ea9bf77ab8de63bdf3"/>
                    <w:lock w:val="sdtLocked"/>
                    <w:richText/>
                  </w:sdtPr>
                  <w:sdtContent>
                    <w:p>
                      <w:pPr>
                        <w:ind w:firstLine="708"/>
                        <w:jc w:val="both"/>
                        <w:rPr>
                          <w:color w:val="000000"/>
                        </w:rPr>
                      </w:pPr>
                      <w:sdt>
                        <w:sdtPr>
                          <w:alias w:val="Numeris"/>
                          <w:tag w:val="nr_d62b1f80cdff42ea9bf77ab8de63bdf3"/>
                          <w:lock w:val="sdtLocked"/>
                          <w:richText/>
                        </w:sdtPr>
                        <w:sdtContent>
                          <w:r>
                            <w:rPr>
                              <w:color w:val="000000"/>
                            </w:rPr>
                            <w:t>3</w:t>
                          </w:r>
                        </w:sdtContent>
                      </w:sdt>
                      <w:r>
                        <w:rPr>
                          <w:color w:val="000000"/>
                        </w:rPr>
                        <w:t xml:space="preserve">. Pasibaigus finansiniams metams, finansų įstaiga privalo: </w:t>
                      </w:r>
                    </w:p>
                    <w:sdt>
                      <w:sdtPr>
                        <w:alias w:val="43 str. 3 d. 1 p."/>
                        <w:tag w:val="part_47bb3d58ce0a465696f4afff997bd8c3"/>
                        <w:lock w:val="sdtLocked"/>
                        <w:richText/>
                      </w:sdtPr>
                      <w:sdtContent>
                        <w:p>
                          <w:pPr>
                            <w:ind w:firstLine="708"/>
                            <w:jc w:val="both"/>
                            <w:rPr>
                              <w:color w:val="000000"/>
                            </w:rPr>
                          </w:pPr>
                          <w:sdt>
                            <w:sdtPr>
                              <w:alias w:val="Numeris"/>
                              <w:tag w:val="nr_47bb3d58ce0a465696f4afff997bd8c3"/>
                              <w:lock w:val="sdtLocked"/>
                              <w:richText/>
                            </w:sdtPr>
                            <w:sdtContent>
                              <w:r>
                                <w:rPr>
                                  <w:color w:val="000000"/>
                                </w:rPr>
                                <w:t>1</w:t>
                              </w:r>
                            </w:sdtContent>
                          </w:sdt>
                          <w:r>
                            <w:rPr>
                              <w:color w:val="000000"/>
                            </w:rPr>
                            <w:t xml:space="preserve">)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metinę finansinę atskaitomybę (metines finansines ataskaitas), sprendimo dėl pelno paskirstymo projektą bei auditoriaus išvadą; </w:t>
                          </w:r>
                        </w:p>
                      </w:sdtContent>
                    </w:sdt>
                    <w:sdt>
                      <w:sdtPr>
                        <w:alias w:val="43 str. 3 d. 2 p."/>
                        <w:tag w:val="part_cb734399cbe345249db95ede248282b0"/>
                        <w:lock w:val="sdtLocked"/>
                        <w:richText/>
                      </w:sdtPr>
                      <w:sdtContent>
                        <w:p>
                          <w:pPr>
                            <w:ind w:firstLine="708"/>
                            <w:jc w:val="both"/>
                            <w:rPr>
                              <w:color w:val="000000"/>
                            </w:rPr>
                          </w:pPr>
                          <w:sdt>
                            <w:sdtPr>
                              <w:alias w:val="Numeris"/>
                              <w:tag w:val="nr_cb734399cbe345249db95ede248282b0"/>
                              <w:lock w:val="sdtLocked"/>
                              <w:richText/>
                            </w:sdtPr>
                            <w:sdtContent>
                              <w:r>
                                <w:rPr>
                                  <w:color w:val="000000"/>
                                </w:rPr>
                                <w:t>2</w:t>
                              </w:r>
                            </w:sdtContent>
                          </w:sdt>
                          <w:r>
                            <w:rPr>
                              <w:color w:val="000000"/>
                            </w:rPr>
                            <w:t xml:space="preserve">) ne vėliau kaip per 3 mėnesius nuo finansinių metų pabaigos finansų įstaigos dalyvių visuotinio susirinkimo sprendimu patvirtinti metinę finansinę atskaitomybę ir priimti sprendimą dėl pelno paskirstymo; </w:t>
                          </w:r>
                        </w:p>
                      </w:sdtContent>
                    </w:sdt>
                    <w:sdt>
                      <w:sdtPr>
                        <w:alias w:val="43 str. 3 d. 3 p."/>
                        <w:tag w:val="part_10d27d286c0c4d45a5ead0a638192c56"/>
                        <w:lock w:val="sdtLocked"/>
                        <w:richText/>
                      </w:sdtPr>
                      <w:sdtContent>
                        <w:p>
                          <w:pPr>
                            <w:ind w:firstLine="708"/>
                            <w:jc w:val="both"/>
                            <w:rPr>
                              <w:color w:val="000000"/>
                            </w:rPr>
                          </w:pPr>
                          <w:sdt>
                            <w:sdtPr>
                              <w:alias w:val="Numeris"/>
                              <w:tag w:val="nr_10d27d286c0c4d45a5ead0a638192c56"/>
                              <w:lock w:val="sdtLocked"/>
                              <w:richText/>
                            </w:sdtPr>
                            <w:sdtContent>
                              <w:r>
                                <w:rPr>
                                  <w:color w:val="000000"/>
                                </w:rPr>
                                <w:t>3</w:t>
                              </w:r>
                            </w:sdtContent>
                          </w:sdt>
                          <w:r>
                            <w:rPr>
                              <w:color w:val="000000"/>
                            </w:rPr>
                            <w:t xml:space="preserve">) per 3 dienas po finansų įstaigos dalyvių visuotinio susirinkimo sprendimo dėl metinės finansinės atskaitomybės patvirtinimo priėmimo pateikti priežiūros institucijai šio susirinkimo patvirtintą metinę finansinę atskaitomybę ir sprendimą dėl pelno paskirstymo, jeigu finansų įstaigos veiklos priežiūrą nustato Lietuvos Respublikos įstatymai; </w:t>
                          </w:r>
                        </w:p>
                      </w:sdtContent>
                    </w:sdt>
                    <w:sdt>
                      <w:sdtPr>
                        <w:alias w:val="43 str. 3 d. 4 p."/>
                        <w:tag w:val="part_f72b02378b524c8a9e61edc654eff71a"/>
                        <w:lock w:val="sdtLocked"/>
                        <w:richText/>
                      </w:sdtPr>
                      <w:sdtContent>
                        <w:p>
                          <w:pPr>
                            <w:ind w:firstLine="708"/>
                            <w:jc w:val="both"/>
                            <w:rPr>
                              <w:b/>
                              <w:color w:val="000000"/>
                              <w:u w:val="single"/>
                            </w:rPr>
                          </w:pPr>
                          <w:sdt>
                            <w:sdtPr>
                              <w:alias w:val="Numeris"/>
                              <w:tag w:val="nr_f72b02378b524c8a9e61edc654eff71a"/>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metinę finansinę atskaitomybę ir auditoriaus išvadą, jeigu to reikalauja finansinių paslaugų teikimą ir finansų įstaigų veiklą reglamentuojantys Lietuvos Respublikos įstatymai;</w:t>
                          </w:r>
                          <w:r>
                            <w:rPr>
                              <w:b/>
                              <w:color w:val="000000"/>
                              <w:u w:val="single"/>
                            </w:rPr>
                            <w:t xml:space="preserve"> </w:t>
                          </w:r>
                        </w:p>
                      </w:sdtContent>
                    </w:sdt>
                    <w:sdt>
                      <w:sdtPr>
                        <w:alias w:val="43 str. 3 d. 5 p."/>
                        <w:tag w:val="part_c6147c806fc34a888245dc8e52c3f0fe"/>
                        <w:lock w:val="sdtLocked"/>
                        <w:richText/>
                      </w:sdtPr>
                      <w:sdtContent>
                        <w:p>
                          <w:pPr>
                            <w:ind w:firstLine="708"/>
                            <w:jc w:val="both"/>
                            <w:rPr>
                              <w:color w:val="000000"/>
                            </w:rPr>
                          </w:pPr>
                          <w:sdt>
                            <w:sdtPr>
                              <w:alias w:val="Numeris"/>
                              <w:tag w:val="nr_c6147c806fc34a888245dc8e52c3f0fe"/>
                              <w:lock w:val="sdtLocked"/>
                              <w:richText/>
                            </w:sdtPr>
                            <w:sdtContent>
                              <w:r>
                                <w:rPr>
                                  <w:color w:val="000000"/>
                                </w:rPr>
                                <w:t>5</w:t>
                              </w:r>
                            </w:sdtContent>
                          </w:sdt>
                          <w:r>
                            <w:rPr>
                              <w:color w:val="000000"/>
                            </w:rPr>
                            <w:t xml:space="preserve">) finansų įstaiga, globojanti (patronuojanti) kitas į finansinę grupę įeinančias finansų įstaigas, – per 4 mėnesius nuo finansinių metų pabaigos paskelbti metinę jungtinę (konsoliduotą) finansinę atskaitomybę Lietuvos Respublikos įstatymų ir kitų teisės aktų nustatyta tvarka. </w:t>
                          </w:r>
                        </w:p>
                      </w:sdtContent>
                    </w:sdt>
                  </w:sdtContent>
                </w:sdt>
                <w:sdt>
                  <w:sdtPr>
                    <w:alias w:val="43 str. 4 d."/>
                    <w:tag w:val="part_55800407570d4faaa1564e2605f8e5e8"/>
                    <w:lock w:val="sdtLocked"/>
                    <w:richText/>
                  </w:sdtPr>
                  <w:sdtContent>
                    <w:p>
                      <w:pPr>
                        <w:ind w:firstLine="708"/>
                        <w:jc w:val="both"/>
                        <w:rPr>
                          <w:b/>
                          <w:color w:val="000000"/>
                          <w:u w:val="single"/>
                        </w:rPr>
                      </w:pPr>
                      <w:sdt>
                        <w:sdtPr>
                          <w:alias w:val="Numeris"/>
                          <w:tag w:val="nr_55800407570d4faaa1564e2605f8e5e8"/>
                          <w:lock w:val="sdtLocked"/>
                          <w:richText/>
                        </w:sdtPr>
                        <w:sdtContent>
                          <w:r>
                            <w:rPr>
                              <w:color w:val="000000"/>
                            </w:rPr>
                            <w:t>4</w:t>
                          </w:r>
                        </w:sdtContent>
                      </w:sdt>
                      <w:r>
                        <w:rPr>
                          <w:color w:val="000000"/>
                        </w:rPr>
                        <w:t>. Finansų įstaigos dalyvių visuotinis susirinkimas negali svarstyti ir tvirtinti metinės finansinės atskaitomybės, jeigu neatliktas jos auditas.</w:t>
                      </w:r>
                      <w:r>
                        <w:rPr>
                          <w:b/>
                          <w:color w:val="000000"/>
                          <w:u w:val="single"/>
                        </w:rPr>
                        <w:t xml:space="preserve"> </w:t>
                      </w:r>
                    </w:p>
                  </w:sdtContent>
                </w:sdt>
                <w:sdt>
                  <w:sdtPr>
                    <w:alias w:val="43 str. 5 d."/>
                    <w:tag w:val="part_91a599e57078422fb4c78a4b844b43f2"/>
                    <w:lock w:val="sdtLocked"/>
                    <w:richText/>
                  </w:sdtPr>
                  <w:sdtContent>
                    <w:p>
                      <w:pPr>
                        <w:ind w:firstLine="708"/>
                        <w:jc w:val="both"/>
                        <w:rPr>
                          <w:color w:val="000000"/>
                        </w:rPr>
                      </w:pPr>
                      <w:sdt>
                        <w:sdtPr>
                          <w:alias w:val="Numeris"/>
                          <w:tag w:val="nr_91a599e57078422fb4c78a4b844b43f2"/>
                          <w:lock w:val="sdtLocked"/>
                          <w:richText/>
                        </w:sdtPr>
                        <w:sdtContent>
                          <w:r>
                            <w:rPr>
                              <w:color w:val="000000"/>
                            </w:rPr>
                            <w:t>5</w:t>
                          </w:r>
                        </w:sdtContent>
                      </w:sdt>
                      <w:r>
                        <w:rPr>
                          <w:color w:val="000000"/>
                        </w:rPr>
                        <w:t xml:space="preserve">. Finansų įstaigos dalyvių visuotinio susirinkimo sprendimas dėl pelno paskirstymo negalioja, jeigu nėra atliktas metinės finansinės atskaitomybės auditas. </w:t>
                      </w:r>
                    </w:p>
                    <w:p>
                      <w:pPr>
                        <w:ind w:firstLine="708"/>
                      </w:pPr>
                    </w:p>
                  </w:sdtContent>
                </w:sdt>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24c274d4d20845479b7e891809a9e3cd"/>
                    <w:lock w:val="sdtLocked"/>
                    <w:richText/>
                  </w:sdtPr>
                  <w:sdtContent>
                    <w:p>
                      <w:pPr>
                        <w:ind w:firstLine="708"/>
                        <w:jc w:val="both"/>
                        <w:rPr>
                          <w:color w:val="000000"/>
                        </w:rPr>
                      </w:pPr>
                      <w:sdt>
                        <w:sdtPr>
                          <w:alias w:val="Numeris"/>
                          <w:tag w:val="nr_24c274d4d20845479b7e891809a9e3cd"/>
                          <w:lock w:val="sdtLocked"/>
                          <w:richText/>
                        </w:sdtPr>
                        <w:sdtContent>
                          <w:r>
                            <w:rPr>
                              <w:color w:val="000000"/>
                            </w:rPr>
                            <w:t>1</w:t>
                          </w:r>
                        </w:sdtContent>
                      </w:sdt>
                      <w:r>
                        <w:rPr>
                          <w:color w:val="000000"/>
                        </w:rPr>
                        <w:t xml:space="preserve">. Finansų įstaigos metinės finansinės  atskaitomybės auditą gali atlikti tik toks auditorius, kuris atitinka šiuos reikalavimus: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f494910b1dc9414388a3c2976a8249fd"/>
                    <w:lock w:val="sdtLocked"/>
                    <w:richText/>
                  </w:sdtPr>
                  <w:sdtContent>
                    <w:p>
                      <w:pPr>
                        <w:ind w:firstLine="708"/>
                        <w:jc w:val="both"/>
                        <w:rPr>
                          <w:color w:val="000000"/>
                        </w:rPr>
                      </w:pPr>
                      <w:sdt>
                        <w:sdtPr>
                          <w:alias w:val="Numeris"/>
                          <w:tag w:val="nr_f494910b1dc9414388a3c2976a8249fd"/>
                          <w:lock w:val="sdtLocked"/>
                          <w:richText/>
                        </w:sdtPr>
                        <w:sdtContent>
                          <w:r>
                            <w:rPr>
                              <w:color w:val="000000"/>
                            </w:rPr>
                            <w:t>2</w:t>
                          </w:r>
                        </w:sdtContent>
                      </w:sdt>
                      <w:r>
                        <w:rPr>
                          <w:color w:val="000000"/>
                        </w:rPr>
                        <w:t xml:space="preserve">. Finansų įstaigos metinės finansinės atskaitomybės auditą gali atlikti tokia audito įmonė, kuri atitinka šiuos reikalavimus: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5f7a7be12bcb47ee92b727470750a09a"/>
                    <w:lock w:val="sdtLocked"/>
                    <w:richText/>
                  </w:sdtPr>
                  <w:sdtContent>
                    <w:p>
                      <w:pPr>
                        <w:ind w:firstLine="708"/>
                        <w:jc w:val="both"/>
                        <w:rPr>
                          <w:color w:val="000000"/>
                        </w:rPr>
                      </w:pPr>
                      <w:sdt>
                        <w:sdtPr>
                          <w:alias w:val="Numeris"/>
                          <w:tag w:val="nr_5f7a7be12bcb47ee92b727470750a09a"/>
                          <w:lock w:val="sdtLocked"/>
                          <w:richText/>
                        </w:sdtPr>
                        <w:sdtContent>
                          <w:r>
                            <w:rPr>
                              <w:color w:val="000000"/>
                            </w:rPr>
                            <w:t>4</w:t>
                          </w:r>
                        </w:sdtContent>
                      </w:sdt>
                      <w:r>
                        <w:rPr>
                          <w:color w:val="000000"/>
                        </w:rPr>
                        <w:t xml:space="preserve">. Priežiūros institucijos sprendimu finansų įstaigoms, kurių veiklos priežiūrą nustato Lietuvos Respublikos įstatymai, gali būti uždrausta sudaryti sutartis dėl finansinės atskaitomybės audito su tomis audito įmonėmis, kurios neatitinka (nevykdo) šio straipsnio reikalavimų. </w:t>
                      </w:r>
                    </w:p>
                    <w:p>
                      <w:pPr>
                        <w:ind w:firstLine="708"/>
                      </w:pPr>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5a08510451e430387f31112a3afab57"/>
                        <w:lock w:val="sdtLocked"/>
                        <w:richText/>
                      </w:sdtPr>
                      <w:sdtContent>
                        <w:p>
                          <w:pPr>
                            <w:ind w:firstLine="708"/>
                            <w:jc w:val="both"/>
                            <w:rPr>
                              <w:color w:val="000000"/>
                            </w:rPr>
                          </w:pPr>
                          <w:sdt>
                            <w:sdtPr>
                              <w:alias w:val="Numeris"/>
                              <w:tag w:val="nr_b5a08510451e430387f31112a3afab57"/>
                              <w:lock w:val="sdtLocked"/>
                              <w:richText/>
                            </w:sdtPr>
                            <w:sdtContent>
                              <w:r>
                                <w:rPr>
                                  <w:color w:val="000000"/>
                                </w:rPr>
                                <w:t>1</w:t>
                              </w:r>
                            </w:sdtContent>
                          </w:sdt>
                          <w:r>
                            <w:rPr>
                              <w:color w:val="000000"/>
                            </w:rPr>
                            <w:t xml:space="preserve">) dėl kurių auditorius bus priverstas atsisakyti pareikšti nuomonę apie finansų įstaigos metinę finansinę atskaitomybę arba pareikšti sąlyginę arba neigiamą nuomonę; </w:t>
                          </w:r>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9df0e49a757242c98bf6956589f075d9"/>
                    <w:lock w:val="sdtLocked"/>
                    <w:richText/>
                  </w:sdtPr>
                  <w:sdtContent>
                    <w:p>
                      <w:pPr>
                        <w:ind w:firstLine="708"/>
                        <w:jc w:val="both"/>
                        <w:rPr>
                          <w:color w:val="000000"/>
                        </w:rPr>
                      </w:pPr>
                      <w:sdt>
                        <w:sdtPr>
                          <w:alias w:val="Numeris"/>
                          <w:tag w:val="nr_9df0e49a757242c98bf6956589f075d9"/>
                          <w:lock w:val="sdtLocked"/>
                          <w:richText/>
                        </w:sdtPr>
                        <w:sdtContent>
                          <w:r>
                            <w:rPr>
                              <w:color w:val="000000"/>
                            </w:rPr>
                            <w:t>1</w:t>
                          </w:r>
                        </w:sdtContent>
                      </w:sdt>
                      <w:r>
                        <w:rPr>
                          <w:color w:val="000000"/>
                        </w:rPr>
                        <w:t>. Audito įmonė ir auditorius už audito atlikimą, auditoriaus išvados dėl</w:t>
                      </w:r>
                      <w:r>
                        <w:rPr>
                          <w:b/>
                          <w:color w:val="000000"/>
                        </w:rPr>
                        <w:t xml:space="preserve"> </w:t>
                      </w:r>
                      <w:r>
                        <w:rPr>
                          <w:color w:val="000000"/>
                        </w:rPr>
                        <w:t xml:space="preserve">audituotoje finansų įstaigos metinėje finansinėje atskaitomybėje pateiktų duomenų išsamumo, tikrumo ir tikslumo pateikimą atsako Lietuvos Respublikos įstatymų ir audito įmonės bei užsakovo pasirašytos sutarties dėl audito atlikimo nustatyta tvarka. </w:t>
                      </w:r>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9f0f74674b5245eb91119abddb3fb150"/>
                        <w:lock w:val="sdtLocked"/>
                        <w:richText/>
                      </w:sdtPr>
                      <w:sdtContent>
                        <w:p>
                          <w:pPr>
                            <w:ind w:firstLine="708"/>
                            <w:jc w:val="both"/>
                            <w:rPr>
                              <w:color w:val="000000"/>
                            </w:rPr>
                          </w:pPr>
                          <w:sdt>
                            <w:sdtPr>
                              <w:alias w:val="Numeris"/>
                              <w:tag w:val="nr_9f0f74674b5245eb91119abddb3fb150"/>
                              <w:lock w:val="sdtLocked"/>
                              <w:richText/>
                            </w:sdtPr>
                            <w:sdtContent>
                              <w:r>
                                <w:rPr>
                                  <w:color w:val="000000"/>
                                </w:rPr>
                                <w:t>4</w:t>
                              </w:r>
                            </w:sdtContent>
                          </w:sdt>
                          <w:r>
                            <w:rPr>
                              <w:color w:val="000000"/>
                            </w:rPr>
                            <w:t>) nustatyti prižiūrimoms finansų įstaigoms apskaitos reikalavimus, finansinės ir priežiūrai skirtos atskaitomybės formą, turinį ir pateikimo priežiūros institucijai terminus;</w:t>
                          </w:r>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d127cc1453fc42a1aff3f643528a02e4"/>
                        <w:lock w:val="sdtLocked"/>
                        <w:richText/>
                      </w:sdtPr>
                      <w:sdtContent>
                        <w:p>
                          <w:pPr>
                            <w:ind w:firstLine="708"/>
                            <w:jc w:val="both"/>
                            <w:rPr>
                              <w:color w:val="000000"/>
                            </w:rPr>
                          </w:pPr>
                          <w:sdt>
                            <w:sdtPr>
                              <w:alias w:val="Numeris"/>
                              <w:tag w:val="nr_d127cc1453fc42a1aff3f643528a02e4"/>
                              <w:lock w:val="sdtLocked"/>
                              <w:richText/>
                            </w:sdtPr>
                            <w:sdtContent>
                              <w:r>
                                <w:rPr>
                                  <w:color w:val="000000"/>
                                </w:rPr>
                                <w:t>2</w:t>
                              </w:r>
                            </w:sdtContent>
                          </w:sdt>
                          <w:r>
                            <w:rPr>
                              <w:color w:val="000000"/>
                            </w:rPr>
                            <w:t xml:space="preserve">) dokumentinė priežiūra: analizuojama ir vertinama finansų įstaigos veikla remiantis jos pateikta finansine atskaitomybe ir kita iš finansų įstaigų bei kitų šaltinių gauta informacija; </w:t>
                          </w:r>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c5af4378a9be462eb7ce6b890a2021b4"/>
        <w:lock w:val="sdtLocked"/>
        <w:richText/>
      </w:sdtPr>
      <w:sdtContent>
        <w:p>
          <w:pPr>
            <w:ind w:firstLine="5103"/>
          </w:pPr>
          <w:r>
            <w:t>Lietuvos Respublikos finansų įstaigų</w:t>
          </w:r>
        </w:p>
        <w:p>
          <w:pPr>
            <w:ind w:firstLine="5103"/>
          </w:pPr>
          <w:r>
            <w:t>įstatymo priedas</w:t>
          </w:r>
        </w:p>
        <w:p/>
        <w:p>
          <w:pPr>
            <w:widowControl w:val="0"/>
            <w:jc w:val="center"/>
            <w:rPr>
              <w:b/>
              <w:color w:val="000000"/>
            </w:rPr>
          </w:pPr>
          <w:sdt>
            <w:sdtPr>
              <w:alias w:val="Pavadinimas"/>
              <w:tag w:val="title_c5af4378a9be462eb7ce6b890a2021b4"/>
              <w:lock w:val="sdtLocked"/>
              <w:richText/>
            </w:sdtPr>
            <w:sdtContent>
              <w:r>
                <w:rPr>
                  <w:b/>
                  <w:color w:val="000000"/>
                </w:rPr>
                <w:t>ĮGYVENDINAMI EUROPOS SĄJUNGOS TEISĖS AKTAI</w:t>
              </w:r>
            </w:sdtContent>
          </w:sdt>
        </w:p>
        <w:p>
          <w:pPr>
            <w:widowControl w:val="0"/>
            <w:jc w:val="center"/>
            <w:rPr>
              <w:b/>
              <w:color w:val="000000"/>
            </w:rPr>
          </w:pPr>
        </w:p>
        <w:sdt>
          <w:sdtPr>
            <w:alias w:val="1 p."/>
            <w:tag w:val="part_ee5cba38afe9403d8c1f9f0c259eb62b"/>
            <w:lock w:val="sdtLocked"/>
            <w:richText/>
          </w:sdtPr>
          <w:sdtContent>
            <w:p>
              <w:pPr>
                <w:widowControl w:val="0"/>
                <w:ind w:firstLine="708"/>
                <w:jc w:val="both"/>
                <w:rPr>
                  <w:color w:val="000000"/>
                </w:rPr>
              </w:pPr>
              <w:r>
                <w:rPr>
                  <w:color w:val="000000"/>
                </w:rPr>
                <w:t>2006 m. birželio 14 d. Europos Parlamento ir Tarybos direktyva 2006/48/EB dėl kredito įstaigų veiklos pradėjimo ir vykdymo (nauja redakcija) (OL 2006 L 177, p. 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61F35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1.wmf"/>
  <Relationship Id="rId16" Type="http://schemas.openxmlformats.org/officeDocument/2006/relationships/control" Target="activeX/activeX11.xml"/>
  <Relationship Id="rId17" Type="http://schemas.openxmlformats.org/officeDocument/2006/relationships/customXml" Target="../customXml/item1.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9698fd172f4243daa20955c433a46f33">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4 d." DocPartId="e429ada91135425782fe471ce64aab6b" PartId="3034c270a92648d3a569ae0e53a722b1"/>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5ca99ff6d9e44e8fb068e14c667eed88"/>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418dbfa6f1d24a81bcdc9541da037447"/>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be77843e796145f1bf591c1c0281fa63"/>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c359c510c17f4567948a82b3699081af"/>
        <Part Type="strDalis" Nr="22" Abbr="2 str. 22 d." DocPartId="5cb25ad0f0db4f08bb16e3e0d6b84c1e" PartId="5f6fdd3c21db4e92857512cbf559bdd1"/>
        <Part Type="strDalis" Nr="23" Abbr="2 str. 23 d." DocPartId="5e4a35a4da4c420aa6803f5c19c7bd83" PartId="672121a170e64a9098eaabd5439b0593"/>
        <Part Type="strDalis" Nr="24" Abbr="2 str. 24 d." DocPartId="9e385142735141a2bb876eb6de10be30" PartId="6f2cc55b75114096a49af8cdc281ad42"/>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c4441a91cf54615b484988af1ae2d42"/>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3de9f11aa9a94253a8123d5228e5247c"/>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748236eb586e4da59c2b5b8ab745b9f6">
          <Part Type="strPunktas" Nr="1" Abbr="2 str. 39 d. 1 p." DocPartId="df27006ef922430394e473f2156a2743" PartId="25dae9ac3205435f961b5f936a417075"/>
          <Part Type="strPunktas" Nr="2" Abbr="2 str. 39 d. 2 p." DocPartId="794e21d39df0441c97fd2c603fdde6d6" PartId="194e1bafce824293b55178c17c79badf"/>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4b4db8b347bf419c8762dd0238b39767"/>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af12e2a71c6a402486287ed8be89e7d8"/>
          <Part Type="strPunktas" Nr="5" Abbr="3 str. 1 d. 5 p." DocPartId="e51cfd69d8554685a6eeb0ebd9f1f146" PartId="c63344530200494ca2a115feab69a96c"/>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51b151f9d3e242ff955f90620854ceaa"/>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3aa0f32551a141589299a162f5f7d852"/>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4526e4edf88c4505b4ec31e8ba0dafe5"/>
        <Part Type="strDalis" Nr="3" Abbr="4 str. 3 d." DocPartId="a930b4831b1b457989d6a8e60add0435" PartId="4c03c73bc97f4b979509defc59181177"/>
        <Part Type="strDalis" Nr="4" Abbr="4 str. 4 d." DocPartId="5e4129436cd7400bb10b3f1e5214aa4c" PartId="8ed6e00e0abf4111847e12bf2c114499"/>
        <Part Type="strDalis" Nr="5" Abbr="5 d." DocPartId="64e5bc5eaee14083afccb4d1132ae18d" PartId="fcc167b36f88435fa9df3f377025a18e"/>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3aec338a436b421fba164d3ed32daf0f"/>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b076a2c3ab5a487fafad7221454ac4a9"/>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859df493cbe84fc881fabeaafa839909">
        <Part Type="strDalis" Nr="1" Abbr="43 str. 1 d." DocPartId="a66a6b8fb3c34b4f8c5188341d9d9194" PartId="fa90f937f8fa4566b36d81eef4a59cae"/>
        <Part Type="strDalis" Nr="2" Abbr="43 str. 2 d." DocPartId="6214542b6c72405587f0d13dcc216c17" PartId="85ce06f1d9694b44a8f98cd5b356d7f9">
          <Part Type="strPunktas" Nr="1" Abbr="43 str. 2 d. 1 p." DocPartId="2f6ed573f37e4566865a33df63729442" PartId="e33abae2bb164d38b4b05189b28b4211"/>
          <Part Type="strPunktas" Nr="2" Abbr="43 str. 2 d. 2 p." DocPartId="0a53aa706dbe48dbab34c2348aedf390" PartId="7777e5882e4a437299c08dad030a7ade"/>
          <Part Type="strPunktas" Nr="3" Abbr="43 str. 2 d. 3 p." DocPartId="a081254b7ee04dae82e60b5804e4f5b3" PartId="e2ec6f1a5b5043f9bd048578161bf699"/>
        </Part>
        <Part Type="strDalis" Nr="3" Abbr="43 str. 3 d." DocPartId="fe448a1c74c343bd9d34d0ab1e749132" PartId="d62b1f80cdff42ea9bf77ab8de63bdf3">
          <Part Type="strPunktas" Nr="1" Abbr="43 str. 3 d. 1 p." DocPartId="75348540f40940a98b911dcb904c32b0" PartId="47bb3d58ce0a465696f4afff997bd8c3"/>
          <Part Type="strPunktas" Nr="2" Abbr="43 str. 3 d. 2 p." DocPartId="44b363ada874425db6fe2630a35dbfd2" PartId="cb734399cbe345249db95ede248282b0"/>
          <Part Type="strPunktas" Nr="3" Abbr="43 str. 3 d. 3 p." DocPartId="e336257901c54d31ad726ec10066fd99" PartId="10d27d286c0c4d45a5ead0a638192c56"/>
          <Part Type="strPunktas" Nr="4" Abbr="43 str. 3 d. 4 p." DocPartId="57aaa002c12144aab9ec097a701c0a46" PartId="f72b02378b524c8a9e61edc654eff71a"/>
          <Part Type="strPunktas" Nr="5" Abbr="43 str. 3 d. 5 p." DocPartId="c084b800dbbb46edb0f5f9ad36bf18b1" PartId="c6147c806fc34a888245dc8e52c3f0fe"/>
        </Part>
        <Part Type="strDalis" Nr="4" Abbr="43 str. 4 d." DocPartId="d936448df91d45758c3c90e3d1fbaad7" PartId="55800407570d4faaa1564e2605f8e5e8"/>
        <Part Type="strDalis" Nr="5" Abbr="43 str. 5 d." DocPartId="1b8700f3b3d548d38a40380ba0f89a03" PartId="91a599e57078422fb4c78a4b844b43f2"/>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24c274d4d20845479b7e891809a9e3cd">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f494910b1dc9414388a3c2976a8249fd">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5f7a7be12bcb47ee92b727470750a09a"/>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5a08510451e430387f31112a3afab57"/>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9df0e49a757242c98bf6956589f075d9"/>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9f0f74674b5245eb91119abddb3fb150"/>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d127cc1453fc42a1aff3f643528a02e4"/>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c5af4378a9be462eb7ce6b890a2021b4">
    <Part Type="punktas" Nr="1" Abbr="1 p." DocPartId="5a463333b5bd43718a94262b60900201" PartId="ee5cba38afe9403d8c1f9f0c259eb62b"/>
  </Part>
</Parts>
</file>

<file path=customXml/itemProps1.xml><?xml version="1.0" encoding="utf-8"?>
<ds:datastoreItem xmlns:ds="http://schemas.openxmlformats.org/officeDocument/2006/customXml" ds:itemID="{C06FA306-FF00-46C0-B095-4BFAA4982DC8}">
  <ds:schemaRefs>
    <ds:schemaRef ds:uri="http://lrs.lt/TAIS/DocParts"/>
  </ds:schemaRefs>
</ds:datastoreItem>
</file>

<file path=docProps/app.xml><?xml version="1.0" encoding="utf-8"?>
<Properties xmlns="http://schemas.openxmlformats.org/officeDocument/2006/extended-properties">
  <Template>Normal.dotm</Template>
  <TotalTime>17</TotalTime>
  <Pages>26</Pages>
  <Words>61005</Words>
  <Characters>34773</Characters>
  <Application>Microsoft Office Word</Application>
  <DocSecurity>0</DocSecurity>
  <Lines>289</Lines>
  <Paragraphs>191</Paragraphs>
  <ScaleCrop>false</ScaleCrop>
  <Company/>
  <LinksUpToDate>false</LinksUpToDate>
  <CharactersWithSpaces>95587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2016-12-01T13:23:00Z</dcterms:modified>
  <revision>25</revision>
</coreProperties>
</file>