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e8562276bc66481eb6e1638e1cc6c54d"/>
        <w:lock w:val="sdtLocked"/>
        <w:richText/>
      </w:sdtPr>
      <w:sdtContent>
        <w:p>
          <w:pPr>
            <w:jc w:val="both"/>
            <w:rPr>
              <w:rFonts w:ascii="Times New Roman" w:hAnsi="Times New Roman"/>
            </w:rPr>
          </w:pPr>
          <w:r>
            <w:rPr>
              <w:rFonts w:ascii="Times New Roman" w:hAnsi="Times New Roman"/>
              <w:b/>
              <w:i/>
            </w:rPr>
            <w:t>Suvestinė redakcija nuo 2018-04-28 iki 2021-12-30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bf56dc26ce4d49f69b79bb10f7a26eba"/>
                    <w:lock w:val="sdtLocked"/>
                    <w:richText/>
                  </w:sdtPr>
                  <w:sdtContent>
                    <w:p>
                      <w:pPr>
                        <w:widowControl w:val="0"/>
                        <w:suppressAutoHyphens/>
                        <w:ind w:firstLine="708"/>
                        <w:jc w:val="both"/>
                        <w:rPr>
                          <w:color w:val="000000"/>
                        </w:rPr>
                      </w:pPr>
                      <w:sdt>
                        <w:sdtPr>
                          <w:alias w:val="Numeris"/>
                          <w:tag w:val="nr_bf56dc26ce4d49f69b79bb10f7a26eba"/>
                          <w:lock w:val="sdtLocked"/>
                          <w:richText/>
                        </w:sdtPr>
                        <w:sdtContent>
                          <w:r>
                            <w:rPr>
                              <w:color w:val="000000"/>
                            </w:rPr>
                            <w:t>7</w:t>
                          </w:r>
                        </w:sdtContent>
                      </w:sdt>
                      <w:r>
                        <w:rPr>
                          <w:color w:val="000000"/>
                        </w:rPr>
                        <w:t xml:space="preserve">. </w:t>
                      </w:r>
                      <w:r>
                        <w:rPr>
                          <w:b/>
                          <w:bCs/>
                          <w:color w:val="000000"/>
                        </w:rPr>
                        <w:t xml:space="preserve">Finansų įmonė </w:t>
                      </w:r>
                      <w:r>
                        <w:rPr>
                          <w:color w:val="000000"/>
                        </w:rPr>
                        <w:t>– Lietuvos Respublikos įmonė arba užsienio valstybės įmonės padalinys, kurie veikia Lietuvos Respublikoje įstatymų, reglamentuojančių finansinių paslaugų teikimą ir finansų įstaigų veiklą, nustatyta tvarka ir kurių pagrindinę veiklos dalį sudaro vienos arba daugiau šio Įstatymo 3 straipsnio 1 dalyje, išskyrus 1 punktą, nurodytų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cd6f5aeb40b743fcbf792b4c29310023"/>
                    <w:lock w:val="sdtLocked"/>
                    <w:richText/>
                  </w:sdtPr>
                  <w:sdtContent>
                    <w:p>
                      <w:pPr>
                        <w:ind w:firstLine="720"/>
                        <w:jc w:val="both"/>
                        <w:rPr>
                          <w:color w:val="000000"/>
                        </w:rPr>
                      </w:pPr>
                      <w:sdt>
                        <w:sdtPr>
                          <w:alias w:val="Numeris"/>
                          <w:tag w:val="nr_cd6f5aeb40b743fcbf792b4c29310023"/>
                          <w:lock w:val="sdtLocked"/>
                          <w:richText/>
                        </w:sdtPr>
                        <w:sdtContent>
                          <w:r>
                            <w:rPr>
                              <w:szCs w:val="24"/>
                            </w:rPr>
                            <w:t>10</w:t>
                          </w:r>
                        </w:sdtContent>
                      </w:sdt>
                      <w:r>
                        <w:rPr>
                          <w:szCs w:val="24"/>
                        </w:rPr>
                        <w:t xml:space="preserve">. </w:t>
                      </w:r>
                      <w:r>
                        <w:rPr>
                          <w:b/>
                          <w:szCs w:val="24"/>
                        </w:rPr>
                        <w:t>Finansų kontroliuojančioji bendrovė</w:t>
                      </w:r>
                      <w:r>
                        <w:rPr>
                          <w:szCs w:val="24"/>
                        </w:rPr>
                        <w:t xml:space="preserve"> – kaip apibrėžta 2013 m. birželio 26 d. Europos Parlamento ir Tarybos reglamento (ES) Nr. 575/2013 dėl prudencinių reikalavimų kredito įstaigoms ir investicinėms įmonėms ir kuriuo iš dalies keičiamas Reglamentas (ES) Nr. 648/2012 (OL 2013 L 176, p. 1) (toliau – Reglamentas (ES) Nr. 575/2013)  4 straipsnio 1 dalies 20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f4dcb8c063e34d9a9a6ce36730b81cda"/>
                        <w:lock w:val="sdtLocked"/>
                        <w:richText/>
                      </w:sdtPr>
                      <w:sdtContent>
                        <w:p>
                          <w:pPr>
                            <w:widowControl w:val="0"/>
                            <w:suppressAutoHyphens/>
                            <w:ind w:firstLine="708"/>
                            <w:jc w:val="both"/>
                          </w:pPr>
                          <w:sdt>
                            <w:sdtPr>
                              <w:alias w:val="Numeris"/>
                              <w:tag w:val="nr_f4dcb8c063e34d9a9a6ce36730b81cda"/>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sdt>
                      <w:sdtPr>
                        <w:alias w:val="4 p."/>
                        <w:tag w:val="part_9b234fa4864c44ff903556ec0d8ad957"/>
                        <w:lock w:val="sdtLocked"/>
                        <w:richText/>
                      </w:sdtPr>
                      <w:sdtContent>
                        <w:p>
                          <w:pPr>
                            <w:ind w:firstLine="720"/>
                            <w:jc w:val="both"/>
                          </w:pPr>
                          <w:sdt>
                            <w:sdtPr>
                              <w:alias w:val="Numeris"/>
                              <w:tag w:val="nr_9b234fa4864c44ff903556ec0d8ad957"/>
                              <w:lock w:val="sdtLocked"/>
                              <w:richText/>
                            </w:sdtPr>
                            <w:sdtContent>
                              <w:r>
                                <w:rPr>
                                  <w:sz w:val="22"/>
                                  <w:szCs w:val="22"/>
                                </w:rPr>
                                <w:t>4</w:t>
                              </w:r>
                            </w:sdtContent>
                          </w:sdt>
                          <w:r>
                            <w:rPr>
                              <w:sz w:val="22"/>
                              <w:szCs w:val="22"/>
                            </w:rPr>
                            <w:t>) sutelktinio finansavimo sandorių sudarymas per sutelktinio finansavimo platformą, kaip tai apibrėžta Lietuvos Respublikos sutelktinio finansavimo įstatyme, jeigu projekto savininkas nesiverčia sandorių, turinčių galimos rizikos požymių, sudarymu;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5 p."/>
                        <w:tag w:val="part_87992f73dfd448c28b3f65b81bda350a"/>
                        <w:lock w:val="sdtLocked"/>
                        <w:richText/>
                      </w:sdtPr>
                      <w:sdtContent>
                        <w:p>
                          <w:pPr>
                            <w:ind w:firstLine="720"/>
                            <w:jc w:val="both"/>
                            <w:rPr>
                              <w:color w:val="000000"/>
                            </w:rPr>
                          </w:pPr>
                          <w:sdt>
                            <w:sdtPr>
                              <w:alias w:val="Numeris"/>
                              <w:tag w:val="nr_87992f73dfd448c28b3f65b81bda350a"/>
                              <w:lock w:val="sdtLocked"/>
                              <w:richText/>
                            </w:sdtPr>
                            <w:sdtContent>
                              <w:r>
                                <w:rPr>
                                  <w:sz w:val="22"/>
                                  <w:szCs w:val="22"/>
                                </w:rPr>
                                <w:t>5</w:t>
                              </w:r>
                            </w:sdtContent>
                          </w:sdt>
                          <w:r>
                            <w:rPr>
                              <w:sz w:val="22"/>
                              <w:szCs w:val="22"/>
                            </w:rPr>
                            <w:t>) viešas skolos vertybinių popierių leidimas, jeigu emitentas nesiverčia sandorių, turinčių galimos rizikos požymių, sudarymu.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4 d."/>
                    <w:tag w:val="part_8830e0c1416140d988dc61232028c935"/>
                    <w:lock w:val="sdtLocked"/>
                    <w:richText/>
                  </w:sdtPr>
                  <w:sdtContent>
                    <w:p>
                      <w:pPr>
                        <w:ind w:firstLine="720"/>
                        <w:jc w:val="both"/>
                        <w:rPr>
                          <w:color w:val="000000"/>
                        </w:rPr>
                      </w:pPr>
                      <w:sdt>
                        <w:sdtPr>
                          <w:alias w:val="Numeris"/>
                          <w:tag w:val="nr_8830e0c1416140d988dc61232028c935"/>
                          <w:lock w:val="sdtLocked"/>
                          <w:richText/>
                        </w:sdtPr>
                        <w:sdtContent>
                          <w:r>
                            <w:rPr>
                              <w:szCs w:val="24"/>
                            </w:rPr>
                            <w:t>24</w:t>
                          </w:r>
                        </w:sdtContent>
                      </w:sdt>
                      <w:r>
                        <w:rPr>
                          <w:szCs w:val="24"/>
                        </w:rPr>
                        <w:t xml:space="preserve">. </w:t>
                      </w:r>
                      <w:r>
                        <w:rPr>
                          <w:b/>
                          <w:szCs w:val="24"/>
                        </w:rPr>
                        <w:t>Kredito įstaiga</w:t>
                      </w:r>
                      <w:r>
                        <w:rPr>
                          <w:szCs w:val="24"/>
                        </w:rPr>
                        <w:t xml:space="preserve"> – kaip apibrėžta Reglamento (ES) Nr. 575/2013 4 straipsnio 1 dalies 1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6 d."/>
                    <w:tag w:val="part_f65023a4fc6246ab84a13899f1255a2a"/>
                    <w:lock w:val="sdtLocked"/>
                    <w:richText/>
                  </w:sdtPr>
                  <w:sdtContent>
                    <w:p>
                      <w:pPr>
                        <w:ind w:firstLine="708"/>
                        <w:jc w:val="both"/>
                        <w:rPr>
                          <w:color w:val="000000"/>
                        </w:rPr>
                      </w:pPr>
                      <w:sdt>
                        <w:sdtPr>
                          <w:alias w:val="Numeris"/>
                          <w:tag w:val="nr_f65023a4fc6246ab84a13899f1255a2a"/>
                          <w:lock w:val="sdtLocked"/>
                          <w:richText/>
                        </w:sdtPr>
                        <w:sdtContent>
                          <w:r>
                            <w:rPr>
                              <w:color w:val="000000"/>
                            </w:rPr>
                            <w:t>26</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8 d."/>
                    <w:tag w:val="part_ddfd9833ee5344ed80153dc42927a322"/>
                    <w:lock w:val="sdtLocked"/>
                    <w:richText/>
                  </w:sdtPr>
                  <w:sdtContent>
                    <w:p>
                      <w:pPr>
                        <w:ind w:firstLine="720"/>
                        <w:jc w:val="both"/>
                        <w:rPr>
                          <w:color w:val="000000"/>
                        </w:rPr>
                      </w:pPr>
                      <w:sdt>
                        <w:sdtPr>
                          <w:alias w:val="Numeris"/>
                          <w:tag w:val="nr_ddfd9833ee5344ed80153dc42927a322"/>
                          <w:lock w:val="sdtLocked"/>
                          <w:richText/>
                        </w:sdtPr>
                        <w:sdtContent>
                          <w:r>
                            <w:rPr>
                              <w:szCs w:val="24"/>
                            </w:rPr>
                            <w:t>28</w:t>
                          </w:r>
                        </w:sdtContent>
                      </w:sdt>
                      <w:r>
                        <w:rPr>
                          <w:szCs w:val="24"/>
                        </w:rPr>
                        <w:t xml:space="preserve">. </w:t>
                      </w:r>
                      <w:r>
                        <w:rPr>
                          <w:b/>
                          <w:bCs/>
                          <w:szCs w:val="24"/>
                        </w:rPr>
                        <w:t>Mišrią veiklą vykdanti kontroliuojančioji bendrovė</w:t>
                      </w:r>
                      <w:r>
                        <w:rPr>
                          <w:szCs w:val="24"/>
                        </w:rPr>
                        <w:t xml:space="preserve"> – globojanti (patronuojanti) įmonė (bet ne finansų kontroliuojančioji bendrovė, kredito įstaiga ar mišrios veiklos finansų kontroliuojančioji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43 d."/>
                    <w:tag w:val="part_0a08d45854fe4e73b220ca403538e476"/>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7bf02d5841f94e03b5afdde77d5bf177"/>
                        <w:lock w:val="sdtLocked"/>
                        <w:richText/>
                      </w:sdtPr>
                      <w:sdtContent>
                        <w:p>
                          <w:pPr>
                            <w:widowControl w:val="0"/>
                            <w:suppressAutoHyphens/>
                            <w:ind w:firstLine="708"/>
                            <w:jc w:val="both"/>
                          </w:pPr>
                          <w:sdt>
                            <w:sdtPr>
                              <w:alias w:val="Numeris"/>
                              <w:tag w:val="nr_7bf02d5841f94e03b5afdde77d5bf177"/>
                              <w:lock w:val="sdtLocked"/>
                              <w:richText/>
                            </w:sdtPr>
                            <w:sdtContent>
                              <w:r>
                                <w:rPr>
                                  <w:color w:val="000000"/>
                                </w:rPr>
                                <w:t>18</w:t>
                              </w:r>
                            </w:sdtContent>
                          </w:sdt>
                          <w:r>
                            <w:rPr>
                              <w:color w:val="000000"/>
                            </w:rPr>
                            <w:t>) elektroninių pinigų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9a76b28c2ee9478e97cc381bc53529d1"/>
                        <w:lock w:val="sdtLocked"/>
                        <w:richText/>
                      </w:sdtPr>
                      <w:sdtContent>
                        <w:p>
                          <w:pPr>
                            <w:ind w:firstLine="708"/>
                            <w:jc w:val="both"/>
                          </w:pPr>
                          <w:sdt>
                            <w:sdtPr>
                              <w:alias w:val="Numeris"/>
                              <w:tag w:val="nr_9a76b28c2ee9478e97cc381bc53529d1"/>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21 p."/>
                        <w:tag w:val="part_02f425e4cde5437bbcb86a87ff88b4c5"/>
                        <w:lock w:val="sdtLocked"/>
                        <w:richText/>
                      </w:sdtPr>
                      <w:sdtContent>
                        <w:p>
                          <w:pPr>
                            <w:ind w:firstLine="720"/>
                            <w:jc w:val="both"/>
                          </w:pPr>
                          <w:sdt>
                            <w:sdtPr>
                              <w:alias w:val="Numeris"/>
                              <w:tag w:val="nr_02f425e4cde5437bbcb86a87ff88b4c5"/>
                              <w:lock w:val="sdtLocked"/>
                              <w:richText/>
                            </w:sdtPr>
                            <w:sdtContent>
                              <w:r>
                                <w:rPr>
                                  <w:sz w:val="22"/>
                                  <w:szCs w:val="22"/>
                                </w:rPr>
                                <w:t>21</w:t>
                              </w:r>
                            </w:sdtContent>
                          </w:sdt>
                          <w:r>
                            <w:rPr>
                              <w:sz w:val="22"/>
                              <w:szCs w:val="22"/>
                            </w:rPr>
                            <w:t>) sutelktinio finansavimo platformos operatoriaus veikla</w:t>
                          </w:r>
                          <w:r>
                            <w:rPr>
                              <w:sz w:val="22"/>
                              <w:szCs w:val="22"/>
                              <w:lang w:eastAsia="lt-LT"/>
                            </w:rPr>
                            <w:t xml:space="preserve">, </w:t>
                          </w:r>
                          <w:r>
                            <w:rPr>
                              <w:color w:val="000000"/>
                              <w:sz w:val="22"/>
                              <w:szCs w:val="22"/>
                              <w:shd w:val="clear" w:color="auto" w:fill="FFFFFF"/>
                            </w:rPr>
                            <w:t>kaip tai apibrėžta Lietuvos Respublikos sutelktinio finansavimo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22 p."/>
                        <w:tag w:val="part_f7beed878fc248718d0aa6123ea082d3"/>
                        <w:lock w:val="sdtLocked"/>
                        <w:richText/>
                      </w:sdtPr>
                      <w:sdtContent>
                        <w:p>
                          <w:pPr>
                            <w:ind w:firstLine="720"/>
                            <w:jc w:val="both"/>
                            <w:rPr>
                              <w:color w:val="000000"/>
                            </w:rPr>
                          </w:pPr>
                          <w:sdt>
                            <w:sdtPr>
                              <w:alias w:val="Numeris"/>
                              <w:tag w:val="nr_f7beed878fc248718d0aa6123ea082d3"/>
                              <w:lock w:val="sdtLocked"/>
                              <w:richText/>
                            </w:sdtPr>
                            <w:sdtContent>
                              <w:r>
                                <w:rPr>
                                  <w:sz w:val="22"/>
                                  <w:szCs w:val="22"/>
                                </w:rPr>
                                <w:t>22</w:t>
                              </w:r>
                            </w:sdtContent>
                          </w:sdt>
                          <w:r>
                            <w:rPr>
                              <w:sz w:val="22"/>
                              <w:szCs w:val="22"/>
                            </w:rPr>
                            <w:t>) tarpusavio skolinimo platformos operatoriaus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193f0ac9611e6b844f0f29024f5ac">
                            <w:r w:rsidRPr="00532B9F">
                              <w:rPr>
                                <w:rFonts w:ascii="Times New Roman" w:eastAsia="MS Mincho" w:hAnsi="Times New Roman"/>
                                <w:sz w:val="20"/>
                                <w:i/>
                                <w:iCs/>
                                <w:color w:val="0000FF" w:themeColor="hyperlink"/>
                                <w:u w:val="single"/>
                              </w:rPr>
                              <w:t>XII-2772</w:t>
                            </w:r>
                          </w:fldSimple>
                          <w:r>
                            <w:rPr>
                              <w:rFonts w:ascii="Times New Roman" w:eastAsia="MS Mincho" w:hAnsi="Times New Roman"/>
                              <w:sz w:val="20"/>
                              <w:i/>
                              <w:iCs/>
                            </w:rPr>
                            <w:t>,
2016-11-10,
paskelbta TAR 2016-11-17, i. k. 2016-26973        </w:t>
                          </w:r>
                        </w:p>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361f2de5568e40d0a5ca8d91c853ce8c"/>
                    <w:lock w:val="sdtLocked"/>
                    <w:richText/>
                  </w:sdtPr>
                  <w:sdtContent>
                    <w:p>
                      <w:pPr>
                        <w:ind w:firstLine="720"/>
                        <w:jc w:val="both"/>
                        <w:rPr>
                          <w:color w:val="000000"/>
                        </w:rPr>
                      </w:pPr>
                      <w:sdt>
                        <w:sdtPr>
                          <w:alias w:val="Numeris"/>
                          <w:tag w:val="nr_361f2de5568e40d0a5ca8d91c853ce8c"/>
                          <w:lock w:val="sdtLocked"/>
                          <w:richText/>
                        </w:sdtPr>
                        <w:sdtContent>
                          <w:r>
                            <w:rPr>
                              <w:sz w:val="22"/>
                              <w:szCs w:val="22"/>
                            </w:rPr>
                            <w:t>4</w:t>
                          </w:r>
                        </w:sdtContent>
                      </w:sdt>
                      <w:r>
                        <w:rPr>
                          <w:sz w:val="22"/>
                          <w:szCs w:val="22"/>
                        </w:rPr>
                        <w:t>. Tik kredito įstaiga turi išimtinę teisę priimti indėlius ir kitas grąžintinas lėšas iš neprofesionalių rinkos dalyvių.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str. 2 d."/>
                    <w:tag w:val="part_6da8555388b1403a8b9befc2966fe6b2"/>
                    <w:lock w:val="sdtLocked"/>
                    <w:richText/>
                  </w:sdtPr>
                  <w:sdtContent>
                    <w:p>
                      <w:pPr>
                        <w:widowControl w:val="0"/>
                        <w:ind w:firstLine="708"/>
                        <w:jc w:val="both"/>
                        <w:rPr>
                          <w:color w:val="000000"/>
                        </w:rPr>
                      </w:pPr>
                      <w:sdt>
                        <w:sdtPr>
                          <w:alias w:val="Numeris"/>
                          <w:tag w:val="nr_6da8555388b1403a8b9befc2966fe6b2"/>
                          <w:lock w:val="sdtLocked"/>
                          <w:richText/>
                        </w:sdtPr>
                        <w:sdtContent>
                          <w:r>
                            <w:rPr>
                              <w:color w:val="000000"/>
                              <w:szCs w:val="24"/>
                              <w:lang w:eastAsia="lt-LT"/>
                            </w:rPr>
                            <w:t>2</w:t>
                          </w:r>
                        </w:sdtContent>
                      </w:sdt>
                      <w:r>
                        <w:rPr>
                          <w:color w:val="000000"/>
                          <w:szCs w:val="24"/>
                          <w:lang w:eastAsia="lt-LT"/>
                        </w:rPr>
                        <w:t>. Finansų įstaigomis nelaikomi informuotiesiems investuotojams skirti kolektyvinio investavimo subjektai ir tik šiuos subjektus valdančios valdymo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0375D8DEDC">
                        <w:r w:rsidRPr="00532B9F">
                          <w:rPr>
                            <w:rFonts w:ascii="Times New Roman" w:eastAsia="MS Mincho" w:hAnsi="Times New Roman"/>
                            <w:sz w:val="20"/>
                            <w:i/>
                            <w:iCs/>
                            <w:color w:val="0000FF" w:themeColor="hyperlink"/>
                            <w:u w:val="single"/>
                          </w:rPr>
                          <w:t>XII-377</w:t>
                        </w:r>
                      </w:fldSimple>
                      <w:r>
                        <w:rPr>
                          <w:rFonts w:ascii="Times New Roman" w:eastAsia="MS Mincho" w:hAnsi="Times New Roman"/>
                          <w:sz w:val="20"/>
                          <w:i/>
                          <w:iCs/>
                        </w:rPr>
                        <w:t>,
2013-06-18,
Žin., 2013, Nr.
68-3411 (2013-06-28), i. k. 1131010ISTA0XII-377            </w:t>
                      </w:r>
                    </w:p>
                    <w:p/>
                  </w:sdtContent>
                </w:sdt>
                <w:sdt>
                  <w:sdtPr>
                    <w:alias w:val="4 str. 3 d."/>
                    <w:tag w:val="part_cae9f6b4df65495aa5e8301d6223f0fd"/>
                    <w:lock w:val="sdtLocked"/>
                    <w:richText/>
                  </w:sdtPr>
                  <w:sdtContent>
                    <w:p>
                      <w:pPr>
                        <w:ind w:firstLine="720"/>
                        <w:jc w:val="both"/>
                        <w:rPr>
                          <w:color w:val="000000"/>
                        </w:rPr>
                      </w:pPr>
                      <w:sdt>
                        <w:sdtPr>
                          <w:alias w:val="Numeris"/>
                          <w:tag w:val="nr_cae9f6b4df65495aa5e8301d6223f0fd"/>
                          <w:lock w:val="sdtLocked"/>
                          <w:richText/>
                        </w:sdtPr>
                        <w:sdtContent>
                          <w:r>
                            <w:rPr>
                              <w:sz w:val="22"/>
                              <w:szCs w:val="22"/>
                            </w:rPr>
                            <w:t>3</w:t>
                          </w:r>
                        </w:sdtContent>
                      </w:sdt>
                      <w:r>
                        <w:rPr>
                          <w:sz w:val="22"/>
                          <w:szCs w:val="22"/>
                        </w:rPr>
                        <w:t xml:space="preserve">. Finansų įstaigos, kuri verčiasi licencinių finansinių paslaugų teikimu, veiklą prižiūri Lietuvos bankas, išskyrus atvejus, kai pagal 2013 m. spalio 15 d. Tarybos reglamento (ES) Nr. 1024/2013, kuriuo Europos Centriniam Bankui pavedami specialūs uždaviniai, susiję su rizikos ribojimu pagrįstos kredito įstaigų priežiūros politika (OL 2013 L 287, p. 63), nuostatas priežiūrą atlieka  Europos centrinis bankas (toliau – priežiūros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5 d."/>
                    <w:tag w:val="part_fcc167b36f88435fa9df3f377025a18e"/>
                    <w:lock w:val="sdtLocked"/>
                    <w:richText/>
                  </w:sdtPr>
                  <w:sdtContent>
                    <w:p>
                      <w:pPr>
                        <w:ind w:firstLine="708"/>
                        <w:jc w:val="both"/>
                      </w:pPr>
                      <w:sdt>
                        <w:sdtPr>
                          <w:alias w:val="Numeris"/>
                          <w:tag w:val="nr_fcc167b36f88435fa9df3f377025a18e"/>
                          <w:lock w:val="sdtLocked"/>
                          <w:richText/>
                        </w:sdtPr>
                        <w:sdtContent>
                          <w:r>
                            <w:rPr>
                              <w:color w:val="000000"/>
                            </w:rPr>
                            <w:t>5</w:t>
                          </w:r>
                        </w:sdtContent>
                      </w:sdt>
                      <w:r>
                        <w:rPr>
                          <w:color w:val="000000"/>
                        </w:rPr>
                        <w:t>. Jei Lietuvos Respublikos įstatymai, reglamentuojantys finansinių paslaugų teikimą ir finansų įstaigų veiklą, nustato kitokias normas negu šis Įstatymas, taikomos įstatymų, reglamentuojančių finansinių paslaugų teikimą ir finansų įstaigų veiklą,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4 str. 6 d."/>
                    <w:tag w:val="part_a7a1b78c71824c7da320474eb9b2a903"/>
                    <w:lock w:val="sdtLocked"/>
                    <w:richText/>
                  </w:sdtPr>
                  <w:sdtContent>
                    <w:p>
                      <w:pPr>
                        <w:ind w:firstLine="720"/>
                        <w:jc w:val="both"/>
                      </w:pPr>
                      <w:sdt>
                        <w:sdtPr>
                          <w:alias w:val="Numeris"/>
                          <w:tag w:val="nr_a7a1b78c71824c7da320474eb9b2a903"/>
                          <w:lock w:val="sdtLocked"/>
                          <w:richText/>
                        </w:sdtPr>
                        <w:sdtContent>
                          <w:r>
                            <w:rPr>
                              <w:szCs w:val="24"/>
                            </w:rPr>
                            <w:t>6</w:t>
                          </w:r>
                        </w:sdtContent>
                      </w:sdt>
                      <w:r>
                        <w:rPr>
                          <w:szCs w:val="24"/>
                        </w:rPr>
                        <w:t>. Šio įstatymo 20 straipsnio 2 dalyje, 44 straipsnio 3 dalyje ir 46 straipsnio 3 dalyje nustatyta tvarka netaikoma finansų įstaigoms, kurios teikia tik nelicencines finansines paslaugas, nustatytas Lietuvos Respublikos vartojimo kredito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eb3bab7402314403b3815f1cefc48ddf"/>
                    <w:lock w:val="sdtLocked"/>
                    <w:richText/>
                  </w:sdtPr>
                  <w:sdtContent>
                    <w:p>
                      <w:pPr>
                        <w:ind w:firstLine="708"/>
                        <w:jc w:val="both"/>
                      </w:pPr>
                      <w:sdt>
                        <w:sdtPr>
                          <w:alias w:val="Numeris"/>
                          <w:tag w:val="nr_eb3bab7402314403b3815f1cefc48ddf"/>
                          <w:lock w:val="sdtLocked"/>
                          <w:richText/>
                        </w:sdtPr>
                        <w:sdtContent>
                          <w:r>
                            <w:t>2</w:t>
                          </w:r>
                        </w:sdtContent>
                      </w:sdt>
                      <w:r>
                        <w:t xml:space="preserve">. Licencines finansines paslaugas teikiančios finansų įstaigos kvalifikuotosios įstatinio kapitalo ir (arba) balsavimo teisių dalies įsigijimo, padidinimo, perleidimo ir sumažinimo tvarką nustato Lietuvos Respublikos įstatymai, reglamentuojantys finansinių paslaugų teikimą ir finansų įstaigų veiklą.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f5e002c4eb5447f7ba65ef27d580e947"/>
                    <w:lock w:val="sdtLocked"/>
                    <w:richText/>
                  </w:sdtPr>
                  <w:sdtContent>
                    <w:p>
                      <w:pPr>
                        <w:ind w:firstLine="720"/>
                        <w:jc w:val="both"/>
                        <w:rPr>
                          <w:color w:val="000000"/>
                        </w:rPr>
                      </w:pPr>
                      <w:sdt>
                        <w:sdtPr>
                          <w:alias w:val="Numeris"/>
                          <w:tag w:val="nr_f5e002c4eb5447f7ba65ef27d580e947"/>
                          <w:lock w:val="sdtLocked"/>
                          <w:richText/>
                        </w:sdtPr>
                        <w:sdtContent>
                          <w:r>
                            <w:rPr>
                              <w:szCs w:val="24"/>
                            </w:rPr>
                            <w:t>3</w:t>
                          </w:r>
                        </w:sdtContent>
                      </w:sdt>
                      <w:r>
                        <w:rPr>
                          <w:szCs w:val="24"/>
                        </w:rPr>
                        <w:t>. Europos Sąjungos valstybėje narėje licencijuota finansų įstaiga kitais Lietuvos Respublikos įstatymuose, reglamentuojančiuose finansinių paslaugų teikimą, nustatytais atvejais gali pradėti teikti finansines paslaugas Lietuvos Respublikoje nesteigdama filialo, praėjus 1 mėnesiui nuo tos dienos, kurią užsienio priežiūros institucija Lietuvos Respublikos finansų įstaigų priežiūros institucijai perdavė jos veiklos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8dabd01b9f11e4b542dec0b12e28b0">
                        <w:r w:rsidRPr="00532B9F">
                          <w:rPr>
                            <w:rFonts w:ascii="Times New Roman" w:eastAsia="MS Mincho" w:hAnsi="Times New Roman"/>
                            <w:sz w:val="20"/>
                            <w:i/>
                            <w:iCs/>
                            <w:color w:val="0000FF" w:themeColor="hyperlink"/>
                            <w:u w:val="single"/>
                          </w:rPr>
                          <w:t>XII-1044</w:t>
                        </w:r>
                      </w:fldSimple>
                      <w:r>
                        <w:rPr>
                          <w:rFonts w:ascii="Times New Roman" w:eastAsia="MS Mincho" w:hAnsi="Times New Roman"/>
                          <w:sz w:val="20"/>
                          <w:i/>
                          <w:iCs/>
                        </w:rPr>
                        <w:t>,
2014-07-17,
paskelbta TAR 2014-08-04, i. k. 2014-10855            </w:t>
                      </w:r>
                    </w:p>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585cd07b4cc5402eb2aecbd28c2a117f"/>
                <w:lock w:val="sdtLocked"/>
                <w:richText/>
              </w:sdtPr>
              <w:sdtContent>
                <w:p>
                  <w:pPr>
                    <w:ind w:firstLine="720"/>
                    <w:jc w:val="both"/>
                    <w:rPr>
                      <w:b/>
                      <w:szCs w:val="24"/>
                    </w:rPr>
                  </w:pPr>
                  <w:sdt>
                    <w:sdtPr>
                      <w:alias w:val="Numeris"/>
                      <w:tag w:val="nr_585cd07b4cc5402eb2aecbd28c2a117f"/>
                      <w:lock w:val="sdtLocked"/>
                      <w:richText/>
                    </w:sdtPr>
                    <w:sdtContent>
                      <w:r>
                        <w:rPr>
                          <w:b/>
                          <w:bCs/>
                          <w:szCs w:val="24"/>
                        </w:rPr>
                        <w:t>18</w:t>
                      </w:r>
                    </w:sdtContent>
                  </w:sdt>
                  <w:r>
                    <w:rPr>
                      <w:b/>
                      <w:bCs/>
                      <w:szCs w:val="24"/>
                    </w:rPr>
                    <w:t xml:space="preserve"> straipsnis. </w:t>
                  </w:r>
                  <w:sdt>
                    <w:sdtPr>
                      <w:alias w:val="Pavadinimas"/>
                      <w:tag w:val="title_585cd07b4cc5402eb2aecbd28c2a117f"/>
                      <w:lock w:val="sdtLocked"/>
                      <w:richText/>
                    </w:sdtPr>
                    <w:sdtContent>
                      <w:r>
                        <w:rPr>
                          <w:b/>
                          <w:bCs/>
                          <w:szCs w:val="24"/>
                        </w:rPr>
                        <w:t>Finansų įstaigos</w:t>
                      </w:r>
                      <w:r>
                        <w:rPr>
                          <w:b/>
                          <w:szCs w:val="24"/>
                        </w:rPr>
                        <w:t xml:space="preserve"> </w:t>
                      </w:r>
                      <w:r>
                        <w:rPr>
                          <w:b/>
                          <w:bCs/>
                          <w:szCs w:val="24"/>
                        </w:rPr>
                        <w:t>kolegialių organų posėdžiai</w:t>
                      </w:r>
                    </w:sdtContent>
                  </w:sdt>
                </w:p>
                <w:sdt>
                  <w:sdtPr>
                    <w:alias w:val="18 str. 1 d."/>
                    <w:tag w:val="part_c83b70a7bf2c4a328f70bf42b55e9123"/>
                    <w:lock w:val="sdtLocked"/>
                    <w:richText/>
                  </w:sdtPr>
                  <w:sdtContent>
                    <w:p>
                      <w:pPr>
                        <w:ind w:firstLine="720"/>
                        <w:jc w:val="both"/>
                      </w:pPr>
                      <w:r>
                        <w:rPr>
                          <w:szCs w:val="24"/>
                        </w:rPr>
                        <w:t>Finansų įstaigos kolegialių organų posėdžiai protokoluojami Lietuvos Respublikos įstatymų, reglamentuojančių finansinių paslaugų teikimą ir finansų įstaigų veiklą, bei kitų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101a0995a86c4a5ca9f7e72bf7ebfb99"/>
                        <w:lock w:val="sdtLocked"/>
                        <w:richText/>
                      </w:sdtPr>
                      <w:sdtContent>
                        <w:p>
                          <w:pPr>
                            <w:ind w:firstLine="708"/>
                            <w:jc w:val="both"/>
                          </w:pPr>
                          <w:sdt>
                            <w:sdtPr>
                              <w:alias w:val="Numeris"/>
                              <w:tag w:val="nr_101a0995a86c4a5ca9f7e72bf7ebfb99"/>
                              <w:lock w:val="sdtLocked"/>
                              <w:richText/>
                            </w:sdtPr>
                            <w:sdtContent>
                              <w:r>
                                <w:rPr>
                                  <w:color w:val="000000"/>
                                </w:rPr>
                                <w:t>5</w:t>
                              </w:r>
                            </w:sdtContent>
                          </w:sdt>
                          <w:r>
                            <w:rPr>
                              <w:color w:val="000000"/>
                            </w:rPr>
                            <w:t xml:space="preserve">) neatitinka kituose Lietuvos Respublikos įstatymuose ir teisės aktuose vadovams nustatytų reikalavimų. </w:t>
                          </w:r>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8-1 str."/>
                <w:tag w:val="part_34137a9728a6456aa744d1bcced77997"/>
                <w:lock w:val="sdtLocked"/>
                <w:richText/>
              </w:sdtPr>
              <w:sdtContent>
                <w:p>
                  <w:pPr>
                    <w:ind w:firstLine="720"/>
                    <w:jc w:val="both"/>
                    <w:rPr>
                      <w:color w:val="000000"/>
                      <w:szCs w:val="24"/>
                      <w:lang w:val="ga-IE"/>
                    </w:rPr>
                  </w:pPr>
                  <w:sdt>
                    <w:sdtPr>
                      <w:alias w:val="Numeris"/>
                      <w:tag w:val="nr_34137a9728a6456aa744d1bcced77997"/>
                      <w:lock w:val="sdtLocked"/>
                      <w:richText/>
                    </w:sdtPr>
                    <w:sdtContent>
                      <w:r>
                        <w:rPr>
                          <w:b/>
                          <w:color w:val="000000"/>
                          <w:szCs w:val="24"/>
                          <w:lang w:val="ga-IE"/>
                        </w:rPr>
                        <w:t>28</w:t>
                      </w:r>
                      <w:r>
                        <w:rPr>
                          <w:b/>
                          <w:color w:val="000000"/>
                          <w:szCs w:val="24"/>
                          <w:vertAlign w:val="superscript"/>
                          <w:lang w:val="ga-IE"/>
                        </w:rPr>
                        <w:t>1</w:t>
                      </w:r>
                    </w:sdtContent>
                  </w:sdt>
                  <w:r>
                    <w:rPr>
                      <w:b/>
                      <w:color w:val="000000"/>
                      <w:szCs w:val="24"/>
                      <w:lang w:val="ga-IE"/>
                    </w:rPr>
                    <w:t xml:space="preserve"> straipsnis. </w:t>
                  </w:r>
                  <w:sdt>
                    <w:sdtPr>
                      <w:alias w:val="Pavadinimas"/>
                      <w:tag w:val="title_34137a9728a6456aa744d1bcced77997"/>
                      <w:lock w:val="sdtLocked"/>
                      <w:richText/>
                    </w:sdtPr>
                    <w:sdtContent>
                      <w:r>
                        <w:rPr>
                          <w:b/>
                          <w:color w:val="000000"/>
                          <w:szCs w:val="24"/>
                          <w:lang w:val="ga-IE"/>
                        </w:rPr>
                        <w:t>Finansinės pagalbos teikimas finansų įstaigos akcijoms įsigyti</w:t>
                      </w:r>
                    </w:sdtContent>
                  </w:sdt>
                </w:p>
                <w:sdt>
                  <w:sdtPr>
                    <w:alias w:val="28-1 str. 1 d."/>
                    <w:tag w:val="part_876ec61c63784990afef764087bf52e9"/>
                    <w:lock w:val="sdtLocked"/>
                    <w:richText/>
                  </w:sdtPr>
                  <w:sdtContent>
                    <w:p>
                      <w:pPr>
                        <w:ind w:firstLine="720"/>
                        <w:jc w:val="both"/>
                        <w:rPr>
                          <w:color w:val="000000"/>
                          <w:szCs w:val="24"/>
                          <w:lang w:val="ga-IE"/>
                        </w:rPr>
                      </w:pPr>
                      <w:r>
                        <w:rPr>
                          <w:color w:val="000000"/>
                          <w:szCs w:val="24"/>
                          <w:lang w:val="ga-IE"/>
                        </w:rPr>
                        <w:t xml:space="preserve">Finansų įstaiga turi teisę, laikydamasi šiame </w:t>
                      </w:r>
                      <w:r>
                        <w:rPr>
                          <w:color w:val="000000"/>
                          <w:szCs w:val="24"/>
                        </w:rPr>
                        <w:t>Į</w:t>
                      </w:r>
                      <w:r>
                        <w:rPr>
                          <w:color w:val="000000"/>
                          <w:szCs w:val="24"/>
                          <w:lang w:val="ga-IE"/>
                        </w:rPr>
                        <w:t xml:space="preserve">statyme ir Lietuvos Respublikos akcinių bendrovių įstatyme nustatytų reikalavimų, teikti finansinę pagalbą fiziniams ir (ar) juridiniams asmenims, tiesiogiai ar netiesiogiai iš anksto išmokėdama lėšų, suteikdama paskolą ar užtikrindama prievolių įvykdymą, kai šiais veiksmais siekiama sudaryti sąlygas šiems asmenims įsigyti tos finansų įstaigos akcijų  ir tenkinama bent viena iš šių sąlygų:</w:t>
                      </w:r>
                    </w:p>
                    <w:sdt>
                      <w:sdtPr>
                        <w:alias w:val="28-1 str. 1 d. 1 p."/>
                        <w:tag w:val="part_76de8b0536064032bc01d44c25e1db72"/>
                        <w:lock w:val="sdtLocked"/>
                        <w:richText/>
                      </w:sdtPr>
                      <w:sdtContent>
                        <w:p>
                          <w:pPr>
                            <w:ind w:firstLine="720"/>
                            <w:jc w:val="both"/>
                            <w:rPr>
                              <w:color w:val="000000"/>
                              <w:szCs w:val="24"/>
                              <w:lang w:val="ga-IE"/>
                            </w:rPr>
                          </w:pPr>
                          <w:sdt>
                            <w:sdtPr>
                              <w:alias w:val="Numeris"/>
                              <w:tag w:val="nr_76de8b0536064032bc01d44c25e1db72"/>
                              <w:lock w:val="sdtLocked"/>
                              <w:richText/>
                            </w:sdtPr>
                            <w:sdtContent>
                              <w:r>
                                <w:rPr>
                                  <w:color w:val="000000"/>
                                  <w:szCs w:val="24"/>
                                  <w:lang w:val="ga-IE"/>
                                </w:rPr>
                                <w:t>1</w:t>
                              </w:r>
                            </w:sdtContent>
                          </w:sdt>
                          <w:r>
                            <w:rPr>
                              <w:color w:val="000000"/>
                              <w:szCs w:val="24"/>
                              <w:lang w:val="ga-IE"/>
                            </w:rPr>
                            <w:t xml:space="preserve">) finansų įstaigos teisinė forma yra akcinė bendrovė arba uždaroji akcinė bendrovė ir </w:t>
                          </w:r>
                          <w:r>
                            <w:rPr>
                              <w:szCs w:val="24"/>
                              <w:lang w:val="ga-IE"/>
                            </w:rPr>
                            <w:t>šie veiksmai yra priskiriami jos teikiamoms finansų paslaugoms;</w:t>
                          </w:r>
                        </w:p>
                      </w:sdtContent>
                    </w:sdt>
                    <w:sdt>
                      <w:sdtPr>
                        <w:alias w:val="28-1 str. 1 d. 2 p."/>
                        <w:tag w:val="part_aa0c0e6c66e54a29b8fc7b8f81f7cab9"/>
                        <w:lock w:val="sdtLocked"/>
                        <w:richText/>
                      </w:sdtPr>
                      <w:sdtContent>
                        <w:p>
                          <w:pPr>
                            <w:ind w:firstLine="720"/>
                            <w:jc w:val="both"/>
                          </w:pPr>
                          <w:sdt>
                            <w:sdtPr>
                              <w:alias w:val="Numeris"/>
                              <w:tag w:val="nr_aa0c0e6c66e54a29b8fc7b8f81f7cab9"/>
                              <w:lock w:val="sdtLocked"/>
                              <w:richText/>
                            </w:sdtPr>
                            <w:sdtContent>
                              <w:r>
                                <w:rPr>
                                  <w:szCs w:val="24"/>
                                  <w:lang w:val="ga-IE"/>
                                </w:rPr>
                                <w:t>2</w:t>
                              </w:r>
                            </w:sdtContent>
                          </w:sdt>
                          <w:r>
                            <w:rPr>
                              <w:szCs w:val="24"/>
                              <w:lang w:val="ga-IE"/>
                            </w:rPr>
                            <w:t xml:space="preserve">) </w:t>
                          </w:r>
                          <w:r>
                            <w:rPr>
                              <w:color w:val="000000"/>
                              <w:szCs w:val="24"/>
                              <w:lang w:val="ga-IE"/>
                            </w:rPr>
                            <w:t xml:space="preserve">finansų įstaigos teisinė forma </w:t>
                          </w:r>
                          <w:r>
                            <w:rPr>
                              <w:szCs w:val="24"/>
                              <w:lang w:val="ga-IE"/>
                            </w:rPr>
                            <w:t>yra akcinė bendrovė, ji atitinka 2012 m. spalio 25</w:t>
                          </w:r>
                          <w:r>
                            <w:rPr>
                              <w:szCs w:val="24"/>
                            </w:rPr>
                            <w:t> </w:t>
                          </w:r>
                          <w:r>
                            <w:rPr>
                              <w:szCs w:val="24"/>
                              <w:lang w:val="ga-IE"/>
                            </w:rPr>
                            <w:t xml:space="preserve">d. Europos Parlamento ir Tarybos direktyvos 2012/30/ES 17 straipsnio 7 dalies antrojoje pastraipoje nustatytus kriterijus ir šiais veiksmais sudaro sąlygas fiziniams ir (ar) juridiniams asmenims įsigyti šios finansų įstaigos išleistų ir investuotojui pareikalavus tos finansų įstaigos ar įmonių grupei priklausančios finansų įstaigos įsigytų visiškai apmokėtų akcijų. Ši finansų įstaiga dokumentuose, kuriuos ji naudoja turėdama santykių su kitais subjektais (raštuose, sąskaitose, prekybos dokumentuose ir </w:t>
                          </w:r>
                          <w:r>
                            <w:rPr>
                              <w:szCs w:val="24"/>
                            </w:rPr>
                            <w:t>k</w:t>
                          </w:r>
                          <w:r>
                            <w:rPr>
                              <w:szCs w:val="24"/>
                              <w:lang w:val="ga-IE"/>
                            </w:rPr>
                            <w:t>t.)</w:t>
                          </w:r>
                          <w:r>
                            <w:rPr>
                              <w:szCs w:val="24"/>
                            </w:rPr>
                            <w:t>,</w:t>
                          </w:r>
                          <w:r>
                            <w:rPr>
                              <w:szCs w:val="24"/>
                              <w:lang w:val="ga-IE"/>
                            </w:rPr>
                            <w:t xml:space="preserve"> privalo vartoti žodžius „investicinė bendrovė“.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478c0f55811e39cfacd978b6fd9bb">
                    <w:r w:rsidRPr="00532B9F">
                      <w:rPr>
                        <w:rFonts w:ascii="Times New Roman" w:eastAsia="MS Mincho" w:hAnsi="Times New Roman"/>
                        <w:sz w:val="20"/>
                        <w:i/>
                        <w:iCs/>
                        <w:color w:val="0000FF" w:themeColor="hyperlink"/>
                        <w:u w:val="single"/>
                      </w:rPr>
                      <w:t>XII-913</w:t>
                    </w:r>
                  </w:fldSimple>
                  <w:r>
                    <w:rPr>
                      <w:rFonts w:ascii="Times New Roman" w:eastAsia="MS Mincho" w:hAnsi="Times New Roman"/>
                      <w:sz w:val="20"/>
                      <w:i/>
                      <w:iCs/>
                    </w:rPr>
                    <w:t>,
2014-06-05,
paskelbta TAR 2014-06-16, i. k. 2014-07640        </w:t>
                  </w:r>
                </w:p>
                <w:p/>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c0295dccd7a64f929910173668cf9adf"/>
                    <w:lock w:val="sdtLocked"/>
                    <w:richText/>
                  </w:sdtPr>
                  <w:sdtContent>
                    <w:p>
                      <w:pPr>
                        <w:ind w:firstLine="720"/>
                        <w:jc w:val="both"/>
                        <w:rPr>
                          <w:color w:val="000000"/>
                        </w:rPr>
                      </w:pPr>
                      <w:sdt>
                        <w:sdtPr>
                          <w:alias w:val="Numeris"/>
                          <w:tag w:val="nr_c0295dccd7a64f929910173668cf9adf"/>
                          <w:lock w:val="sdtLocked"/>
                          <w:richText/>
                        </w:sdtPr>
                        <w:sdtContent>
                          <w:r>
                            <w:rPr>
                              <w:szCs w:val="24"/>
                            </w:rPr>
                            <w:t>1</w:t>
                          </w:r>
                        </w:sdtContent>
                      </w:sdt>
                      <w:r>
                        <w:rPr>
                          <w:szCs w:val="24"/>
                        </w:rPr>
                        <w:t>. Finansų įstaiga, įskaitant ir finansų kontroliuojančiąją bendrovę, ir jos kontroliuojamos finansų įstaigos bei šių finansų įstaigų kontroliuojamos kitos finansų įstaigos, kurias tiesiogiai ir (arba) netiesiogiai kontroliuoja pirmoji finansų įstaiga, sudaro finansinę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c8a23be8c59047b0af7da4aabd2b36b9"/>
                    <w:lock w:val="sdtLocked"/>
                    <w:richText/>
                  </w:sdtPr>
                  <w:sdtContent>
                    <w:p>
                      <w:pPr>
                        <w:ind w:firstLine="720"/>
                        <w:jc w:val="both"/>
                      </w:pPr>
                      <w:sdt>
                        <w:sdtPr>
                          <w:alias w:val="Numeris"/>
                          <w:tag w:val="nr_c8a23be8c59047b0af7da4aabd2b36b9"/>
                          <w:lock w:val="sdtLocked"/>
                          <w:richText/>
                        </w:sdtPr>
                        <w:sdtContent>
                          <w:r>
                            <w:rPr>
                              <w:sz w:val="22"/>
                              <w:szCs w:val="22"/>
                              <w:lang w:eastAsia="lt-LT"/>
                            </w:rPr>
                            <w:t>2</w:t>
                          </w:r>
                        </w:sdtContent>
                      </w:sdt>
                      <w:r>
                        <w:rPr>
                          <w:sz w:val="22"/>
                          <w:szCs w:val="22"/>
                          <w:lang w:eastAsia="lt-LT"/>
                        </w:rPr>
                        <w:t>. Finansų įstaigų, kurioms taikoma konsoliduota priežiūra, mišrios veiklos finansų kontroliuojančiųjų įmonių ir mišrią veiklą vykdančių kontroliuojančiųjų bendrovių teises ir pareigas, taip pat jungtinę (konsoliduotą) priežiūrą atliekančios priežiūros institucijos teises ir pareigas nustato Lietuvos Respublikos įstatymai, reglamentuojantys finansinių paslaugų teikimą ir finansų įstaigų veiklą,</w:t>
                      </w:r>
                      <w:r>
                        <w:rPr>
                          <w:sz w:val="22"/>
                          <w:szCs w:val="22"/>
                        </w:rPr>
                        <w:t xml:space="preserve"> ir kiti finansų įstaigų veiklą ir jos priežiūrą reglamentuojantys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b53d9ce7381f46518a17245d3b5167ae"/>
                    <w:lock w:val="sdtLocked"/>
                    <w:richText/>
                  </w:sdtPr>
                  <w:sdtContent>
                    <w:p>
                      <w:pPr>
                        <w:ind w:firstLine="720"/>
                        <w:jc w:val="both"/>
                      </w:pPr>
                      <w:sdt>
                        <w:sdtPr>
                          <w:alias w:val="Numeris"/>
                          <w:tag w:val="nr_b53d9ce7381f46518a17245d3b5167ae"/>
                          <w:lock w:val="sdtLocked"/>
                          <w:richText/>
                        </w:sdtPr>
                        <w:sdtContent>
                          <w:r>
                            <w:rPr>
                              <w:szCs w:val="24"/>
                            </w:rPr>
                            <w:t>3</w:t>
                          </w:r>
                        </w:sdtContent>
                      </w:sdt>
                      <w:r>
                        <w:rPr>
                          <w:szCs w:val="24"/>
                        </w:rPr>
                        <w:t>. Finansų įstaiga privalo iki einamųjų finansinių metų pirmojo pusmečio pabaigos sudaryti sutartį dėl metinės finansinės atskaitomybės audito su visuotinio finansų įstaigos dalyvių susirinkimo išrinkta audito įmone, jeigu finansų įstaigos veiklos priežiūrą nustato Lietuvos Respublikos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de89c709137f4d7fa4009e32c12158b7"/>
                <w:lock w:val="sdtLocked"/>
                <w:richText/>
              </w:sdtPr>
              <w:sdtContent>
                <w:p>
                  <w:pPr>
                    <w:ind w:firstLine="720"/>
                    <w:jc w:val="both"/>
                    <w:rPr>
                      <w:b/>
                      <w:szCs w:val="24"/>
                    </w:rPr>
                  </w:pPr>
                  <w:sdt>
                    <w:sdtPr>
                      <w:alias w:val="Numeris"/>
                      <w:tag w:val="nr_de89c709137f4d7fa4009e32c12158b7"/>
                      <w:lock w:val="sdtLocked"/>
                      <w:richText/>
                    </w:sdtPr>
                    <w:sdtContent>
                      <w:r>
                        <w:rPr>
                          <w:b/>
                          <w:szCs w:val="24"/>
                        </w:rPr>
                        <w:t>45</w:t>
                      </w:r>
                    </w:sdtContent>
                  </w:sdt>
                  <w:r>
                    <w:rPr>
                      <w:b/>
                      <w:szCs w:val="24"/>
                    </w:rPr>
                    <w:t xml:space="preserve"> straipsnis. </w:t>
                  </w:r>
                  <w:sdt>
                    <w:sdtPr>
                      <w:alias w:val="Pavadinimas"/>
                      <w:tag w:val="title_de89c709137f4d7fa4009e32c12158b7"/>
                      <w:lock w:val="sdtLocked"/>
                      <w:richText/>
                    </w:sdtPr>
                    <w:sdtContent>
                      <w:r>
                        <w:rPr>
                          <w:b/>
                          <w:szCs w:val="24"/>
                        </w:rPr>
                        <w:t>Reikalavimai auditoriui ir audito įmonei, jų atsakomybė</w:t>
                      </w:r>
                    </w:sdtContent>
                  </w:sdt>
                </w:p>
                <w:sdt>
                  <w:sdtPr>
                    <w:alias w:val="45 str. 1 d."/>
                    <w:tag w:val="part_4aa4c13610e34ecba2dae890cfedea31"/>
                    <w:lock w:val="sdtLocked"/>
                    <w:richText/>
                  </w:sdtPr>
                  <w:sdtContent>
                    <w:p>
                      <w:pPr>
                        <w:ind w:firstLine="720"/>
                        <w:jc w:val="both"/>
                      </w:pPr>
                      <w:r>
                        <w:rPr>
                          <w:szCs w:val="24"/>
                        </w:rPr>
                        <w:t>Reikalavimus auditoriui ir audito įmonei, jų atsakomybę nustato šis įstatymas ir Lietuvos Respublikos finansinių ataskaitų audito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1 d."/>
                    <w:tag w:val="part_911b08d124924bc18523b25c8cf8a0d1"/>
                    <w:lock w:val="sdtLocked"/>
                    <w:richText/>
                  </w:sdtPr>
                  <w:sdtContent>
                    <w:p>
                      <w:pPr>
                        <w:ind w:firstLine="720"/>
                        <w:jc w:val="both"/>
                      </w:pPr>
                      <w:sdt>
                        <w:sdtPr>
                          <w:alias w:val="Numeris"/>
                          <w:tag w:val="nr_911b08d124924bc18523b25c8cf8a0d1"/>
                          <w:lock w:val="sdtLocked"/>
                          <w:richText/>
                        </w:sdtPr>
                        <w:sdtContent>
                          <w:r>
                            <w:rPr>
                              <w:bCs/>
                              <w:szCs w:val="24"/>
                            </w:rPr>
                            <w:t>1</w:t>
                          </w:r>
                        </w:sdtContent>
                      </w:sdt>
                      <w:r>
                        <w:rPr>
                          <w:bCs/>
                          <w:szCs w:val="24"/>
                        </w:rPr>
                        <w:t>. Auditoriaus ir audito įmonės pareigas nustato šis įstatymas ir Lietuvos Respublikos finansinių ataskaitų audito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2 d."/>
                    <w:tag w:val="part_70e068e2e3ce4aa6bee96cc453957279"/>
                    <w:lock w:val="sdtLocked"/>
                    <w:richText/>
                  </w:sdtPr>
                  <w:sdtContent>
                    <w:p>
                      <w:pPr>
                        <w:ind w:firstLine="708"/>
                        <w:jc w:val="both"/>
                        <w:rPr>
                          <w:color w:val="000000"/>
                        </w:rPr>
                      </w:pPr>
                      <w:sdt>
                        <w:sdtPr>
                          <w:alias w:val="Numeris"/>
                          <w:tag w:val="nr_70e068e2e3ce4aa6bee96cc453957279"/>
                          <w:lock w:val="sdtLocked"/>
                          <w:richText/>
                        </w:sdtPr>
                        <w:sdtContent>
                          <w:r>
                            <w:rPr>
                              <w:color w:val="000000"/>
                            </w:rPr>
                            <w:t>2</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3 d."/>
                    <w:tag w:val="part_f7dc4f7be47749f8af8979f4cbd55cf6"/>
                    <w:lock w:val="sdtLocked"/>
                    <w:richText/>
                  </w:sdtPr>
                  <w:sdtContent>
                    <w:p>
                      <w:pPr>
                        <w:ind w:firstLine="708"/>
                        <w:jc w:val="both"/>
                        <w:rPr>
                          <w:color w:val="000000"/>
                        </w:rPr>
                      </w:pPr>
                      <w:sdt>
                        <w:sdtPr>
                          <w:alias w:val="Numeris"/>
                          <w:tag w:val="nr_f7dc4f7be47749f8af8979f4cbd55cf6"/>
                          <w:lock w:val="sdtLocked"/>
                          <w:richText/>
                        </w:sdtPr>
                        <w:sdtContent>
                          <w:r>
                            <w:rPr>
                              <w:color w:val="000000"/>
                            </w:rPr>
                            <w:t>3</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
                      <w:sdtPr>
                        <w:alias w:val="46 str. 3 d. 1 p."/>
                        <w:tag w:val="part_d3a955bbf9fb4bc88ceb950329e4d29e"/>
                        <w:lock w:val="sdtLocked"/>
                        <w:richText/>
                      </w:sdtPr>
                      <w:sdtContent>
                        <w:p>
                          <w:pPr>
                            <w:widowControl w:val="0"/>
                            <w:suppressAutoHyphens/>
                            <w:ind w:firstLine="708"/>
                            <w:jc w:val="both"/>
                            <w:rPr>
                              <w:color w:val="000000"/>
                            </w:rPr>
                          </w:pPr>
                          <w:sdt>
                            <w:sdtPr>
                              <w:alias w:val="Numeris"/>
                              <w:tag w:val="nr_d3a955bbf9fb4bc88ceb950329e4d29e"/>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3 d. 2 p."/>
                        <w:tag w:val="part_f354f0e6263f4b92a84d7b7c35a4f467"/>
                        <w:lock w:val="sdtLocked"/>
                        <w:richText/>
                      </w:sdtPr>
                      <w:sdtContent>
                        <w:p>
                          <w:pPr>
                            <w:ind w:firstLine="708"/>
                            <w:jc w:val="both"/>
                            <w:rPr>
                              <w:color w:val="000000"/>
                            </w:rPr>
                          </w:pPr>
                          <w:sdt>
                            <w:sdtPr>
                              <w:alias w:val="Numeris"/>
                              <w:tag w:val="nr_f354f0e6263f4b92a84d7b7c35a4f467"/>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3 d. 3 p."/>
                        <w:tag w:val="part_726512be9e2844389e95279a6dcf5316"/>
                        <w:lock w:val="sdtLocked"/>
                        <w:richText/>
                      </w:sdtPr>
                      <w:sdtContent>
                        <w:p>
                          <w:pPr>
                            <w:ind w:firstLine="708"/>
                            <w:jc w:val="both"/>
                            <w:rPr>
                              <w:color w:val="000000"/>
                            </w:rPr>
                          </w:pPr>
                          <w:sdt>
                            <w:sdtPr>
                              <w:alias w:val="Numeris"/>
                              <w:tag w:val="nr_726512be9e2844389e95279a6dcf5316"/>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3 d. 4 p."/>
                        <w:tag w:val="part_b954b364f488432d92e0c66c778c94a1"/>
                        <w:lock w:val="sdtLocked"/>
                        <w:richText/>
                      </w:sdtPr>
                      <w:sdtContent>
                        <w:p>
                          <w:pPr>
                            <w:ind w:firstLine="708"/>
                            <w:jc w:val="both"/>
                            <w:rPr>
                              <w:color w:val="000000"/>
                            </w:rPr>
                          </w:pPr>
                          <w:sdt>
                            <w:sdtPr>
                              <w:alias w:val="Numeris"/>
                              <w:tag w:val="nr_b954b364f488432d92e0c66c778c94a1"/>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3 d. 5 p."/>
                        <w:tag w:val="part_dbb9b4fd01bc43beb531bde0470a32bd"/>
                        <w:lock w:val="sdtLocked"/>
                        <w:richText/>
                      </w:sdtPr>
                      <w:sdtContent>
                        <w:p>
                          <w:pPr>
                            <w:ind w:firstLine="708"/>
                            <w:jc w:val="both"/>
                            <w:rPr>
                              <w:color w:val="000000"/>
                            </w:rPr>
                          </w:pPr>
                          <w:sdt>
                            <w:sdtPr>
                              <w:alias w:val="Numeris"/>
                              <w:tag w:val="nr_dbb9b4fd01bc43beb531bde0470a32bd"/>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3 d. 6 p."/>
                        <w:tag w:val="part_62798fb4a37a44ffaa5ae5cb3a519935"/>
                        <w:lock w:val="sdtLocked"/>
                        <w:richText/>
                      </w:sdtPr>
                      <w:sdtContent>
                        <w:p>
                          <w:pPr>
                            <w:ind w:firstLine="708"/>
                            <w:jc w:val="both"/>
                            <w:rPr>
                              <w:color w:val="000000"/>
                            </w:rPr>
                          </w:pPr>
                          <w:sdt>
                            <w:sdtPr>
                              <w:alias w:val="Numeris"/>
                              <w:tag w:val="nr_62798fb4a37a44ffaa5ae5cb3a519935"/>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3 d. 7 p."/>
                        <w:tag w:val="part_9ef4e722f9974b35a01b70419f331eba"/>
                        <w:lock w:val="sdtLocked"/>
                        <w:richText/>
                      </w:sdtPr>
                      <w:sdtContent>
                        <w:p>
                          <w:pPr>
                            <w:ind w:firstLine="708"/>
                            <w:jc w:val="both"/>
                            <w:rPr>
                              <w:color w:val="000000"/>
                            </w:rPr>
                          </w:pPr>
                          <w:sdt>
                            <w:sdtPr>
                              <w:alias w:val="Numeris"/>
                              <w:tag w:val="nr_9ef4e722f9974b35a01b70419f331eba"/>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4 d."/>
                    <w:tag w:val="part_b6db73740654418599381e08f556fef7"/>
                    <w:lock w:val="sdtLocked"/>
                    <w:richText/>
                  </w:sdtPr>
                  <w:sdtContent>
                    <w:p>
                      <w:pPr>
                        <w:ind w:firstLine="720"/>
                        <w:jc w:val="both"/>
                        <w:rPr>
                          <w:strike/>
                          <w:color w:val="000000"/>
                        </w:rPr>
                      </w:pPr>
                      <w:sdt>
                        <w:sdtPr>
                          <w:alias w:val="Numeris"/>
                          <w:tag w:val="nr_b6db73740654418599381e08f556fef7"/>
                          <w:lock w:val="sdtLocked"/>
                          <w:richText/>
                        </w:sdtPr>
                        <w:sdtContent>
                          <w:r>
                            <w:rPr>
                              <w:bCs/>
                              <w:szCs w:val="24"/>
                            </w:rPr>
                            <w:t>4</w:t>
                          </w:r>
                        </w:sdtContent>
                      </w:sdt>
                      <w:r>
                        <w:rPr>
                          <w:bCs/>
                          <w:szCs w:val="24"/>
                        </w:rPr>
                        <w:t>. Šio straipsnio 3 dalyje nustatytą pareigą audito įmonė turi ir tuo atveju, jei sužino apie nurodytus faktus atlikdama savo darbą kitoje, su šia finansų įstaiga artimais ryšiais susijusioje,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5 d."/>
                    <w:tag w:val="part_0dc65cf7f50b4af19c5f936ec384b866"/>
                    <w:lock w:val="sdtLocked"/>
                    <w:richText/>
                  </w:sdtPr>
                  <w:sdtContent>
                    <w:p>
                      <w:pPr>
                        <w:ind w:firstLine="720"/>
                        <w:jc w:val="both"/>
                        <w:rPr>
                          <w:color w:val="000000"/>
                        </w:rPr>
                      </w:pPr>
                      <w:sdt>
                        <w:sdtPr>
                          <w:alias w:val="Numeris"/>
                          <w:tag w:val="nr_0dc65cf7f50b4af19c5f936ec384b866"/>
                          <w:lock w:val="sdtLocked"/>
                          <w:richText/>
                        </w:sdtPr>
                        <w:sdtContent>
                          <w:r>
                            <w:rPr>
                              <w:bCs/>
                              <w:szCs w:val="24"/>
                            </w:rPr>
                            <w:t>5</w:t>
                          </w:r>
                        </w:sdtContent>
                      </w:sdt>
                      <w:r>
                        <w:rPr>
                          <w:bCs/>
                          <w:szCs w:val="24"/>
                        </w:rPr>
                        <w:t>. Audito įmonė gali suteikti priežiūros institucijai konsultacijas arba perspėti ją apie patikrinimo rezultatus šio straipsnio 3 dalyje nenumatytais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6 d."/>
                    <w:tag w:val="part_927ac70869054192aec7c2ea0c021acb"/>
                    <w:lock w:val="sdtLocked"/>
                    <w:richText/>
                  </w:sdtPr>
                  <w:sdtContent>
                    <w:p>
                      <w:pPr>
                        <w:ind w:firstLine="708"/>
                        <w:jc w:val="both"/>
                      </w:pPr>
                      <w:sdt>
                        <w:sdtPr>
                          <w:alias w:val="Numeris"/>
                          <w:tag w:val="nr_927ac70869054192aec7c2ea0c021acb"/>
                          <w:lock w:val="sdtLocked"/>
                          <w:richText/>
                        </w:sdtPr>
                        <w:sdtContent>
                          <w:r>
                            <w:rPr>
                              <w:color w:val="000000"/>
                            </w:rPr>
                            <w:t>6</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47 str."/>
                <w:tag w:val="part_f194aef5358042fca571e630d4ac78d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498b279230184acc95d41a3e4d1d9c1a"/>
                        <w:lock w:val="sdtLocked"/>
                        <w:richText/>
                      </w:sdtPr>
                      <w:sdtContent>
                        <w:p>
                          <w:pPr>
                            <w:widowControl w:val="0"/>
                            <w:suppressAutoHyphens/>
                            <w:ind w:firstLine="709"/>
                            <w:jc w:val="both"/>
                            <w:rPr>
                              <w:color w:val="000000"/>
                            </w:rPr>
                          </w:pPr>
                          <w:sdt>
                            <w:sdtPr>
                              <w:alias w:val="Numeris"/>
                              <w:tag w:val="nr_498b279230184acc95d41a3e4d1d9c1a"/>
                              <w:lock w:val="sdtLocked"/>
                              <w:richText/>
                            </w:sdtPr>
                            <w:sdtContent>
                              <w:r>
                                <w:rPr>
                                  <w:color w:val="000000"/>
                                </w:rPr>
                                <w:t>4</w:t>
                              </w:r>
                            </w:sdtContent>
                          </w:sdt>
                          <w:r>
                            <w:rPr>
                              <w:color w:val="000000"/>
                            </w:rPr>
                            <w:t>) Lietuvos banko už finansų rinkos priežiūrą atsakingo padalinio vadovas.</w:t>
                          </w:r>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870339b23f4342cb8167c37373b1e56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4 d."/>
                    <w:tag w:val="part_168fe6e4dad74a43aa202bd3a4e8878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5 d."/>
                    <w:tag w:val="part_b9eb3b9ecedf4ea0866849e7b12e36d4"/>
                    <w:lock w:val="sdtLocked"/>
                    <w:richText/>
                  </w:sdtPr>
                  <w:sdtContent>
                    <w:p>
                      <w:pPr>
                        <w:ind w:firstLine="720"/>
                        <w:jc w:val="both"/>
                        <w:rPr>
                          <w:color w:val="000000"/>
                        </w:rPr>
                      </w:pPr>
                      <w:sdt>
                        <w:sdtPr>
                          <w:alias w:val="Numeris"/>
                          <w:tag w:val="nr_b9eb3b9ecedf4ea0866849e7b12e36d4"/>
                          <w:lock w:val="sdtLocked"/>
                          <w:richText/>
                        </w:sdtPr>
                        <w:sdtContent>
                          <w:r>
                            <w:rPr>
                              <w:sz w:val="22"/>
                              <w:szCs w:val="22"/>
                              <w:lang w:eastAsia="lt-LT"/>
                            </w:rPr>
                            <w:t>5</w:t>
                          </w:r>
                        </w:sdtContent>
                      </w:sdt>
                      <w:r>
                        <w:rPr>
                          <w:sz w:val="22"/>
                          <w:szCs w:val="22"/>
                          <w:lang w:eastAsia="lt-LT"/>
                        </w:rPr>
                        <w:t>. Pareiškimą teismui dėl bankroto bylos iškėlimo finansų įstaigai turi teisę pateikti jos dalyviai, likvidatorius (likvidacinė komisija), administracijos vadovas, kreditorius (kreditoriai), pertvarkymo institucija, o finansų įstaigai, teikiančiai licencines finansines paslaugas, – ir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f61082b8f82542118e4d03f4fc222652"/>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p>
              <w:pPr>
                <w:tabs>
                  <w:tab w:val="right" w:pos="8730"/>
                </w:tabs>
                <w:jc w:val="center"/>
                <w:rPr>
                  <w:color w:val="000000"/>
                </w:rPr>
              </w:pPr>
            </w:p>
          </w:sdtContent>
        </w:sdt>
      </w:sdtContent>
    </w:sdt>
    <w:sdt>
      <w:sdtPr>
        <w:alias w:val="pr."/>
        <w:tag w:val="part_9eafb103cd0f444880a07778d9d85f5c"/>
        <w:lock w:val="sdtLocked"/>
        <w:richText/>
      </w:sdtPr>
      <w:sdtContent>
        <w:p>
          <w:pPr>
            <w:ind w:firstLine="6480"/>
            <w:jc w:val="both"/>
            <w:rPr>
              <w:szCs w:val="24"/>
              <w:lang w:eastAsia="lt-LT"/>
            </w:rPr>
          </w:pPr>
          <w:r>
            <w:rPr>
              <w:szCs w:val="24"/>
              <w:lang w:eastAsia="lt-LT"/>
            </w:rPr>
            <w:t>Lietuvos Respublikos</w:t>
          </w:r>
          <w:r>
            <w:rPr>
              <w:b/>
              <w:bCs/>
              <w:szCs w:val="24"/>
              <w:lang w:eastAsia="lt-LT"/>
            </w:rPr>
            <w:t xml:space="preserve"> </w:t>
          </w:r>
        </w:p>
        <w:p>
          <w:pPr>
            <w:ind w:firstLine="6480"/>
            <w:jc w:val="both"/>
            <w:rPr>
              <w:szCs w:val="24"/>
              <w:lang w:eastAsia="lt-LT"/>
            </w:rPr>
          </w:pPr>
          <w:r>
            <w:rPr>
              <w:szCs w:val="24"/>
              <w:lang w:eastAsia="lt-LT"/>
            </w:rPr>
            <w:t>finansų įstaigų įstatymo</w:t>
          </w:r>
        </w:p>
        <w:p>
          <w:pPr>
            <w:ind w:firstLine="6480"/>
            <w:jc w:val="both"/>
            <w:rPr>
              <w:szCs w:val="24"/>
              <w:lang w:eastAsia="lt-LT"/>
            </w:rPr>
          </w:pPr>
          <w:r>
            <w:rPr>
              <w:szCs w:val="24"/>
              <w:lang w:eastAsia="lt-LT"/>
            </w:rPr>
            <w:t>priedas</w:t>
          </w:r>
        </w:p>
        <w:p>
          <w:pPr>
            <w:ind w:firstLine="720"/>
            <w:jc w:val="center"/>
            <w:rPr>
              <w:bCs/>
              <w:szCs w:val="24"/>
              <w:lang w:eastAsia="lt-LT"/>
            </w:rPr>
          </w:pPr>
        </w:p>
        <w:p>
          <w:pPr>
            <w:jc w:val="center"/>
            <w:rPr>
              <w:b/>
              <w:bCs/>
              <w:szCs w:val="24"/>
              <w:lang w:eastAsia="lt-LT"/>
            </w:rPr>
          </w:pPr>
          <w:sdt>
            <w:sdtPr>
              <w:alias w:val="Pavadinimas"/>
              <w:tag w:val="title_9eafb103cd0f444880a07778d9d85f5c"/>
              <w:lock w:val="sdtLocked"/>
              <w:richText/>
            </w:sdtPr>
            <w:sdtContent>
              <w:r>
                <w:rPr>
                  <w:b/>
                  <w:bCs/>
                  <w:szCs w:val="24"/>
                  <w:lang w:eastAsia="lt-LT"/>
                </w:rPr>
                <w:t>ĮGYVENDINAMI EUROPOS SĄJUNGOS TEISĖS AKTAI</w:t>
              </w:r>
            </w:sdtContent>
          </w:sdt>
        </w:p>
        <w:p>
          <w:pPr>
            <w:ind w:firstLine="720"/>
            <w:jc w:val="center"/>
            <w:rPr>
              <w:szCs w:val="24"/>
              <w:lang w:eastAsia="lt-LT"/>
            </w:rPr>
          </w:pPr>
        </w:p>
        <w:sdt>
          <w:sdtPr>
            <w:alias w:val="pr. 1 p."/>
            <w:tag w:val="part_a9428d902b394feb8dc5924b9963d8ef"/>
            <w:lock w:val="sdtLocked"/>
            <w:richText/>
          </w:sdtPr>
          <w:sdtContent>
            <w:p>
              <w:pPr>
                <w:ind w:firstLine="720"/>
                <w:jc w:val="both"/>
                <w:rPr>
                  <w:szCs w:val="24"/>
                  <w:lang w:eastAsia="lt-LT"/>
                </w:rPr>
              </w:pPr>
              <w:sdt>
                <w:sdtPr>
                  <w:alias w:val="Numeris"/>
                  <w:tag w:val="nr_a9428d902b394feb8dc5924b9963d8ef"/>
                  <w:lock w:val="sdtLocked"/>
                  <w:richText/>
                </w:sdtPr>
                <w:sdtContent>
                  <w:r>
                    <w:rPr>
                      <w:szCs w:val="24"/>
                      <w:lang w:eastAsia="lt-LT"/>
                    </w:rPr>
                    <w:t>1</w:t>
                  </w:r>
                </w:sdtContent>
              </w:sdt>
              <w:r>
                <w:rPr>
                  <w:szCs w:val="24"/>
                  <w:lang w:eastAsia="lt-LT"/>
                </w:rPr>
                <w:t>. 2009 m. rugsėjo 16 d. Europos Parlamento ir Tarybos direktyva 2009/110/EB dėl elektroninių pinigų įstaigų steigimosi, veiklos ir riziką ribojančios priežiūros, iš dalies keičianti Direktyvas 2005/60/EB ir 2006/48/EB ir panaikinanti Direktyvą 2000/46/EB (OL 2009 L 267, p. 7).</w:t>
              </w:r>
            </w:p>
          </w:sdtContent>
        </w:sdt>
        <w:sdt>
          <w:sdtPr>
            <w:alias w:val="pr. 2 p."/>
            <w:tag w:val="part_2ef308aaef794a08a2407c3973c99277"/>
            <w:lock w:val="sdtLocked"/>
            <w:richText/>
          </w:sdtPr>
          <w:sdtContent>
            <w:p>
              <w:pPr>
                <w:ind w:firstLine="720"/>
                <w:jc w:val="both"/>
                <w:rPr>
                  <w:szCs w:val="24"/>
                  <w:lang w:eastAsia="lt-LT"/>
                </w:rPr>
              </w:pPr>
              <w:sdt>
                <w:sdtPr>
                  <w:alias w:val="Numeris"/>
                  <w:tag w:val="nr_2ef308aaef794a08a2407c3973c99277"/>
                  <w:lock w:val="sdtLocked"/>
                  <w:richText/>
                </w:sdtPr>
                <w:sdtContent>
                  <w:r>
                    <w:rPr>
                      <w:szCs w:val="24"/>
                      <w:lang w:eastAsia="lt-LT"/>
                    </w:rPr>
                    <w:t>2</w:t>
                  </w:r>
                </w:sdtContent>
              </w:sdt>
              <w:r>
                <w:rPr>
                  <w:szCs w:val="24"/>
                  <w:lang w:eastAsia="lt-LT"/>
                </w:rPr>
                <w:t>.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(OL 2013 L 176, p. 338).</w:t>
              </w:r>
            </w:p>
          </w:sdtContent>
        </w:sdt>
        <w:sdt>
          <w:sdtPr>
            <w:alias w:val="pr. 3 p."/>
            <w:tag w:val="part_1ecf79f83c1340baa588adf756f0288a"/>
            <w:lock w:val="sdtLocked"/>
            <w:richText/>
          </w:sdtPr>
          <w:sdtContent>
            <w:p>
              <w:pPr>
                <w:ind w:firstLine="720"/>
                <w:jc w:val="both"/>
              </w:pPr>
              <w:sdt>
                <w:sdtPr>
                  <w:alias w:val="Numeris"/>
                  <w:tag w:val="nr_1ecf79f83c1340baa588adf756f0288a"/>
                  <w:lock w:val="sdtLocked"/>
                  <w:richText/>
                </w:sdtPr>
                <w:sdtContent>
                  <w:r>
                    <w:rPr>
                      <w:szCs w:val="24"/>
                      <w:lang w:eastAsia="lt-LT"/>
                    </w:rPr>
                    <w:t>3</w:t>
                  </w:r>
                </w:sdtContent>
              </w:sdt>
              <w:r>
                <w:rPr>
                  <w:szCs w:val="24"/>
                  <w:lang w:eastAsia="lt-LT"/>
                </w:rPr>
                <w:t>.</w:t>
              </w:r>
              <w:r>
                <w:rPr>
                  <w:szCs w:val="24"/>
                </w:rPr>
                <w:t xml:space="preserve"> 2015 m. lapkričio 25 d. Europos Parlamento ir Tarybos direktyva (ES) 2015/2366 dėl mokėjimo paslaugų vidaus rinkoje, kuria iš dalies keičiamos direktyvos 2002/65/EB, 2009/110/EB ir 2013/36/ES bei Reglamentas (ES) Nr. 1093/2010 ir panaikinama Direktyva 2007/64/EB (OL 2015 L 337, p. 35).</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5A8E1CA159">
            <w:r w:rsidRPr="00532B9F">
              <w:rPr>
                <w:rFonts w:ascii="Times New Roman" w:eastAsia="MS Mincho" w:hAnsi="Times New Roman"/>
                <w:sz w:val="20"/>
                <w:iCs/>
                <w:color w:val="0000FF" w:themeColor="hyperlink"/>
                <w:u w:val="single"/>
              </w:rPr>
              <w:t>XI-1373</w:t>
            </w:r>
          </w:fldSimple>
          <w:r>
            <w:rPr>
              <w:rFonts w:ascii="Times New Roman" w:eastAsia="MS Mincho" w:hAnsi="Times New Roman"/>
              <w:sz w:val="20"/>
              <w:iCs/>
            </w:rPr>
            <w:t>,
2011-05-12,
Žin., 2011, Nr.
62-2935 (2011-05-24), i. k. 1111010ISTA0XI-1373                </w:t>
          </w:r>
        </w:p>
        <w:p>
          <w:pPr>
            <w:jc w:val="both"/>
            <w:rPr>
              <w:rFonts w:ascii="Times New Roman" w:hAnsi="Times New Roman"/>
            </w:rPr>
          </w:pPr>
          <w:r>
            <w:rPr>
              <w:rFonts w:ascii="Times New Roman" w:hAnsi="Times New Roman"/>
              <w:sz w:val="20"/>
            </w:rPr>
            <w:t>Lietuvos Respublikos finansų įstaigų įstatymo 2, 3, 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5181AFA813">
            <w:r w:rsidRPr="00532B9F">
              <w:rPr>
                <w:rFonts w:ascii="Times New Roman" w:eastAsia="MS Mincho" w:hAnsi="Times New Roman"/>
                <w:sz w:val="20"/>
                <w:iCs/>
                <w:color w:val="0000FF" w:themeColor="hyperlink"/>
                <w:u w:val="single"/>
              </w:rPr>
              <w:t>XI-1675</w:t>
            </w:r>
          </w:fldSimple>
          <w:r>
            <w:rPr>
              <w:rFonts w:ascii="Times New Roman" w:eastAsia="MS Mincho" w:hAnsi="Times New Roman"/>
              <w:sz w:val="20"/>
              <w:iCs/>
            </w:rPr>
            <w:t>,
2011-11-17,
Žin., 2011, Nr.
146-6821 (2011-12-01), i. k. 1111010ISTA0XI-1675                </w:t>
          </w:r>
        </w:p>
        <w:p>
          <w:pPr>
            <w:jc w:val="both"/>
            <w:rPr>
              <w:rFonts w:ascii="Times New Roman" w:hAnsi="Times New Roman"/>
            </w:rPr>
          </w:pPr>
          <w:r>
            <w:rPr>
              <w:rFonts w:ascii="Times New Roman" w:hAnsi="Times New Roman"/>
              <w:sz w:val="20"/>
            </w:rPr>
            <w:t>Lietuvos Respublikos finansų įstaigų įstatymo 4, 33 straipsnių ir dvyliktojo skirsnio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7869A63351">
            <w:r w:rsidRPr="00532B9F">
              <w:rPr>
                <w:rFonts w:ascii="Times New Roman" w:eastAsia="MS Mincho" w:hAnsi="Times New Roman"/>
                <w:sz w:val="20"/>
                <w:iCs/>
                <w:color w:val="0000FF" w:themeColor="hyperlink"/>
                <w:u w:val="single"/>
              </w:rPr>
              <w:t>XI-1872</w:t>
            </w:r>
          </w:fldSimple>
          <w:r>
            <w:rPr>
              <w:rFonts w:ascii="Times New Roman" w:eastAsia="MS Mincho" w:hAnsi="Times New Roman"/>
              <w:sz w:val="20"/>
              <w:iCs/>
            </w:rPr>
            <w:t>,
2011-12-22,
Žin., 2011, Nr.
163-7763 (2011-12-31), i. k. 1111010ISTA0XI-1872                </w:t>
          </w:r>
        </w:p>
        <w:p>
          <w:pPr>
            <w:jc w:val="both"/>
            <w:rPr>
              <w:rFonts w:ascii="Times New Roman" w:hAnsi="Times New Roman"/>
            </w:rPr>
          </w:pPr>
          <w:r>
            <w:rPr>
              <w:rFonts w:ascii="Times New Roman" w:hAnsi="Times New Roman"/>
              <w:sz w:val="20"/>
            </w:rPr>
            <w:t>Lietuvos Respublikos finansų įstaigų įstatymo 2, 3 ir 4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50375D8DEDC">
            <w:r w:rsidRPr="00532B9F">
              <w:rPr>
                <w:rFonts w:ascii="Times New Roman" w:eastAsia="MS Mincho" w:hAnsi="Times New Roman"/>
                <w:sz w:val="20"/>
                <w:iCs/>
                <w:color w:val="0000FF" w:themeColor="hyperlink"/>
                <w:u w:val="single"/>
              </w:rPr>
              <w:t>XII-377</w:t>
            </w:r>
          </w:fldSimple>
          <w:r>
            <w:rPr>
              <w:rFonts w:ascii="Times New Roman" w:eastAsia="MS Mincho" w:hAnsi="Times New Roman"/>
              <w:sz w:val="20"/>
              <w:iCs/>
            </w:rPr>
            <w:t>,
2013-06-18,
Žin., 2013, Nr.
68-3411 (2013-06-28), i. k. 1131010ISTA0XII-377                </w:t>
          </w:r>
        </w:p>
        <w:p>
          <w:pPr>
            <w:jc w:val="both"/>
            <w:rPr>
              <w:rFonts w:ascii="Times New Roman" w:hAnsi="Times New Roman"/>
            </w:rPr>
          </w:pPr>
          <w:r>
            <w:rPr>
              <w:rFonts w:ascii="Times New Roman" w:hAnsi="Times New Roman"/>
              <w:sz w:val="20"/>
            </w:rPr>
            <w:t>Lietuvos Respublikos finansų įstaigų įstatymo 4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b478c0f55811e39cfacd978b6fd9bb">
            <w:r w:rsidRPr="00532B9F">
              <w:rPr>
                <w:rFonts w:ascii="Times New Roman" w:eastAsia="MS Mincho" w:hAnsi="Times New Roman"/>
                <w:sz w:val="20"/>
                <w:iCs/>
                <w:color w:val="0000FF" w:themeColor="hyperlink"/>
                <w:u w:val="single"/>
              </w:rPr>
              <w:t>XII-913</w:t>
            </w:r>
          </w:fldSimple>
          <w:r>
            <w:rPr>
              <w:rFonts w:ascii="Times New Roman" w:eastAsia="MS Mincho" w:hAnsi="Times New Roman"/>
              <w:sz w:val="20"/>
              <w:iCs/>
            </w:rPr>
            <w:t>,
2014-06-05,
paskelbta TAR 2014-06-16, i. k. 2014-07640                </w:t>
          </w:r>
        </w:p>
        <w:p>
          <w:pPr>
            <w:jc w:val="both"/>
            <w:rPr>
              <w:rFonts w:ascii="Times New Roman" w:hAnsi="Times New Roman"/>
            </w:rPr>
          </w:pPr>
          <w:r>
            <w:rPr>
              <w:rFonts w:ascii="Times New Roman" w:hAnsi="Times New Roman"/>
              <w:sz w:val="20"/>
            </w:rPr>
            <w:t>Lietuvos Respublikos finansų įstaigų įstatymo Nr. IX-1068 papildymo 28-1 straipsniu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8dabd01b9f11e4b542dec0b12e28b0">
            <w:r w:rsidRPr="00532B9F">
              <w:rPr>
                <w:rFonts w:ascii="Times New Roman" w:eastAsia="MS Mincho" w:hAnsi="Times New Roman"/>
                <w:sz w:val="20"/>
                <w:iCs/>
                <w:color w:val="0000FF" w:themeColor="hyperlink"/>
                <w:u w:val="single"/>
              </w:rPr>
              <w:t>XII-1044</w:t>
            </w:r>
          </w:fldSimple>
          <w:r>
            <w:rPr>
              <w:rFonts w:ascii="Times New Roman" w:eastAsia="MS Mincho" w:hAnsi="Times New Roman"/>
              <w:sz w:val="20"/>
              <w:iCs/>
            </w:rPr>
            <w:t>,
2014-07-17,
paskelbta TAR 2014-08-04, i. k. 2014-10855                </w:t>
          </w:r>
        </w:p>
        <w:p>
          <w:pPr>
            <w:jc w:val="both"/>
            <w:rPr>
              <w:rFonts w:ascii="Times New Roman" w:hAnsi="Times New Roman"/>
            </w:rPr>
          </w:pPr>
          <w:r>
            <w:rPr>
              <w:rFonts w:ascii="Times New Roman" w:hAnsi="Times New Roman"/>
              <w:sz w:val="20"/>
            </w:rPr>
            <w:t>Lietuvos Respublikos finansų įstaigų įstatymo Nr. IX-1068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7be29090ba11e4bb408baba2bdddf3">
            <w:r w:rsidRPr="00532B9F">
              <w:rPr>
                <w:rFonts w:ascii="Times New Roman" w:eastAsia="MS Mincho" w:hAnsi="Times New Roman"/>
                <w:sz w:val="20"/>
                <w:iCs/>
                <w:color w:val="0000FF" w:themeColor="hyperlink"/>
                <w:u w:val="single"/>
              </w:rPr>
              <w:t>XII-1478</w:t>
            </w:r>
          </w:fldSimple>
          <w:r>
            <w:rPr>
              <w:rFonts w:ascii="Times New Roman" w:eastAsia="MS Mincho" w:hAnsi="Times New Roman"/>
              <w:sz w:val="20"/>
              <w:iCs/>
            </w:rPr>
            <w:t>,
2014-12-18,
paskelbta TAR 2014-12-31, i. k. 2014-21167                </w:t>
          </w:r>
        </w:p>
        <w:p>
          <w:pPr>
            <w:jc w:val="both"/>
            <w:rPr>
              <w:rFonts w:ascii="Times New Roman" w:hAnsi="Times New Roman"/>
            </w:rPr>
          </w:pPr>
          <w:r>
            <w:rPr>
              <w:rFonts w:ascii="Times New Roman" w:hAnsi="Times New Roman"/>
              <w:sz w:val="20"/>
            </w:rPr>
            <w:t>Lietuvos Respublikos finansų įstaigų įstatymo Nr. IX-1068 2, 38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963190d7a111e4894f9bde45468d3f">
            <w:r w:rsidRPr="00532B9F">
              <w:rPr>
                <w:rFonts w:ascii="Times New Roman" w:eastAsia="MS Mincho" w:hAnsi="Times New Roman"/>
                <w:sz w:val="20"/>
                <w:iCs/>
                <w:color w:val="0000FF" w:themeColor="hyperlink"/>
                <w:u w:val="single"/>
              </w:rPr>
              <w:t>XII-1549</w:t>
            </w:r>
          </w:fldSimple>
          <w:r>
            <w:rPr>
              <w:rFonts w:ascii="Times New Roman" w:eastAsia="MS Mincho" w:hAnsi="Times New Roman"/>
              <w:sz w:val="20"/>
              <w:iCs/>
            </w:rPr>
            <w:t>,
2015-03-19,
paskelbta TAR 2015-03-31, i. k. 2015-04829                </w:t>
          </w:r>
        </w:p>
        <w:p>
          <w:pPr>
            <w:jc w:val="both"/>
            <w:rPr>
              <w:rFonts w:ascii="Times New Roman" w:hAnsi="Times New Roman"/>
            </w:rPr>
          </w:pPr>
          <w:r>
            <w:rPr>
              <w:rFonts w:ascii="Times New Roman" w:hAnsi="Times New Roman"/>
              <w:sz w:val="20"/>
            </w:rPr>
            <w:t>Lietuvos Respublikos finansų įstaigų įstatymo Nr. IX-1068 2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699c80fed511e488da8908dfa91cac">
            <w:r w:rsidRPr="00532B9F">
              <w:rPr>
                <w:rFonts w:ascii="Times New Roman" w:eastAsia="MS Mincho" w:hAnsi="Times New Roman"/>
                <w:sz w:val="20"/>
                <w:iCs/>
                <w:color w:val="0000FF" w:themeColor="hyperlink"/>
                <w:u w:val="single"/>
              </w:rPr>
              <w:t>XII-1694</w:t>
            </w:r>
          </w:fldSimple>
          <w:r>
            <w:rPr>
              <w:rFonts w:ascii="Times New Roman" w:eastAsia="MS Mincho" w:hAnsi="Times New Roman"/>
              <w:sz w:val="20"/>
              <w:iCs/>
            </w:rPr>
            <w:t>,
2015-05-14,
paskelbta TAR 2015-05-20, i. k. 2015-07670                </w:t>
          </w:r>
        </w:p>
        <w:p>
          <w:pPr>
            <w:jc w:val="both"/>
            <w:rPr>
              <w:rFonts w:ascii="Times New Roman" w:hAnsi="Times New Roman"/>
            </w:rPr>
          </w:pPr>
          <w:r>
            <w:rPr>
              <w:rFonts w:ascii="Times New Roman" w:hAnsi="Times New Roman"/>
              <w:sz w:val="20"/>
            </w:rPr>
            <w:t>Lietuvos Respublikos finansų įstaigų įstatymo Nr. IX-1068 4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afd9f098f211e58fd1fc0b9bba68a7">
            <w:r w:rsidRPr="00532B9F">
              <w:rPr>
                <w:rFonts w:ascii="Times New Roman" w:eastAsia="MS Mincho" w:hAnsi="Times New Roman"/>
                <w:sz w:val="20"/>
                <w:iCs/>
                <w:color w:val="0000FF" w:themeColor="hyperlink"/>
                <w:u w:val="single"/>
              </w:rPr>
              <w:t>XII-2059</w:t>
            </w:r>
          </w:fldSimple>
          <w:r>
            <w:rPr>
              <w:rFonts w:ascii="Times New Roman" w:eastAsia="MS Mincho" w:hAnsi="Times New Roman"/>
              <w:sz w:val="20"/>
              <w:iCs/>
            </w:rPr>
            <w:t>,
2015-11-24,
paskelbta TAR 2015-12-02, i. k. 2015-19170                </w:t>
          </w:r>
        </w:p>
        <w:p>
          <w:pPr>
            <w:jc w:val="both"/>
            <w:rPr>
              <w:rFonts w:ascii="Times New Roman" w:hAnsi="Times New Roman"/>
            </w:rPr>
          </w:pPr>
          <w:r>
            <w:rPr>
              <w:rFonts w:ascii="Times New Roman" w:hAnsi="Times New Roman"/>
              <w:sz w:val="20"/>
            </w:rPr>
            <w:t>Lietuvos Respublikos finansų įstaigų įstatymo Nr. IX-1068 57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133f80ab3c11e6a6f98c1425a5ffa8">
            <w:r w:rsidRPr="00532B9F">
              <w:rPr>
                <w:rFonts w:ascii="Times New Roman" w:eastAsia="MS Mincho" w:hAnsi="Times New Roman"/>
                <w:sz w:val="20"/>
                <w:iCs/>
                <w:color w:val="0000FF" w:themeColor="hyperlink"/>
                <w:u w:val="single"/>
              </w:rPr>
              <w:t>XII-2691</w:t>
            </w:r>
          </w:fldSimple>
          <w:r>
            <w:rPr>
              <w:rFonts w:ascii="Times New Roman" w:eastAsia="MS Mincho" w:hAnsi="Times New Roman"/>
              <w:sz w:val="20"/>
              <w:iCs/>
            </w:rPr>
            <w:t>,
2016-11-03,
paskelbta TAR 2016-11-15, i. k. 2016-26829                </w:t>
          </w:r>
        </w:p>
        <w:p>
          <w:pPr>
            <w:jc w:val="both"/>
            <w:rPr>
              <w:rFonts w:ascii="Times New Roman" w:hAnsi="Times New Roman"/>
            </w:rPr>
          </w:pPr>
          <w:r>
            <w:rPr>
              <w:rFonts w:ascii="Times New Roman" w:hAnsi="Times New Roman"/>
              <w:sz w:val="20"/>
            </w:rPr>
            <w:t>Lietuvos Respublikos finansų įstaigų įstatymo Nr. IX-1068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88100c8df11e69dec860c1f4a5372">
            <w:r w:rsidRPr="00532B9F">
              <w:rPr>
                <w:rFonts w:ascii="Times New Roman" w:eastAsia="MS Mincho" w:hAnsi="Times New Roman"/>
                <w:sz w:val="20"/>
                <w:iCs/>
                <w:color w:val="0000FF" w:themeColor="hyperlink"/>
                <w:u w:val="single"/>
              </w:rPr>
              <w:t>XIII-99</w:t>
            </w:r>
          </w:fldSimple>
          <w:r>
            <w:rPr>
              <w:rFonts w:ascii="Times New Roman" w:eastAsia="MS Mincho" w:hAnsi="Times New Roman"/>
              <w:sz w:val="20"/>
              <w:iCs/>
            </w:rPr>
            <w:t>,
2016-12-15,
paskelbta TAR 2016-12-23, i. k. 2016-29411                </w:t>
          </w:r>
        </w:p>
        <w:p>
          <w:pPr>
            <w:jc w:val="both"/>
            <w:rPr>
              <w:rFonts w:ascii="Times New Roman" w:hAnsi="Times New Roman"/>
            </w:rPr>
          </w:pPr>
          <w:r>
            <w:rPr>
              <w:rFonts w:ascii="Times New Roman" w:hAnsi="Times New Roman"/>
              <w:sz w:val="20"/>
            </w:rPr>
            <w:t>Lietuvos Respublikos finansų įstaigų įstatymo Nr. IX-1068 4, 45, 46 straipsnių pakeitimo ir 47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193f0ac9611e6b844f0f29024f5ac">
            <w:r w:rsidRPr="00532B9F">
              <w:rPr>
                <w:rFonts w:ascii="Times New Roman" w:eastAsia="MS Mincho" w:hAnsi="Times New Roman"/>
                <w:sz w:val="20"/>
                <w:iCs/>
                <w:color w:val="0000FF" w:themeColor="hyperlink"/>
                <w:u w:val="single"/>
              </w:rPr>
              <w:t>XII-2772</w:t>
            </w:r>
          </w:fldSimple>
          <w:r>
            <w:rPr>
              <w:rFonts w:ascii="Times New Roman" w:eastAsia="MS Mincho" w:hAnsi="Times New Roman"/>
              <w:sz w:val="20"/>
              <w:iCs/>
            </w:rPr>
            <w:t>,
2016-11-10,
paskelbta TAR 2016-11-17, i. k. 2016-26973                </w:t>
          </w:r>
        </w:p>
        <w:p>
          <w:pPr>
            <w:jc w:val="both"/>
            <w:rPr>
              <w:rFonts w:ascii="Times New Roman" w:hAnsi="Times New Roman"/>
            </w:rPr>
          </w:pPr>
          <w:r>
            <w:rPr>
              <w:rFonts w:ascii="Times New Roman" w:hAnsi="Times New Roman"/>
              <w:sz w:val="20"/>
            </w:rPr>
            <w:t>Lietuvos Respublikos finansų įstaigų įstatymo Nr. IX-1068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8c38049e411e8ade598b2394a491d">
            <w:r w:rsidRPr="00532B9F">
              <w:rPr>
                <w:rFonts w:ascii="Times New Roman" w:eastAsia="MS Mincho" w:hAnsi="Times New Roman"/>
                <w:sz w:val="20"/>
                <w:iCs/>
                <w:color w:val="0000FF" w:themeColor="hyperlink"/>
                <w:u w:val="single"/>
              </w:rPr>
              <w:t>XIII-1097</w:t>
            </w:r>
          </w:fldSimple>
          <w:r>
            <w:rPr>
              <w:rFonts w:ascii="Times New Roman" w:eastAsia="MS Mincho" w:hAnsi="Times New Roman"/>
              <w:sz w:val="20"/>
              <w:iCs/>
            </w:rPr>
            <w:t>,
2018-04-17,
paskelbta TAR 2018-04-27, i. k. 2018-06736                </w:t>
          </w:r>
        </w:p>
        <w:p>
          <w:pPr>
            <w:jc w:val="both"/>
            <w:rPr>
              <w:rFonts w:ascii="Times New Roman" w:hAnsi="Times New Roman"/>
            </w:rPr>
          </w:pPr>
          <w:r>
            <w:rPr>
              <w:rFonts w:ascii="Times New Roman" w:hAnsi="Times New Roman"/>
              <w:sz w:val="20"/>
            </w:rPr>
            <w:t>Lietuvos Respublikos finansų įstaigų įstatymo Nr. IX-1068 2, 18, 44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528FEA0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79.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7.wmf"/>
  <Relationship Id="rId16" Type="http://schemas.openxmlformats.org/officeDocument/2006/relationships/control" Target="activeX/activeX27.xml"/>
  <Relationship Id="rId17" Type="http://schemas.openxmlformats.org/officeDocument/2006/relationships/customXml" Target="../customXml/item1.xml"/>
  <Relationship Id="rId2" Type="http://schemas.openxmlformats.org/officeDocument/2006/relationships/header" Target="header80.xml"/>
  <Relationship Id="rId3" Type="http://schemas.openxmlformats.org/officeDocument/2006/relationships/footer" Target="footer79.xml"/>
  <Relationship Id="rId4" Type="http://schemas.openxmlformats.org/officeDocument/2006/relationships/footer" Target="footer80.xml"/>
  <Relationship Id="rId5" Type="http://schemas.openxmlformats.org/officeDocument/2006/relationships/header" Target="header81.xml"/>
  <Relationship Id="rId6" Type="http://schemas.openxmlformats.org/officeDocument/2006/relationships/footer" Target="footer8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e8562276bc66481eb6e1638e1cc6c54d">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bf56dc26ce4d49f69b79bb10f7a26eba"/>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cd6f5aeb40b743fcbf792b4c29310023"/>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f4dcb8c063e34d9a9a6ce36730b81cda"/>
          <Part Type="strPunktas" Nr="4" Abbr="4 p." DocPartId="22a0c9175f4a4186b359c0aa9ea963ad" PartId="9b234fa4864c44ff903556ec0d8ad957"/>
          <Part Type="strPunktas" Nr="5" Abbr="5 p." DocPartId="15827a9e1c174d109c62d0cbccc2a523" PartId="87992f73dfd448c28b3f65b81bda350a"/>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8830e0c1416140d988dc61232028c935"/>
        <Part Type="strDalis" Nr="25" Abbr="2 str. 25 d." DocPartId="9e385142735141a2bb876eb6de10be30" PartId="cd090a4d86c04522a364a68bd3822f05"/>
        <Part Type="strDalis" Nr="26" Abbr="2 str. 26 d." DocPartId="dcedcb6fd4eb460a8999a807cc1a71bc" PartId="f65023a4fc6246ab84a13899f1255a2a"/>
        <Part Type="strDalis" Nr="27" Abbr="2 str. 27 d." DocPartId="eb33223f3dd34d8abe12902089c1bb9b" PartId="b842e8a870e34744bfbe2036ab13f63e"/>
        <Part Type="strDalis" Nr="28" Abbr="2 str. 28 d." DocPartId="56fc57ae4cd142f8a2a089ba9a7f123c" PartId="ddfd9833ee5344ed80153dc42927a322"/>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0a08d45854fe4e73b220ca403538e476"/>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7bf02d5841f94e03b5afdde77d5bf177"/>
          <Part Type="strPunktas" Nr="19" Abbr="3 str. 1 d. 19 p." DocPartId="664ee4ccbc8b4e61a2983c7f334efa0a" PartId="48f0ef0bc00f413c8640c2c9e5599b0d"/>
          <Part Type="strPunktas" Nr="20" Abbr="20 p." DocPartId="90777c13e3a342c0b924c80a0015af3b" PartId="9a76b28c2ee9478e97cc381bc53529d1"/>
          <Part Type="strPunktas" Nr="21" Abbr="21 p." DocPartId="7e9f357ba91147709263ca2aa3ecce10" PartId="02f425e4cde5437bbcb86a87ff88b4c5"/>
          <Part Type="strPunktas" Nr="22" Abbr="22 p." DocPartId="7d8b2ce1739249d5bb84732262edb51c" PartId="f7beed878fc248718d0aa6123ea082d3"/>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361f2de5568e40d0a5ca8d91c853ce8c"/>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6da8555388b1403a8b9befc2966fe6b2"/>
        <Part Type="strDalis" Nr="3" Abbr="4 str. 3 d." DocPartId="a930b4831b1b457989d6a8e60add0435" PartId="cae9f6b4df65495aa5e8301d6223f0fd"/>
        <Part Type="strDalis" Nr="4" Abbr="4 str. 4 d." DocPartId="5e4129436cd7400bb10b3f1e5214aa4c" PartId="8ed6e00e0abf4111847e12bf2c114499"/>
        <Part Type="strDalis" Nr="5" Abbr="5 d." DocPartId="64e5bc5eaee14083afccb4d1132ae18d" PartId="fcc167b36f88435fa9df3f377025a18e"/>
        <Part Type="strDalis" Nr="6" Abbr="4 str. 6 d." DocPartId="6324c4ee0fb646f5b1cffcca6c7a2db7" PartId="a7a1b78c71824c7da320474eb9b2a903"/>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eb3bab7402314403b3815f1cefc48ddf"/>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f5e002c4eb5447f7ba65ef27d580e947"/>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ių organų posėdžiai" DocPartId="6a73efb29e4c4beeba655b5a34799b6b" PartId="585cd07b4cc5402eb2aecbd28c2a117f">
        <Part Type="strDalis" Nr="1" Abbr="18 str. 1 d." DocPartId="ea83bc518af04cebb33451dc87a949b0" PartId="c83b70a7bf2c4a328f70bf42b55e9123"/>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101a0995a86c4a5ca9f7e72bf7ebfb99"/>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8-1" Abbr="28-1 str." Title="Finansinės pagalbos teikimas finansų įstaigos akcijoms įsigyti" DocPartId="72683f6135c443129eb99333a0196860" PartId="34137a9728a6456aa744d1bcced77997">
        <Part Type="strDalis" Nr="1" Abbr="28-1 str. 1 d." DocPartId="656cde193a81425ca95586d75a01f8bd" PartId="876ec61c63784990afef764087bf52e9">
          <Part Type="strPunktas" Nr="1" Abbr="28-1 str. 1 d. 1 p." DocPartId="3a718ff0b7874d5897ec3248551f1dce" PartId="76de8b0536064032bc01d44c25e1db72"/>
          <Part Type="strPunktas" Nr="2" Abbr="28-1 str. 1 d. 2 p." DocPartId="3125fbbd889d4f45a380576cd1efbf3d" PartId="aa0c0e6c66e54a29b8fc7b8f81f7cab9"/>
        </Part>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c0295dccd7a64f929910173668cf9adf"/>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c8a23be8c59047b0af7da4aabd2b36b9"/>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b53d9ce7381f46518a17245d3b5167ae"/>
      </Part>
      <Part Type="straipsnis" Nr="45" Abbr="45 str." Title="Reikalavimai auditoriui ir audito įmonei, jų atsakomybė" DocPartId="2c29e248bef94a7b8afd1b5319b7b5ba" PartId="de89c709137f4d7fa4009e32c12158b7">
        <Part Type="strDalis" Nr="1" Abbr="45 str. 1 d." DocPartId="7a866919af17445795811165cfb4d7c8" PartId="4aa4c13610e34ecba2dae890cfedea31"/>
      </Part>
      <Part Type="straipsnis" Nr="46" Abbr="46 str." Title="Auditoriaus ir audito įmonės pareigos" DocPartId="88b9779d0f874494a5aa8e536e9d707a" PartId="e9c0daae9ac5492aa82e508dc624c402">
        <Part Type="strDalis" Nr="1" Abbr="1 d." DocPartId="dfbb684c6b034b7d8b11a6424623e658" PartId="911b08d124924bc18523b25c8cf8a0d1"/>
        <Part Type="strDalis" Nr="2" Abbr="46 str. 2 d." DocPartId="1cf7155327e245d88f11a836a142e440" PartId="70e068e2e3ce4aa6bee96cc453957279"/>
        <Part Type="strDalis" Nr="3" Abbr="46 str. 3 d." DocPartId="fb61f4d2f28447d09c168b10fb39f544" PartId="f7dc4f7be47749f8af8979f4cbd55cf6">
          <Part Type="strPunktas" Nr="1" Abbr="46 str. 3 d. 1 p." DocPartId="4851824afacb43c68e59d6fcfa85640a" PartId="d3a955bbf9fb4bc88ceb950329e4d29e"/>
          <Part Type="strPunktas" Nr="2" Abbr="46 str. 3 d. 2 p." DocPartId="120ba0ac24ee42248d2ae2302c778c13" PartId="f354f0e6263f4b92a84d7b7c35a4f467"/>
          <Part Type="strPunktas" Nr="3" Abbr="46 str. 3 d. 3 p." DocPartId="b3e9ad9ba2f44c18b3d6e27974f42e89" PartId="726512be9e2844389e95279a6dcf5316"/>
          <Part Type="strPunktas" Nr="4" Abbr="46 str. 3 d. 4 p." DocPartId="e458cb24e39945c2aa4df37d4a83d491" PartId="b954b364f488432d92e0c66c778c94a1"/>
          <Part Type="strPunktas" Nr="5" Abbr="46 str. 3 d. 5 p." DocPartId="fe56bf97e8604502a1ceb6f2dd16cf8a" PartId="dbb9b4fd01bc43beb531bde0470a32bd"/>
          <Part Type="strPunktas" Nr="6" Abbr="46 str. 3 d. 6 p." DocPartId="390c274041fa4cac84ecf0489bce4be3" PartId="62798fb4a37a44ffaa5ae5cb3a519935"/>
          <Part Type="strPunktas" Nr="7" Abbr="46 str. 3 d. 7 p." DocPartId="c95fea7af79244e7a6cfa98d57809a78" PartId="9ef4e722f9974b35a01b70419f331eba"/>
        </Part>
        <Part Type="strDalis" Nr="4" Abbr="46 str. 4 d." DocPartId="e35194a119d14ba6958580a16ce8ce61" PartId="b6db73740654418599381e08f556fef7"/>
        <Part Type="strDalis" Nr="5" Abbr="46 str. 5 d." DocPartId="9dc6ecc143014f5dad1c010a32792047" PartId="0dc65cf7f50b4af19c5f936ec384b866"/>
        <Part Type="strDalis" Nr="6" Abbr="46 str. 6 d." DocPartId="de1b329e25a647a28ca28db9dffe7c1c" PartId="927ac70869054192aec7c2ea0c021acb"/>
      </Part>
      <Part Type="straipsnis" Nr="47" Abbr="47 str." Title="Audito įmonės ir auditoriaus atsakomybė" DocPartId="ce5620e216d64123a1a11b78c1f15fa7" PartId="f194aef5358042fca571e630d4ac78d8"/>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498b279230184acc95d41a3e4d1d9c1a"/>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870339b23f4342cb8167c37373b1e56c"/>
        <Part Type="strDalis" Nr="4" Abbr="57 str. 4 d." DocPartId="afc85027278d4bf9a3d6e635d2250400" PartId="168fe6e4dad74a43aa202bd3a4e8878b"/>
        <Part Type="strDalis" Nr="5" Abbr="57 str. 5 d." DocPartId="b4cc30ca006646658d3b916a3a2cd4dd" PartId="b9eb3b9ecedf4ea0866849e7b12e36d4"/>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f61082b8f82542118e4d03f4fc222652"/>
  </Part>
  <Part Type="priedas" Abbr="pr." Title="ĮGYVENDINAMI EUROPOS SĄJUNGOS TEISĖS AKTAI" DocPartId="389da0df08c5414a96db08fd558b6221" PartId="9eafb103cd0f444880a07778d9d85f5c">
    <Part Type="punktas" Nr="1" Abbr="pr. 1 p." DocPartId="1ce2fedee03a4742a9c5f21d198b4853" PartId="a9428d902b394feb8dc5924b9963d8ef"/>
    <Part Type="punktas" Nr="2" Abbr="pr. 2 p." DocPartId="38d814dfc3b4409887a859674cc3bb6d" PartId="2ef308aaef794a08a2407c3973c99277"/>
    <Part Type="punktas" Nr="3" Abbr="pr. 3 p." DocPartId="baaa2e6d30a14389ba67acc1be3bda48" PartId="1ecf79f83c1340baa588adf756f0288a"/>
  </Part>
</Parts>
</file>

<file path=customXml/itemProps1.xml><?xml version="1.0" encoding="utf-8"?>
<ds:datastoreItem xmlns:ds="http://schemas.openxmlformats.org/officeDocument/2006/customXml" ds:itemID="{A8A73FBB-BD88-48E1-A717-554B1AB3F9AE}">
  <ds:schemaRefs>
    <ds:schemaRef ds:uri="http://lrs.lt/TAIS/DocParts"/>
  </ds:schemaRefs>
</ds:datastoreItem>
</file>

<file path=docProps/app.xml><?xml version="1.0" encoding="utf-8"?>
<Properties xmlns="http://schemas.openxmlformats.org/officeDocument/2006/extended-properties">
  <Template>Normal.dotm</Template>
  <TotalTime>40</TotalTime>
  <Pages>24</Pages>
  <Words>56807</Words>
  <Characters>32381</Characters>
  <Application>Microsoft Office Word</Application>
  <DocSecurity>0</DocSecurity>
  <Lines>269</Lines>
  <Paragraphs>178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89010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2018-04-30T11:36:00Z</dcterms:modified>
  <revision>59</revision>
</coreProperties>
</file>