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1cf3462a9844d88abef12463fd7065e"/>
        <w:lock w:val="sdtLocked"/>
        <w:richText/>
      </w:sdtPr>
      <w:sdtContent>
        <w:p>
          <w:pPr>
            <w:jc w:val="both"/>
            <w:rPr>
              <w:rFonts w:ascii="Times New Roman" w:hAnsi="Times New Roman"/>
            </w:rPr>
          </w:pPr>
          <w:r>
            <w:rPr>
              <w:rFonts w:ascii="Times New Roman" w:hAnsi="Times New Roman"/>
              <w:b/>
              <w:i/>
            </w:rPr>
            <w:t>Suvestinė redakcija nuo 2016-12-01 iki 2017-02-28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bf56dc26ce4d49f69b79bb10f7a26eba"/>
                    <w:lock w:val="sdtLocked"/>
                    <w:richText/>
                  </w:sdtPr>
                  <w:sdtContent>
                    <w:p>
                      <w:pPr>
                        <w:widowControl w:val="0"/>
                        <w:suppressAutoHyphens/>
                        <w:ind w:firstLine="708"/>
                        <w:jc w:val="both"/>
                        <w:rPr>
                          <w:color w:val="000000"/>
                        </w:rPr>
                      </w:pPr>
                      <w:sdt>
                        <w:sdtPr>
                          <w:alias w:val="Numeris"/>
                          <w:tag w:val="nr_bf56dc26ce4d49f69b79bb10f7a26eba"/>
                          <w:lock w:val="sdtLocked"/>
                          <w:richText/>
                        </w:sdtPr>
                        <w:sdtContent>
                          <w:r>
                            <w:rPr>
                              <w:color w:val="000000"/>
                            </w:rPr>
                            <w:t>7</w:t>
                          </w:r>
                        </w:sdtContent>
                      </w:sdt>
                      <w:r>
                        <w:rPr>
                          <w:color w:val="000000"/>
                        </w:rPr>
                        <w:t xml:space="preserve">. </w:t>
                      </w:r>
                      <w:r>
                        <w:rPr>
                          <w:b/>
                          <w:bCs/>
                          <w:color w:val="000000"/>
                        </w:rPr>
                        <w:t xml:space="preserve">Finansų įmonė </w:t>
                      </w:r>
                      <w:r>
                        <w:rPr>
                          <w:color w:val="000000"/>
                        </w:rPr>
                        <w:t>– Lietuvos Respublikos įmonė arba užsienio valstybės įmonės padalinys, kurie veikia Lietuvos Respublikoje įstatymų, reglamentuojančių finansinių paslaugų teikimą ir finansų įstaigų veiklą, nustatyta tvarka ir kurių pagrindinę veiklos dalį sudaro vienos arba daugiau šio Įstatymo 3 straipsnio 1 dalyje, išskyrus 1 punktą, nurodytų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cd6f5aeb40b743fcbf792b4c29310023"/>
                    <w:lock w:val="sdtLocked"/>
                    <w:richText/>
                  </w:sdtPr>
                  <w:sdtContent>
                    <w:p>
                      <w:pPr>
                        <w:ind w:firstLine="720"/>
                        <w:jc w:val="both"/>
                        <w:rPr>
                          <w:color w:val="000000"/>
                        </w:rPr>
                      </w:pPr>
                      <w:sdt>
                        <w:sdtPr>
                          <w:alias w:val="Numeris"/>
                          <w:tag w:val="nr_cd6f5aeb40b743fcbf792b4c29310023"/>
                          <w:lock w:val="sdtLocked"/>
                          <w:richText/>
                        </w:sdtPr>
                        <w:sdtContent>
                          <w:r>
                            <w:rPr>
                              <w:szCs w:val="24"/>
                            </w:rPr>
                            <w:t>10</w:t>
                          </w:r>
                        </w:sdtContent>
                      </w:sdt>
                      <w:r>
                        <w:rPr>
                          <w:szCs w:val="24"/>
                        </w:rPr>
                        <w:t xml:space="preserve">. </w:t>
                      </w:r>
                      <w:r>
                        <w:rPr>
                          <w:b/>
                          <w:szCs w:val="24"/>
                        </w:rPr>
                        <w:t>Finansų kontroliuojančioji bendrovė</w:t>
                      </w:r>
                      <w:r>
                        <w:rPr>
                          <w:szCs w:val="24"/>
                        </w:rPr>
                        <w:t xml:space="preserve"> – kaip apibrėžta 2013 m. birželio 26 d. Europos Parlamento ir Tarybos reglamento (ES) Nr. 575/2013 dėl prudencinių reikalavimų kredito įstaigoms ir investicinėms įmonėms ir kuriuo iš dalies keičiamas Reglamentas (ES) Nr. 648/2012 (OL 2013 L 176, p. 1) (toliau – Reglamentas (ES) Nr. 575/2013)  4 straipsnio 1 dalies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f4dcb8c063e34d9a9a6ce36730b81cda"/>
                        <w:lock w:val="sdtLocked"/>
                        <w:richText/>
                      </w:sdtPr>
                      <w:sdtContent>
                        <w:p>
                          <w:pPr>
                            <w:widowControl w:val="0"/>
                            <w:suppressAutoHyphens/>
                            <w:ind w:firstLine="708"/>
                            <w:jc w:val="both"/>
                          </w:pPr>
                          <w:sdt>
                            <w:sdtPr>
                              <w:alias w:val="Numeris"/>
                              <w:tag w:val="nr_f4dcb8c063e34d9a9a6ce36730b81cda"/>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sdt>
                      <w:sdtPr>
                        <w:alias w:val="4 p."/>
                        <w:tag w:val="part_9b234fa4864c44ff903556ec0d8ad957"/>
                        <w:lock w:val="sdtLocked"/>
                        <w:richText/>
                      </w:sdtPr>
                      <w:sdtContent>
                        <w:p>
                          <w:pPr>
                            <w:ind w:firstLine="720"/>
                            <w:jc w:val="both"/>
                          </w:pPr>
                          <w:sdt>
                            <w:sdtPr>
                              <w:alias w:val="Numeris"/>
                              <w:tag w:val="nr_9b234fa4864c44ff903556ec0d8ad957"/>
                              <w:lock w:val="sdtLocked"/>
                              <w:richText/>
                            </w:sdtPr>
                            <w:sdtContent>
                              <w:r>
                                <w:rPr>
                                  <w:sz w:val="22"/>
                                  <w:szCs w:val="22"/>
                                </w:rPr>
                                <w:t>4</w:t>
                              </w:r>
                            </w:sdtContent>
                          </w:sdt>
                          <w:r>
                            <w:rPr>
                              <w:sz w:val="22"/>
                              <w:szCs w:val="22"/>
                            </w:rPr>
                            <w:t>) sutelktinio finansavimo sandorių sudarymas per sutelktinio finansavimo platformą, kaip tai apibrėžta Lietuvos Respublikos sutelktinio finansavimo įstatyme, jeigu projekto savininkas nesiverčia sandorių, turinčių galimos rizikos požymių, sudarymu;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5 p."/>
                        <w:tag w:val="part_87992f73dfd448c28b3f65b81bda350a"/>
                        <w:lock w:val="sdtLocked"/>
                        <w:richText/>
                      </w:sdtPr>
                      <w:sdtContent>
                        <w:p>
                          <w:pPr>
                            <w:ind w:firstLine="720"/>
                            <w:jc w:val="both"/>
                            <w:rPr>
                              <w:color w:val="000000"/>
                            </w:rPr>
                          </w:pPr>
                          <w:sdt>
                            <w:sdtPr>
                              <w:alias w:val="Numeris"/>
                              <w:tag w:val="nr_87992f73dfd448c28b3f65b81bda350a"/>
                              <w:lock w:val="sdtLocked"/>
                              <w:richText/>
                            </w:sdtPr>
                            <w:sdtContent>
                              <w:r>
                                <w:rPr>
                                  <w:sz w:val="22"/>
                                  <w:szCs w:val="22"/>
                                </w:rPr>
                                <w:t>5</w:t>
                              </w:r>
                            </w:sdtContent>
                          </w:sdt>
                          <w:r>
                            <w:rPr>
                              <w:sz w:val="22"/>
                              <w:szCs w:val="22"/>
                            </w:rPr>
                            <w:t>) viešas skolos vertybinių popierių leidimas, jeigu emitentas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f65023a4fc6246ab84a13899f1255a2a"/>
                    <w:lock w:val="sdtLocked"/>
                    <w:richText/>
                  </w:sdtPr>
                  <w:sdtContent>
                    <w:p>
                      <w:pPr>
                        <w:ind w:firstLine="708"/>
                        <w:jc w:val="both"/>
                        <w:rPr>
                          <w:color w:val="000000"/>
                        </w:rPr>
                      </w:pPr>
                      <w:sdt>
                        <w:sdtPr>
                          <w:alias w:val="Numeris"/>
                          <w:tag w:val="nr_f65023a4fc6246ab84a13899f1255a2a"/>
                          <w:lock w:val="sdtLocked"/>
                          <w:richText/>
                        </w:sdtPr>
                        <w:sdtContent>
                          <w:r>
                            <w:rPr>
                              <w:color w:val="000000"/>
                            </w:rPr>
                            <w:t>26</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2d159c00c8274f26bfa0a69ae66d477a"/>
                    <w:lock w:val="sdtLocked"/>
                    <w:richText/>
                  </w:sdtPr>
                  <w:sdtContent>
                    <w:p>
                      <w:pPr>
                        <w:ind w:firstLine="708"/>
                        <w:jc w:val="both"/>
                        <w:rPr>
                          <w:color w:val="000000"/>
                        </w:rPr>
                      </w:pPr>
                      <w:sdt>
                        <w:sdtPr>
                          <w:alias w:val="Numeris"/>
                          <w:tag w:val="nr_2d159c00c8274f26bfa0a69ae66d477a"/>
                          <w:lock w:val="sdtLocked"/>
                          <w:richText/>
                        </w:sdtPr>
                        <w:sdtContent>
                          <w:r>
                            <w:rPr>
                              <w:color w:val="000000"/>
                            </w:rPr>
                            <w:t>43</w:t>
                          </w:r>
                        </w:sdtContent>
                      </w:sdt>
                      <w:r>
                        <w:rPr>
                          <w:color w:val="000000"/>
                        </w:rPr>
                        <w:t xml:space="preserve">. </w:t>
                      </w:r>
                      <w:r>
                        <w:rPr>
                          <w:b/>
                          <w:color w:val="000000"/>
                        </w:rPr>
                        <w:t>Vertimasis finansinių paslaugų teikimu</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3 d. 1 p."/>
                        <w:tag w:val="part_66b3f9f3cc6c4ae691a57d43def747f7"/>
                        <w:lock w:val="sdtLocked"/>
                        <w:richText/>
                      </w:sdtPr>
                      <w:sdtContent>
                        <w:p>
                          <w:pPr>
                            <w:ind w:firstLine="708"/>
                            <w:jc w:val="both"/>
                            <w:rPr>
                              <w:color w:val="000000"/>
                            </w:rPr>
                          </w:pPr>
                          <w:sdt>
                            <w:sdtPr>
                              <w:alias w:val="Numeris"/>
                              <w:tag w:val="nr_66b3f9f3cc6c4ae691a57d43def747f7"/>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3 d. 2 p."/>
                        <w:tag w:val="part_244e29f8bb2849bab551fa23c767b9a6"/>
                        <w:lock w:val="sdtLocked"/>
                        <w:richText/>
                      </w:sdtPr>
                      <w:sdtContent>
                        <w:p>
                          <w:pPr>
                            <w:ind w:firstLine="708"/>
                            <w:jc w:val="both"/>
                          </w:pPr>
                          <w:sdt>
                            <w:sdtPr>
                              <w:alias w:val="Numeris"/>
                              <w:tag w:val="nr_244e29f8bb2849bab551fa23c767b9a6"/>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9a76b28c2ee9478e97cc381bc53529d1"/>
                        <w:lock w:val="sdtLocked"/>
                        <w:richText/>
                      </w:sdtPr>
                      <w:sdtContent>
                        <w:p>
                          <w:pPr>
                            <w:ind w:firstLine="708"/>
                            <w:jc w:val="both"/>
                          </w:pPr>
                          <w:sdt>
                            <w:sdtPr>
                              <w:alias w:val="Numeris"/>
                              <w:tag w:val="nr_9a76b28c2ee9478e97cc381bc53529d1"/>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21 p."/>
                        <w:tag w:val="part_eabbeaf9642845c286d1cf0e976bc6c2"/>
                        <w:lock w:val="sdtLocked"/>
                        <w:richText/>
                      </w:sdtPr>
                      <w:sdtContent>
                        <w:p>
                          <w:pPr>
                            <w:ind w:firstLine="720"/>
                            <w:jc w:val="both"/>
                            <w:rPr>
                              <w:color w:val="000000"/>
                            </w:rPr>
                          </w:pPr>
                          <w:sdt>
                            <w:sdtPr>
                              <w:alias w:val="Numeris"/>
                              <w:tag w:val="nr_eabbeaf9642845c286d1cf0e976bc6c2"/>
                              <w:lock w:val="sdtLocked"/>
                              <w:richText/>
                            </w:sdtPr>
                            <w:sdtContent>
                              <w:r>
                                <w:rPr>
                                  <w:sz w:val="22"/>
                                  <w:szCs w:val="22"/>
                                </w:rPr>
                                <w:t>21</w:t>
                              </w:r>
                            </w:sdtContent>
                          </w:sdt>
                          <w:r>
                            <w:rPr>
                              <w:sz w:val="22"/>
                              <w:szCs w:val="22"/>
                            </w:rPr>
                            <w:t>) sutelktinio finansavimo platformos operatoriaus veikla</w:t>
                          </w:r>
                          <w:r>
                            <w:rPr>
                              <w:sz w:val="22"/>
                              <w:szCs w:val="22"/>
                              <w:lang w:eastAsia="lt-LT"/>
                            </w:rPr>
                            <w:t xml:space="preserve">, </w:t>
                          </w:r>
                          <w:r>
                            <w:rPr>
                              <w:color w:val="000000"/>
                              <w:sz w:val="22"/>
                              <w:szCs w:val="22"/>
                              <w:shd w:val="clear" w:color="auto" w:fill="FFFFFF"/>
                            </w:rPr>
                            <w:t>kaip tai apibrėžta Lietuvos Respublikos sutelktinio finansavimo įstatyme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361f2de5568e40d0a5ca8d91c853ce8c"/>
                    <w:lock w:val="sdtLocked"/>
                    <w:richText/>
                  </w:sdtPr>
                  <w:sdtContent>
                    <w:p>
                      <w:pPr>
                        <w:ind w:firstLine="720"/>
                        <w:jc w:val="both"/>
                        <w:rPr>
                          <w:color w:val="000000"/>
                        </w:rPr>
                      </w:pPr>
                      <w:sdt>
                        <w:sdtPr>
                          <w:alias w:val="Numeris"/>
                          <w:tag w:val="nr_361f2de5568e40d0a5ca8d91c853ce8c"/>
                          <w:lock w:val="sdtLocked"/>
                          <w:richText/>
                        </w:sdtPr>
                        <w:sdtContent>
                          <w:r>
                            <w:rPr>
                              <w:sz w:val="22"/>
                              <w:szCs w:val="22"/>
                            </w:rPr>
                            <w:t>4</w:t>
                          </w:r>
                        </w:sdtContent>
                      </w:sdt>
                      <w:r>
                        <w:rPr>
                          <w:sz w:val="22"/>
                          <w:szCs w:val="22"/>
                        </w:rPr>
                        <w:t>. Tik kredito įstaiga turi išimtinę teisę priimti indėlius ir kitas grąžintinas lėšas iš neprofesionalių rinkos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6da8555388b1403a8b9befc2966fe6b2"/>
                    <w:lock w:val="sdtLocked"/>
                    <w:richText/>
                  </w:sdtPr>
                  <w:sdtContent>
                    <w:p>
                      <w:pPr>
                        <w:widowControl w:val="0"/>
                        <w:ind w:firstLine="708"/>
                        <w:jc w:val="both"/>
                        <w:rPr>
                          <w:color w:val="000000"/>
                        </w:rPr>
                      </w:pPr>
                      <w:sdt>
                        <w:sdtPr>
                          <w:alias w:val="Numeris"/>
                          <w:tag w:val="nr_6da8555388b1403a8b9befc2966fe6b2"/>
                          <w:lock w:val="sdtLocked"/>
                          <w:richText/>
                        </w:sdtPr>
                        <w:sdtContent>
                          <w:r>
                            <w:rPr>
                              <w:color w:val="000000"/>
                              <w:szCs w:val="24"/>
                              <w:lang w:eastAsia="lt-LT"/>
                            </w:rPr>
                            <w:t>2</w:t>
                          </w:r>
                        </w:sdtContent>
                      </w:sdt>
                      <w:r>
                        <w:rPr>
                          <w:color w:val="000000"/>
                          <w:szCs w:val="24"/>
                          <w:lang w:eastAsia="lt-LT"/>
                        </w:rPr>
                        <w:t>. Finansų įstaigomis nelaikomi informuotiesiems investuotojams skirti kolektyvinio investavimo subjektai ir tik šiuos subjektus valdančios valdymo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sdtContent>
                </w:sdt>
                <w:sdt>
                  <w:sdtPr>
                    <w:alias w:val="4 str. 3 d."/>
                    <w:tag w:val="part_cae9f6b4df65495aa5e8301d6223f0fd"/>
                    <w:lock w:val="sdtLocked"/>
                    <w:richText/>
                  </w:sdtPr>
                  <w:sdtContent>
                    <w:p>
                      <w:pPr>
                        <w:ind w:firstLine="720"/>
                        <w:jc w:val="both"/>
                        <w:rPr>
                          <w:color w:val="000000"/>
                        </w:rPr>
                      </w:pPr>
                      <w:sdt>
                        <w:sdtPr>
                          <w:alias w:val="Numeris"/>
                          <w:tag w:val="nr_cae9f6b4df65495aa5e8301d6223f0fd"/>
                          <w:lock w:val="sdtLocked"/>
                          <w:richText/>
                        </w:sdtPr>
                        <w:sdtContent>
                          <w:r>
                            <w:rPr>
                              <w:sz w:val="22"/>
                              <w:szCs w:val="22"/>
                            </w:rPr>
                            <w:t>3</w:t>
                          </w:r>
                        </w:sdtContent>
                      </w:sdt>
                      <w:r>
                        <w:rPr>
                          <w:sz w:val="22"/>
                          <w:szCs w:val="22"/>
                        </w:rPr>
                        <w:t xml:space="preserve">.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(OL 2013 L 287, p. 63), nuostatas priežiūrą atlieka  Europos centrinis bankas (toliau –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6 d."/>
                    <w:tag w:val="part_8943e8372f7c4e1fb0b46ad59f08956d"/>
                    <w:lock w:val="sdtLocked"/>
                    <w:richText/>
                  </w:sdtPr>
                  <w:sdtContent>
                    <w:p>
                      <w:pPr>
                        <w:widowControl w:val="0"/>
                        <w:suppressAutoHyphens/>
                        <w:ind w:firstLine="708"/>
                        <w:jc w:val="both"/>
                      </w:pPr>
                      <w:sdt>
                        <w:sdtPr>
                          <w:alias w:val="Numeris"/>
                          <w:tag w:val="nr_8943e8372f7c4e1fb0b46ad59f08956d"/>
                          <w:lock w:val="sdtLocked"/>
                          <w:richText/>
                        </w:sdtPr>
                        <w:sdtContent>
                          <w:r>
                            <w:rPr>
                              <w:color w:val="000000"/>
                            </w:rPr>
                            <w:t>6</w:t>
                          </w:r>
                        </w:sdtContent>
                      </w:sdt>
                      <w:r>
                        <w:rPr>
                          <w:color w:val="000000"/>
                        </w:rPr>
                        <w:t>. Šio įstatymo 20 straipsnio 2 dalyje, 44 straipsnio 3 dalyje, 45 straipsnio 4 dalyje ir 46 straipsnio 2 dalyje nustatyta tvarka netaikoma finansų įstaigoms, kurios teikia tik nelicencines finansines paslaugas, nustatytas Lietuvos Respublikos vartojimo kredito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eb3bab7402314403b3815f1cefc48ddf"/>
                    <w:lock w:val="sdtLocked"/>
                    <w:richText/>
                  </w:sdtPr>
                  <w:sdtContent>
                    <w:p>
                      <w:pPr>
                        <w:ind w:firstLine="708"/>
                        <w:jc w:val="both"/>
                      </w:pPr>
                      <w:sdt>
                        <w:sdtPr>
                          <w:alias w:val="Numeris"/>
                          <w:tag w:val="nr_eb3bab7402314403b3815f1cefc48ddf"/>
                          <w:lock w:val="sdtLocked"/>
                          <w:richText/>
                        </w:sdtPr>
                        <w:sdtContent>
                          <w:r>
                            <w:t>2</w:t>
                          </w:r>
                        </w:sdtContent>
                      </w:sdt>
                      <w:r>
                        <w:t xml:space="preserve">. Licencines finansines paslaugas teikiančios finansų įstaigos kvalifikuotosios įstatinio kapitalo ir (arba) balsavimo teisių dalies įsigijimo, padidinimo, perleidimo ir sumažinimo tvarką nustato Lietuvos Respublikos įstatymai, reglamentuojantys finansinių paslaugų teikimą ir finansų įstaigų veiklą.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ec10ac6ff06b4755be3435f4a41edef4"/>
                    <w:lock w:val="sdtLocked"/>
                    <w:richText/>
                  </w:sdtPr>
                  <w:sdtContent>
                    <w:p>
                      <w:pPr>
                        <w:ind w:firstLine="709"/>
                        <w:jc w:val="both"/>
                      </w:pPr>
                      <w:sdt>
                        <w:sdtPr>
                          <w:alias w:val="Numeris"/>
                          <w:tag w:val="nr_ec10ac6ff06b4755be3435f4a41edef4"/>
                          <w:lock w:val="sdtLocked"/>
                          <w:richText/>
                        </w:sdtPr>
                        <w:sdtContent>
                          <w:r>
                            <w:t>3</w:t>
                          </w:r>
                        </w:sdtContent>
                      </w:sdt>
                      <w:r>
                        <w:t>. Finansų įstaiga privalo iki einamųjų finansinių metų pirmojo pusmečio pabaigos sudaryti sutartį dėl metinių finansinių ataskaitų audito su visuotinio finansų įstaigos dalyvių susirinkimo išrinkta audito įmone ir pateikti ją priežiūros institucijai, jeigu finansų įstaigos veiklos priežiūrą nustato Lietuvos Respublikos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c33880cfdb6041dca51fdba504a8793c"/>
                    <w:lock w:val="sdtLocked"/>
                    <w:richText/>
                  </w:sdtPr>
                  <w:sdtContent>
                    <w:p>
                      <w:pPr>
                        <w:ind w:firstLine="708"/>
                        <w:jc w:val="both"/>
                        <w:rPr>
                          <w:color w:val="000000"/>
                        </w:rPr>
                      </w:pPr>
                      <w:sdt>
                        <w:sdtPr>
                          <w:alias w:val="Numeris"/>
                          <w:tag w:val="nr_c33880cfdb6041dca51fdba504a8793c"/>
                          <w:lock w:val="sdtLocked"/>
                          <w:richText/>
                        </w:sdtPr>
                        <w:sdtContent>
                          <w:r>
                            <w:rPr>
                              <w:color w:val="000000"/>
                            </w:rPr>
                            <w:t>1</w:t>
                          </w:r>
                        </w:sdtContent>
                      </w:sdt>
                      <w:r>
                        <w:rPr>
                          <w:color w:val="000000"/>
                        </w:rPr>
                        <w:t>. Finansų įstaigos metinių finansinių ataskaitų rinkinių auditą gali atlikti tik toks auditorius, kuris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eed4c732c1c545e0a1ed80e3fa8f8709"/>
                    <w:lock w:val="sdtLocked"/>
                    <w:richText/>
                  </w:sdtPr>
                  <w:sdtContent>
                    <w:p>
                      <w:pPr>
                        <w:ind w:firstLine="708"/>
                        <w:jc w:val="both"/>
                        <w:rPr>
                          <w:color w:val="000000"/>
                        </w:rPr>
                      </w:pPr>
                      <w:sdt>
                        <w:sdtPr>
                          <w:alias w:val="Numeris"/>
                          <w:tag w:val="nr_eed4c732c1c545e0a1ed80e3fa8f8709"/>
                          <w:lock w:val="sdtLocked"/>
                          <w:richText/>
                        </w:sdtPr>
                        <w:sdtContent>
                          <w:r>
                            <w:rPr>
                              <w:color w:val="000000"/>
                            </w:rPr>
                            <w:t>2</w:t>
                          </w:r>
                        </w:sdtContent>
                      </w:sdt>
                      <w:r>
                        <w:rPr>
                          <w:color w:val="000000"/>
                        </w:rPr>
                        <w:t>. Finansų įstaigos metinių finansinių ataskaitų rinkinių auditą gali atlikti tokia audito įmonė, kuri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26178450d35945c19d9745cbc6c527f4"/>
                    <w:lock w:val="sdtLocked"/>
                    <w:richText/>
                  </w:sdtPr>
                  <w:sdtContent>
                    <w:p>
                      <w:pPr>
                        <w:ind w:firstLine="708"/>
                        <w:jc w:val="both"/>
                      </w:pPr>
                      <w:sdt>
                        <w:sdtPr>
                          <w:alias w:val="Numeris"/>
                          <w:tag w:val="nr_26178450d35945c19d9745cbc6c527f4"/>
                          <w:lock w:val="sdtLocked"/>
                          <w:richText/>
                        </w:sdtPr>
                        <w:sdtContent>
                          <w:r>
                            <w:t>3</w:t>
                          </w:r>
                        </w:sdtContent>
                      </w:sdt>
                      <w:r>
                        <w:t>. Auditorius, taip pat kitas asmuo, dalyvaujantis kartu su auditoriumi atliekant auditą, negali atlikti tos pačios finansų įstaigos audito ilgiau kaip 5 finansinius metus iš eilės, jeigu Lietuvos Respublikos įstatymuose, reglamentuojančiuose tokių įstaigų veiklą, nenustatyta kitaip.</w:t>
                      </w:r>
                    </w:p>
                    <w:p>
                      <w:pPr>
                        <w:jc w:val="both"/>
                        <w:rPr>
                          <w:i/>
                          <w:color w:val="000000"/>
                          <w:sz w:val="20"/>
                        </w:rPr>
                      </w:pPr>
                      <w:r>
                        <w:rPr>
                          <w:b/>
                          <w:i/>
                          <w:sz w:val="20"/>
                        </w:rPr>
                        <w:t xml:space="preserve">TAR pastaba. </w:t>
                      </w:r>
                      <w:r>
                        <w:rPr>
                          <w:i/>
                          <w:sz w:val="20"/>
                        </w:rPr>
                        <w:t>Taikant 3 dalies nuostatą, atsižvelgiama ir į iki šio įstatymo įsigaliojimo prasidėjusius finansinius metus, dėl kurių audito yra sudaryta finansinių ataskaitų audito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4 d."/>
                    <w:tag w:val="part_8c0e2a42657e49c599d94877b15fbef7"/>
                    <w:lock w:val="sdtLocked"/>
                    <w:richText/>
                  </w:sdtPr>
                  <w:sdtContent>
                    <w:p>
                      <w:pPr>
                        <w:widowControl w:val="0"/>
                        <w:suppressAutoHyphens/>
                        <w:ind w:firstLine="708"/>
                        <w:jc w:val="both"/>
                      </w:pPr>
                      <w:sdt>
                        <w:sdtPr>
                          <w:alias w:val="Numeris"/>
                          <w:tag w:val="nr_8c0e2a42657e49c599d94877b15fbef7"/>
                          <w:lock w:val="sdtLocked"/>
                          <w:richText/>
                        </w:sdtPr>
                        <w:sdtContent>
                          <w:r>
                            <w:rPr>
                              <w:color w:val="000000"/>
                            </w:rPr>
                            <w:t>4</w:t>
                          </w:r>
                        </w:sdtContent>
                      </w:sdt>
                      <w:r>
                        <w:rPr>
                          <w:color w:val="000000"/>
                        </w:rPr>
                        <w:t>. Priežiūros institucijos sprendimu finansų įstaigoms, kurių veiklos priežiūrą nustato Lietuvos Respublikos įstatymai, gali būti uždrausta sudaryti sutartis dėl finansinių ataskaitų rinkinių audito su tomis audito įmonėmis, kurios neatitinka (nevykdo) šio straipsnio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fb9bef5692a43e1a293e5bd749f91fc"/>
                        <w:lock w:val="sdtLocked"/>
                        <w:richText/>
                      </w:sdtPr>
                      <w:sdtContent>
                        <w:p>
                          <w:pPr>
                            <w:widowControl w:val="0"/>
                            <w:suppressAutoHyphens/>
                            <w:ind w:firstLine="708"/>
                            <w:jc w:val="both"/>
                            <w:rPr>
                              <w:color w:val="000000"/>
                            </w:rPr>
                          </w:pPr>
                          <w:sdt>
                            <w:sdtPr>
                              <w:alias w:val="Numeris"/>
                              <w:tag w:val="nr_bfb9bef5692a43e1a293e5bd749f91fc"/>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598d507606e24084bd5f1e5f7c74cc6e"/>
                    <w:lock w:val="sdtLocked"/>
                    <w:richText/>
                  </w:sdtPr>
                  <w:sdtContent>
                    <w:p>
                      <w:pPr>
                        <w:widowControl w:val="0"/>
                        <w:suppressAutoHyphens/>
                        <w:ind w:firstLine="708"/>
                        <w:jc w:val="both"/>
                        <w:rPr>
                          <w:color w:val="000000"/>
                        </w:rPr>
                      </w:pPr>
                      <w:sdt>
                        <w:sdtPr>
                          <w:alias w:val="Numeris"/>
                          <w:tag w:val="nr_598d507606e24084bd5f1e5f7c74cc6e"/>
                          <w:lock w:val="sdtLocked"/>
                          <w:richText/>
                        </w:sdtPr>
                        <w:sdtContent>
                          <w:r>
                            <w:rPr>
                              <w:color w:val="000000"/>
                            </w:rPr>
                            <w:t>1</w:t>
                          </w:r>
                        </w:sdtContent>
                      </w:sdt>
                      <w:r>
                        <w:rPr>
                          <w:color w:val="000000"/>
                        </w:rPr>
                        <w:t>. Audito įmonė ir auditorius už audito atlikimą, auditoriaus išvados dėl audituotuose finansų įstaigos metinių finansinių ataskaitų rinkiniuose pateiktų duomenų išsamumo, tikrumo ir tikslumo pateikimą atsako Lietuvos Respublikos įstatymuose ir audito įmonės ir užsakovo pasirašytoje sutartyje dėl audito atlikimo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0b2130ee5b6740e2831b266fa24447f0"/>
        <w:lock w:val="sdtLocked"/>
        <w:richText/>
      </w:sdtPr>
      <w:sdtContent>
        <w:p>
          <w:pPr>
            <w:ind w:left="6663" w:firstLine="11"/>
            <w:jc w:val="both"/>
            <w:rPr>
              <w:b/>
              <w:szCs w:val="24"/>
            </w:rPr>
          </w:pPr>
          <w:r>
            <w:rPr>
              <w:szCs w:val="24"/>
            </w:rPr>
            <w:t>Lietuvos Respublikos</w:t>
          </w:r>
          <w:r>
            <w:rPr>
              <w:b/>
              <w:szCs w:val="24"/>
            </w:rPr>
            <w:t xml:space="preserve"> </w:t>
          </w:r>
        </w:p>
        <w:p>
          <w:pPr>
            <w:ind w:left="6663" w:firstLine="11"/>
            <w:jc w:val="both"/>
            <w:rPr>
              <w:szCs w:val="24"/>
            </w:rPr>
          </w:pPr>
          <w:r>
            <w:rPr>
              <w:szCs w:val="24"/>
            </w:rPr>
            <w:t>finansų įstaigų įstatymo</w:t>
          </w:r>
        </w:p>
        <w:p>
          <w:pPr>
            <w:ind w:left="6663" w:firstLine="11"/>
            <w:jc w:val="both"/>
            <w:rPr>
              <w:szCs w:val="24"/>
            </w:rPr>
          </w:pPr>
          <w:r>
            <w:rPr>
              <w:szCs w:val="24"/>
            </w:rPr>
            <w:t>priedas</w:t>
          </w:r>
        </w:p>
        <w:p>
          <w:pPr>
            <w:ind w:firstLine="720"/>
            <w:jc w:val="both"/>
            <w:rPr>
              <w:szCs w:val="24"/>
            </w:rPr>
          </w:pPr>
        </w:p>
        <w:p>
          <w:pPr>
            <w:jc w:val="center"/>
            <w:rPr>
              <w:b/>
              <w:szCs w:val="24"/>
            </w:rPr>
          </w:pPr>
          <w:sdt>
            <w:sdtPr>
              <w:alias w:val="Pavadinimas"/>
              <w:tag w:val="title_0b2130ee5b6740e2831b266fa24447f0"/>
              <w:lock w:val="sdtLocked"/>
              <w:richText/>
            </w:sdtPr>
            <w:sdtContent>
              <w:r>
                <w:rPr>
                  <w:b/>
                  <w:szCs w:val="24"/>
                </w:rPr>
                <w:t>ĮGYVENDINAMI EUROPOS SĄJUNGOS TEISĖS AKTAI</w:t>
              </w:r>
            </w:sdtContent>
          </w:sdt>
        </w:p>
        <w:p>
          <w:pPr>
            <w:ind w:firstLine="720"/>
            <w:jc w:val="both"/>
            <w:rPr>
              <w:szCs w:val="24"/>
            </w:rPr>
          </w:pPr>
        </w:p>
        <w:sdt>
          <w:sdtPr>
            <w:alias w:val="pr. 1 p."/>
            <w:tag w:val="part_66c9d4e9654447d8867612fbbe7e9cef"/>
            <w:lock w:val="sdtLocked"/>
            <w:richText/>
          </w:sdtPr>
          <w:sdtContent>
            <w:p>
              <w:pPr>
                <w:ind w:firstLine="720"/>
                <w:jc w:val="both"/>
                <w:rPr>
                  <w:szCs w:val="24"/>
                </w:rPr>
              </w:pPr>
              <w:sdt>
                <w:sdtPr>
                  <w:alias w:val="Numeris"/>
                  <w:tag w:val="nr_66c9d4e9654447d8867612fbbe7e9cef"/>
                  <w:lock w:val="sdtLocked"/>
                  <w:richText/>
                </w:sdtPr>
                <w:sdtContent>
                  <w:r>
                    <w:rPr>
                      <w:szCs w:val="24"/>
                    </w:rPr>
                    <w:t>1</w:t>
                  </w:r>
                </w:sdtContent>
              </w:sdt>
              <w:r>
                <w:rPr>
                  <w:szCs w:val="24"/>
                </w:rPr>
                <w:t>. 2007 m. lapkričio 13 d. Europos Parlamento ir Tarybos direktyva 2007/64/EB dėl mokėjimo paslaugų vidaus rinkoje, iš dalies keičianti direktyvas 97/7/EB, 2002/65/EB, 2005/60/EB ir 2006/48/EB ir panaikinanti Direktyvą 97/5/EB (OL 2007 L 319, p. 1).</w:t>
              </w:r>
            </w:p>
          </w:sdtContent>
        </w:sdt>
        <w:sdt>
          <w:sdtPr>
            <w:alias w:val="pr. 2 p."/>
            <w:tag w:val="part_09aac3c0b2034caf856d678efa7a690b"/>
            <w:lock w:val="sdtLocked"/>
            <w:richText/>
          </w:sdtPr>
          <w:sdtContent>
            <w:p>
              <w:pPr>
                <w:ind w:firstLine="720"/>
                <w:jc w:val="both"/>
                <w:rPr>
                  <w:szCs w:val="24"/>
                </w:rPr>
              </w:pPr>
              <w:sdt>
                <w:sdtPr>
                  <w:alias w:val="Numeris"/>
                  <w:tag w:val="nr_09aac3c0b2034caf856d678efa7a690b"/>
                  <w:lock w:val="sdtLocked"/>
                  <w:richText/>
                </w:sdtPr>
                <w:sdtContent>
                  <w:r>
                    <w:rPr>
                      <w:szCs w:val="24"/>
                    </w:rPr>
                    <w:t>2</w:t>
                  </w:r>
                </w:sdtContent>
              </w:sdt>
              <w:r>
                <w:rPr>
                  <w:szCs w:val="24"/>
                </w:rPr>
                <w:t>. 2009 m. rugsėjo 16 d. Europos Parlamento ir Tarybos direktyva 2009/110/EB dėl elektroninių pinigų įstaigų steigimosi, veiklos ir riziką ribojančios priežiūros, iš dalies keičianti Direktyvas 2005/60/EB ir 2006/48/EB ir panaikinanti Direktyvą 2000/46/EB (OL 2009 L 267, p. 7).</w:t>
              </w:r>
            </w:p>
          </w:sdtContent>
        </w:sdt>
        <w:sdt>
          <w:sdtPr>
            <w:alias w:val="pr. 3 p."/>
            <w:tag w:val="part_b1f3554598ec4dadb3618204a15b7e1a"/>
            <w:lock w:val="sdtLocked"/>
            <w:richText/>
          </w:sdtPr>
          <w:sdtContent>
            <w:p>
              <w:pPr>
                <w:ind w:firstLine="720"/>
                <w:jc w:val="both"/>
              </w:pPr>
              <w:sdt>
                <w:sdtPr>
                  <w:alias w:val="Numeris"/>
                  <w:tag w:val="nr_b1f3554598ec4dadb3618204a15b7e1a"/>
                  <w:lock w:val="sdtLocked"/>
                  <w:richText/>
                </w:sdtPr>
                <w:sdtContent>
                  <w:r>
                    <w:rPr>
                      <w:szCs w:val="24"/>
                    </w:rPr>
                    <w:t>3</w:t>
                  </w:r>
                </w:sdtContent>
              </w:sdt>
              <w:r>
                <w:rPr>
                  <w:szCs w:val="24"/>
                </w:rPr>
                <w:t xml:space="preserve">.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(OL 2013 L 176, p. 338).</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699c80fed511e488da8908dfa91cac">
            <w:r w:rsidRPr="00532B9F">
              <w:rPr>
                <w:rFonts w:ascii="Times New Roman" w:eastAsia="MS Mincho" w:hAnsi="Times New Roman"/>
                <w:sz w:val="20"/>
                <w:iCs/>
                <w:color w:val="0000FF" w:themeColor="hyperlink"/>
                <w:u w:val="single"/>
              </w:rPr>
              <w:t>XII-1694</w:t>
            </w:r>
          </w:fldSimple>
          <w:r>
            <w:rPr>
              <w:rFonts w:ascii="Times New Roman" w:eastAsia="MS Mincho" w:hAnsi="Times New Roman"/>
              <w:sz w:val="20"/>
              <w:iCs/>
            </w:rPr>
            <w:t>,
2015-05-14,
paskelbta TAR 2015-05-20, i. k. 2015-07670                </w:t>
          </w:r>
        </w:p>
        <w:p>
          <w:pPr>
            <w:jc w:val="both"/>
            <w:rPr>
              <w:rFonts w:ascii="Times New Roman" w:hAnsi="Times New Roman"/>
            </w:rPr>
          </w:pPr>
          <w:r>
            <w:rPr>
              <w:rFonts w:ascii="Times New Roman" w:hAnsi="Times New Roman"/>
              <w:sz w:val="20"/>
            </w:rPr>
            <w:t>Lietuvos Respublikos finansų įstaigų įstatymo Nr. IX-1068 4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fd9f098f211e58fd1fc0b9bba68a7">
            <w:r w:rsidRPr="00532B9F">
              <w:rPr>
                <w:rFonts w:ascii="Times New Roman" w:eastAsia="MS Mincho" w:hAnsi="Times New Roman"/>
                <w:sz w:val="20"/>
                <w:iCs/>
                <w:color w:val="0000FF" w:themeColor="hyperlink"/>
                <w:u w:val="single"/>
              </w:rPr>
              <w:t>XII-2059</w:t>
            </w:r>
          </w:fldSimple>
          <w:r>
            <w:rPr>
              <w:rFonts w:ascii="Times New Roman" w:eastAsia="MS Mincho" w:hAnsi="Times New Roman"/>
              <w:sz w:val="20"/>
              <w:iCs/>
            </w:rPr>
            <w:t>,
2015-11-24,
paskelbta TAR 2015-12-02, i. k. 2015-19170                </w:t>
          </w:r>
        </w:p>
        <w:p>
          <w:pPr>
            <w:jc w:val="both"/>
            <w:rPr>
              <w:rFonts w:ascii="Times New Roman" w:hAnsi="Times New Roman"/>
            </w:rPr>
          </w:pPr>
          <w:r>
            <w:rPr>
              <w:rFonts w:ascii="Times New Roman" w:hAnsi="Times New Roman"/>
              <w:sz w:val="20"/>
            </w:rPr>
            <w:t>Lietuvos Respublikos finansų įstaigų įstatymo Nr. IX-1068 57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133f80ab3c11e6a6f98c1425a5ffa8">
            <w:r w:rsidRPr="00532B9F">
              <w:rPr>
                <w:rFonts w:ascii="Times New Roman" w:eastAsia="MS Mincho" w:hAnsi="Times New Roman"/>
                <w:sz w:val="20"/>
                <w:iCs/>
                <w:color w:val="0000FF" w:themeColor="hyperlink"/>
                <w:u w:val="single"/>
              </w:rPr>
              <w:t>XII-2691</w:t>
            </w:r>
          </w:fldSimple>
          <w:r>
            <w:rPr>
              <w:rFonts w:ascii="Times New Roman" w:eastAsia="MS Mincho" w:hAnsi="Times New Roman"/>
              <w:sz w:val="20"/>
              <w:iCs/>
            </w:rPr>
            <w:t>,
2016-11-03,
paskelbta TAR 2016-11-15, i. k. 2016-26829                </w:t>
          </w:r>
        </w:p>
        <w:p>
          <w:pPr>
            <w:jc w:val="both"/>
            <w:rPr>
              <w:rFonts w:ascii="Times New Roman" w:hAnsi="Times New Roman"/>
            </w:rPr>
          </w:pPr>
          <w:r>
            <w:rPr>
              <w:rFonts w:ascii="Times New Roman" w:hAnsi="Times New Roman"/>
              <w:sz w:val="20"/>
            </w:rPr>
            <w:t>Lietuvos Respublikos finansų įstaigų įstatymo Nr. IX-1068 2 ir 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79997E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4.wmf"/>
  <Relationship Id="rId16" Type="http://schemas.openxmlformats.org/officeDocument/2006/relationships/control" Target="activeX/activeX24.xml"/>
  <Relationship Id="rId17" Type="http://schemas.openxmlformats.org/officeDocument/2006/relationships/customXml" Target="../customXml/item1.xml"/>
  <Relationship Id="rId2" Type="http://schemas.openxmlformats.org/officeDocument/2006/relationships/header" Target="header71.xml"/>
  <Relationship Id="rId3" Type="http://schemas.openxmlformats.org/officeDocument/2006/relationships/footer" Target="footer70.xml"/>
  <Relationship Id="rId4" Type="http://schemas.openxmlformats.org/officeDocument/2006/relationships/footer" Target="footer71.xml"/>
  <Relationship Id="rId5" Type="http://schemas.openxmlformats.org/officeDocument/2006/relationships/header" Target="header72.xml"/>
  <Relationship Id="rId6" Type="http://schemas.openxmlformats.org/officeDocument/2006/relationships/footer" Target="footer7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a1cf3462a9844d88abef12463fd7065e">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bf56dc26ce4d49f69b79bb10f7a26eba"/>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cd6f5aeb40b743fcbf792b4c29310023"/>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f4dcb8c063e34d9a9a6ce36730b81cda"/>
          <Part Type="strPunktas" Nr="4" Abbr="4 p." DocPartId="22a0c9175f4a4186b359c0aa9ea963ad" PartId="9b234fa4864c44ff903556ec0d8ad957"/>
          <Part Type="strPunktas" Nr="5" Abbr="5 p." DocPartId="15827a9e1c174d109c62d0cbccc2a523" PartId="87992f73dfd448c28b3f65b81bda350a"/>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f65023a4fc6246ab84a13899f1255a2a"/>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2d159c00c8274f26bfa0a69ae66d477a">
          <Part Type="strPunktas" Nr="1" Abbr="2 str. 43 d. 1 p." DocPartId="84ed060d8fc34ebf9c503288a2445c17" PartId="66b3f9f3cc6c4ae691a57d43def747f7"/>
          <Part Type="strPunktas" Nr="2" Abbr="2 str. 43 d. 2 p." DocPartId="6ce937b8eb01461ebf18513842c13cd9" PartId="244e29f8bb2849bab551fa23c767b9a6"/>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9a76b28c2ee9478e97cc381bc53529d1"/>
          <Part Type="strPunktas" Nr="21" Abbr="21 p." DocPartId="7e9f357ba91147709263ca2aa3ecce10" PartId="eabbeaf9642845c286d1cf0e976bc6c2"/>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361f2de5568e40d0a5ca8d91c853ce8c"/>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6da8555388b1403a8b9befc2966fe6b2"/>
        <Part Type="strDalis" Nr="3" Abbr="4 str. 3 d." DocPartId="a930b4831b1b457989d6a8e60add0435" PartId="cae9f6b4df65495aa5e8301d6223f0fd"/>
        <Part Type="strDalis" Nr="4" Abbr="4 str. 4 d." DocPartId="5e4129436cd7400bb10b3f1e5214aa4c" PartId="8ed6e00e0abf4111847e12bf2c114499"/>
        <Part Type="strDalis" Nr="5" Abbr="5 d." DocPartId="64e5bc5eaee14083afccb4d1132ae18d" PartId="fcc167b36f88435fa9df3f377025a18e"/>
        <Part Type="strDalis" Nr="6" Abbr="6 d." DocPartId="6324c4ee0fb646f5b1cffcca6c7a2db7" PartId="8943e8372f7c4e1fb0b46ad59f08956d"/>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eb3bab7402314403b3815f1cefc48ddf"/>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ec10ac6ff06b4755be3435f4a41edef4"/>
      </Part>
      <Part Type="straipsnis" Nr="45" Abbr="45 str." Title="Reikalavimai auditoriui ir audito įmonei" DocPartId="2c29e248bef94a7b8afd1b5319b7b5ba" PartId="11232c1b2088476982997c06374a0f1a">
        <Part Type="strDalis" Nr="1" Abbr="45 str. 1 d." DocPartId="05e54e6c0a5a4ea9bb6e97a9e9be9f32" PartId="c33880cfdb6041dca51fdba504a8793c">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eed4c732c1c545e0a1ed80e3fa8f8709">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26178450d35945c19d9745cbc6c527f4"/>
        <Part Type="strDalis" Nr="4" Abbr="45 str. 4 d." DocPartId="0adb1456bd9c48cc8278e2638af800cb" PartId="8c0e2a42657e49c599d94877b15fbef7"/>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fb9bef5692a43e1a293e5bd749f91fc"/>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598d507606e24084bd5f1e5f7c74cc6e"/>
        <Part Type="strDalis" Nr="2" Abbr="47 str. 2 d." DocPartId="dc2e81df0d5c47e3a0ef930cad811d9f" PartId="a2d22767fab0439794755b4a0839a23e"/>
      </Part>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0b2130ee5b6740e2831b266fa24447f0">
    <Part Type="punktas" Nr="1" Abbr="pr. 1 p." DocPartId="fb93c9b89d154115a3d90e3e4b56bf27" PartId="66c9d4e9654447d8867612fbbe7e9cef"/>
    <Part Type="punktas" Nr="2" Abbr="pr. 2 p." DocPartId="80c11f7000514c60a23ba4a02f3cbab4" PartId="09aac3c0b2034caf856d678efa7a690b"/>
    <Part Type="punktas" Nr="3" Abbr="pr. 3 p." DocPartId="343db56b89b44153875b6dda8a87bb0a" PartId="b1f3554598ec4dadb3618204a15b7e1a"/>
  </Part>
</Parts>
</file>

<file path=customXml/itemProps1.xml><?xml version="1.0" encoding="utf-8"?>
<ds:datastoreItem xmlns:ds="http://schemas.openxmlformats.org/officeDocument/2006/customXml" ds:itemID="{E1EB59C2-FBE7-4ED0-94A8-D28AA69D9B81}">
  <ds:schemaRefs>
    <ds:schemaRef ds:uri="http://lrs.lt/TAIS/DocParts"/>
  </ds:schemaRefs>
</ds:datastoreItem>
</file>

<file path=docProps/app.xml><?xml version="1.0" encoding="utf-8"?>
<Properties xmlns="http://schemas.openxmlformats.org/officeDocument/2006/extended-properties">
  <Template>Normal.dotm</Template>
  <TotalTime>35</TotalTime>
  <Pages>24</Pages>
  <Words>57268</Words>
  <Characters>32644</Characters>
  <Application>Microsoft Office Word</Application>
  <DocSecurity>0</DocSecurity>
  <Lines>272</Lines>
  <Paragraphs>179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89733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2016-12-02T08:07:00Z</dcterms:modified>
  <revision>51</revision>
</coreProperties>
</file>