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7aee61f8624080b82c219127cf9779"/>
        <w:lock w:val="sdtLocked"/>
        <w:richText/>
      </w:sdtPr>
      <w:sdtContent>
        <w:p>
          <w:pPr>
            <w:jc w:val="both"/>
            <w:rPr>
              <w:rFonts w:ascii="Times New Roman" w:hAnsi="Times New Roman"/>
            </w:rPr>
          </w:pPr>
          <w:r>
            <w:rPr>
              <w:rFonts w:ascii="Times New Roman" w:hAnsi="Times New Roman"/>
              <w:b/>
              <w:i/>
            </w:rPr>
            <w:t>Suvestinė redakcija nuo 2008-09-01 iki 2009-04-03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4 d."/>
                    <w:tag w:val="part_3034c270a92648d3a569ae0e53a722b1"/>
                    <w:lock w:val="sdtLocked"/>
                    <w:richText/>
                  </w:sdtPr>
                  <w:sdtContent>
                    <w:p>
                      <w:pPr>
                        <w:widowControl w:val="0"/>
                        <w:ind w:firstLine="708"/>
                        <w:jc w:val="both"/>
                      </w:pPr>
                      <w:sdt>
                        <w:sdtPr>
                          <w:alias w:val="Numeris"/>
                          <w:tag w:val="nr_3034c270a92648d3a569ae0e53a722b1"/>
                          <w:lock w:val="sdtLocked"/>
                          <w:richText/>
                        </w:sdtPr>
                        <w:sdtContent>
                          <w:r>
                            <w:rPr>
                              <w:color w:val="000000"/>
                            </w:rPr>
                            <w:t>4</w:t>
                          </w:r>
                        </w:sdtContent>
                      </w:sdt>
                      <w:r>
                        <w:rPr>
                          <w:color w:val="000000"/>
                        </w:rPr>
                        <w:t>. Šiuo Įstatymu įgyvendinamas Europos Sąjungos teisės aktas, nurodytas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5ca99ff6d9e44e8fb068e14c667eed88"/>
                    <w:lock w:val="sdtLocked"/>
                    <w:richText/>
                  </w:sdtPr>
                  <w:sdtContent>
                    <w:p>
                      <w:pPr>
                        <w:widowControl w:val="0"/>
                        <w:ind w:firstLine="709"/>
                        <w:jc w:val="both"/>
                        <w:rPr>
                          <w:color w:val="000000"/>
                        </w:rPr>
                      </w:pPr>
                      <w:sdt>
                        <w:sdtPr>
                          <w:alias w:val="Numeris"/>
                          <w:tag w:val="nr_5ca99ff6d9e44e8fb068e14c667eed88"/>
                          <w:lock w:val="sdtLocked"/>
                          <w:richText/>
                        </w:sdtPr>
                        <w:sdtContent>
                          <w:r>
                            <w:t>7</w:t>
                          </w:r>
                        </w:sdtContent>
                      </w:sdt>
                      <w:r>
                        <w:t xml:space="preserve">. Finansų įmonė – 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19 punktuose nurodytų finansinių paslaugų teikimu.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418dbfa6f1d24a81bcdc9541da037447"/>
                    <w:lock w:val="sdtLocked"/>
                    <w:richText/>
                  </w:sdtPr>
                  <w:sdtContent>
                    <w:p>
                      <w:pPr>
                        <w:ind w:firstLine="708"/>
                        <w:jc w:val="both"/>
                        <w:rPr>
                          <w:color w:val="000000"/>
                        </w:rPr>
                      </w:pPr>
                      <w:sdt>
                        <w:sdtPr>
                          <w:alias w:val="Numeris"/>
                          <w:tag w:val="nr_418dbfa6f1d24a81bcdc9541da037447"/>
                          <w:lock w:val="sdtLocked"/>
                          <w:richText/>
                        </w:sdtPr>
                        <w:sdtContent>
                          <w:r>
                            <w:rPr>
                              <w:color w:val="000000"/>
                            </w:rPr>
                            <w:t>12</w:t>
                          </w:r>
                        </w:sdtContent>
                      </w:sdt>
                      <w:r>
                        <w:rPr>
                          <w:color w:val="000000"/>
                        </w:rPr>
                        <w:t xml:space="preserve">. </w:t>
                      </w:r>
                      <w:r>
                        <w:rPr>
                          <w:b/>
                          <w:color w:val="000000"/>
                        </w:rPr>
                        <w:t>Finansinis tarpininkavimas (agento veikla)</w:t>
                      </w:r>
                      <w:r>
                        <w:rPr>
                          <w:color w:val="000000"/>
                        </w:rPr>
                        <w:t xml:space="preserve"> – veikla vienos arba kelių finansų įstaigų vardu ir naudai priimant indėlius ir kitas grąžintinas lėšas, skolinant, priimant įmokas už kitų asmenų suteiktas paslaugas, teikiant kitas finansines paslaugas, taip pat finansų įstaigų vykdoma priklausomo draudimo tarpininkavimo veikla, išskyrus draudiminių įvykių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3 d."/>
                    <w:tag w:val="part_672121a170e64a9098eaabd5439b0593"/>
                    <w:lock w:val="sdtLocked"/>
                    <w:richText/>
                  </w:sdtPr>
                  <w:sdtContent>
                    <w:p>
                      <w:pPr>
                        <w:widowControl w:val="0"/>
                        <w:ind w:firstLine="708"/>
                        <w:jc w:val="both"/>
                        <w:rPr>
                          <w:color w:val="000000"/>
                        </w:rPr>
                      </w:pPr>
                      <w:sdt>
                        <w:sdtPr>
                          <w:alias w:val="Numeris"/>
                          <w:tag w:val="nr_672121a170e64a9098eaabd5439b0593"/>
                          <w:lock w:val="sdtLocked"/>
                          <w:richText/>
                        </w:sdtPr>
                        <w:sdtContent>
                          <w:r>
                            <w:rPr>
                              <w:color w:val="000000"/>
                            </w:rPr>
                            <w:t>23</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4 d."/>
                    <w:tag w:val="part_6f2cc55b75114096a49af8cdc281ad42"/>
                    <w:lock w:val="sdtLocked"/>
                    <w:richText/>
                  </w:sdtPr>
                  <w:sdtContent>
                    <w:p>
                      <w:pPr>
                        <w:widowControl w:val="0"/>
                        <w:ind w:firstLine="708"/>
                        <w:jc w:val="both"/>
                        <w:rPr>
                          <w:color w:val="000000"/>
                        </w:rPr>
                      </w:pPr>
                      <w:sdt>
                        <w:sdtPr>
                          <w:alias w:val="Numeris"/>
                          <w:tag w:val="nr_6f2cc55b75114096a49af8cdc281ad42"/>
                          <w:lock w:val="sdtLocked"/>
                          <w:richText/>
                        </w:sdtPr>
                        <w:sdtContent>
                          <w:r>
                            <w:rPr>
                              <w:color w:val="000000"/>
                            </w:rPr>
                            <w:t>24</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c4441a91cf54615b484988af1ae2d42"/>
                    <w:lock w:val="sdtLocked"/>
                    <w:richText/>
                  </w:sdtPr>
                  <w:sdtContent>
                    <w:p>
                      <w:pPr>
                        <w:widowControl w:val="0"/>
                        <w:ind w:firstLine="708"/>
                        <w:jc w:val="both"/>
                        <w:rPr>
                          <w:color w:val="000000"/>
                        </w:rPr>
                      </w:pPr>
                      <w:sdt>
                        <w:sdtPr>
                          <w:alias w:val="Numeris"/>
                          <w:tag w:val="nr_1c4441a91cf54615b484988af1ae2d42"/>
                          <w:lock w:val="sdtLocked"/>
                          <w:richText/>
                        </w:sdtPr>
                        <w:sdtContent>
                          <w:r>
                            <w:rPr>
                              <w:color w:val="000000"/>
                            </w:rPr>
                            <w:t>27</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194e1bafce824293b55178c17c79badf"/>
                        <w:lock w:val="sdtLocked"/>
                        <w:richText/>
                      </w:sdtPr>
                      <w:sdtContent>
                        <w:p>
                          <w:pPr>
                            <w:widowControl w:val="0"/>
                            <w:ind w:firstLine="708"/>
                            <w:jc w:val="both"/>
                            <w:rPr>
                              <w:color w:val="000000"/>
                            </w:rPr>
                          </w:pPr>
                          <w:sdt>
                            <w:sdtPr>
                              <w:alias w:val="Numeris"/>
                              <w:tag w:val="nr_194e1bafce824293b55178c17c79badf"/>
                              <w:lock w:val="sdtLocked"/>
                              <w:richText/>
                            </w:sdtPr>
                            <w:sdtContent>
                              <w:r>
                                <w:rPr>
                                  <w:color w:val="000000"/>
                                </w:rPr>
                                <w:t>2</w:t>
                              </w:r>
                            </w:sdtContent>
                          </w:sdt>
                          <w:r>
                            <w:rPr>
                              <w:color w:val="000000"/>
                            </w:rPr>
                            <w:t>) klientai yra susiję tokiais tarpusavio ryšiais, kad jeigu vienas iš jų negalėtų įvykdyti savo įsipareigojimų finansų įstaigai, kiltų sunkumų ir kitam arba kitiems klientams įvykdyti įsipareigojimus šiai finansų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3 str. 1 d. 19 p."/>
                        <w:tag w:val="part_56ec68c2eca143e7a5fa60f5cd492a89"/>
                        <w:lock w:val="sdtLocked"/>
                        <w:richText/>
                      </w:sdtPr>
                      <w:sdtContent>
                        <w:p>
                          <w:pPr>
                            <w:widowControl w:val="0"/>
                            <w:ind w:firstLine="709"/>
                            <w:jc w:val="both"/>
                            <w:rPr>
                              <w:color w:val="000000"/>
                            </w:rPr>
                          </w:pPr>
                          <w:sdt>
                            <w:sdtPr>
                              <w:alias w:val="Numeris"/>
                              <w:tag w:val="nr_56ec68c2eca143e7a5fa60f5cd492a89"/>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c5af4378a9be462eb7ce6b890a2021b4"/>
        <w:lock w:val="sdtLocked"/>
        <w:richText/>
      </w:sdtPr>
      <w:sdtContent>
        <w:p>
          <w:pPr>
            <w:ind w:firstLine="5103"/>
          </w:pPr>
          <w:r>
            <w:t>Lietuvos Respublikos finansų įstaigų</w:t>
          </w:r>
        </w:p>
        <w:p>
          <w:pPr>
            <w:ind w:firstLine="5103"/>
          </w:pPr>
          <w:r>
            <w:t>įstatymo priedas</w:t>
          </w:r>
        </w:p>
        <w:p/>
        <w:p>
          <w:pPr>
            <w:widowControl w:val="0"/>
            <w:jc w:val="center"/>
            <w:rPr>
              <w:b/>
              <w:color w:val="000000"/>
            </w:rPr>
          </w:pPr>
          <w:sdt>
            <w:sdtPr>
              <w:alias w:val="Pavadinimas"/>
              <w:tag w:val="title_c5af4378a9be462eb7ce6b890a2021b4"/>
              <w:lock w:val="sdtLocked"/>
              <w:richText/>
            </w:sdtPr>
            <w:sdtContent>
              <w:r>
                <w:rPr>
                  <w:b/>
                  <w:color w:val="000000"/>
                </w:rPr>
                <w:t>ĮGYVENDINAMI EUROPOS SĄJUNGOS TEISĖS AKTAI</w:t>
              </w:r>
            </w:sdtContent>
          </w:sdt>
        </w:p>
        <w:p>
          <w:pPr>
            <w:widowControl w:val="0"/>
            <w:jc w:val="center"/>
            <w:rPr>
              <w:b/>
              <w:color w:val="000000"/>
            </w:rPr>
          </w:pPr>
        </w:p>
        <w:sdt>
          <w:sdtPr>
            <w:alias w:val="1 p."/>
            <w:tag w:val="part_ee5cba38afe9403d8c1f9f0c259eb62b"/>
            <w:lock w:val="sdtLocked"/>
            <w:richText/>
          </w:sdtPr>
          <w:sdtContent>
            <w:p>
              <w:pPr>
                <w:widowControl w:val="0"/>
                <w:ind w:firstLine="708"/>
                <w:jc w:val="both"/>
                <w:rPr>
                  <w:color w:val="000000"/>
                </w:rPr>
              </w:pPr>
              <w:r>
                <w:rPr>
                  <w:color w:val="000000"/>
                </w:rPr>
                <w:t>2006 m. birželio 14 d. Europos Parlamento ir Tarybos direktyva 2006/48/EB dėl kredito įstaigų veiklos pradėjimo ir vykdymo (nauja redakcija) (OL 2006 L 177,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5E566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0.wmf"/>
  <Relationship Id="rId16" Type="http://schemas.openxmlformats.org/officeDocument/2006/relationships/control" Target="activeX/activeX10.xml"/>
  <Relationship Id="rId17"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af7aee61f8624080b82c219127cf9779">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4 d." DocPartId="e429ada91135425782fe471ce64aab6b" PartId="3034c270a92648d3a569ae0e53a722b1"/>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5ca99ff6d9e44e8fb068e14c667eed88"/>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418dbfa6f1d24a81bcdc9541da037447"/>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5f6fdd3c21db4e92857512cbf559bdd1"/>
        <Part Type="strDalis" Nr="23" Abbr="2 str. 23 d." DocPartId="5e4a35a4da4c420aa6803f5c19c7bd83" PartId="672121a170e64a9098eaabd5439b0593"/>
        <Part Type="strDalis" Nr="24" Abbr="2 str. 24 d." DocPartId="9e385142735141a2bb876eb6de10be30" PartId="6f2cc55b75114096a49af8cdc281ad42"/>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c4441a91cf54615b484988af1ae2d42"/>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3de9f11aa9a94253a8123d5228e5247c"/>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194e1bafce824293b55178c17c79badf"/>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3 str. 1 d. 19 p." DocPartId="664ee4ccbc8b4e61a2983c7f334efa0a" PartId="56ec68c2eca143e7a5fa60f5cd492a89"/>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c5af4378a9be462eb7ce6b890a2021b4">
    <Part Type="punktas" Nr="1" Abbr="1 p." DocPartId="5a463333b5bd43718a94262b60900201" PartId="ee5cba38afe9403d8c1f9f0c259eb62b"/>
  </Part>
</Parts>
</file>

<file path=customXml/itemProps1.xml><?xml version="1.0" encoding="utf-8"?>
<ds:datastoreItem xmlns:ds="http://schemas.openxmlformats.org/officeDocument/2006/customXml" ds:itemID="{C4BD0D3D-0CE7-47C5-8E45-C52351AE636F}">
  <ds:schemaRefs>
    <ds:schemaRef ds:uri="http://lrs.lt/TAIS/DocParts"/>
  </ds:schemaRefs>
</ds:datastoreItem>
</file>

<file path=docProps/app.xml><?xml version="1.0" encoding="utf-8"?>
<Properties xmlns="http://schemas.openxmlformats.org/officeDocument/2006/extended-properties">
  <Template>Normal.dotm</Template>
  <TotalTime>16</TotalTime>
  <Pages>26</Pages>
  <Words>61400</Words>
  <Characters>34998</Characters>
  <Application>Microsoft Office Word</Application>
  <DocSecurity>0</DocSecurity>
  <Lines>291</Lines>
  <Paragraphs>192</Paragraphs>
  <ScaleCrop>false</ScaleCrop>
  <Company/>
  <LinksUpToDate>false</LinksUpToDate>
  <CharactersWithSpaces>96206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2016-12-01T13:21:00Z</dcterms:modified>
  <revision>23</revision>
</coreProperties>
</file>