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fa76d869cf9491da0ee0d25edc2956f"/>
        <w:lock w:val="sdtLocked"/>
        <w:richText/>
      </w:sdtPr>
      <w:sdtContent>
        <w:p>
          <w:pPr>
            <w:jc w:val="both"/>
            <w:rPr>
              <w:rFonts w:ascii="Times New Roman" w:hAnsi="Times New Roman"/>
            </w:rPr>
          </w:pPr>
          <w:r>
            <w:rPr>
              <w:rFonts w:ascii="Times New Roman" w:hAnsi="Times New Roman"/>
              <w:b/>
              <w:i/>
            </w:rPr>
            <w:t>Suvestinė redakcija nuo 2009-12-28 iki 2011-05-02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5ca99ff6d9e44e8fb068e14c667eed88"/>
                    <w:lock w:val="sdtLocked"/>
                    <w:richText/>
                  </w:sdtPr>
                  <w:sdtContent>
                    <w:p>
                      <w:pPr>
                        <w:widowControl w:val="0"/>
                        <w:ind w:firstLine="709"/>
                        <w:jc w:val="both"/>
                        <w:rPr>
                          <w:color w:val="000000"/>
                        </w:rPr>
                      </w:pPr>
                      <w:sdt>
                        <w:sdtPr>
                          <w:alias w:val="Numeris"/>
                          <w:tag w:val="nr_5ca99ff6d9e44e8fb068e14c667eed88"/>
                          <w:lock w:val="sdtLocked"/>
                          <w:richText/>
                        </w:sdtPr>
                        <w:sdtContent>
                          <w:r>
                            <w:t>7</w:t>
                          </w:r>
                        </w:sdtContent>
                      </w:sdt>
                      <w:r>
                        <w:t xml:space="preserve">. Finansų įmonė – 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19 punktuose nurodytų finansinių paslaugų teikimu.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3 d."/>
                    <w:tag w:val="part_672121a170e64a9098eaabd5439b0593"/>
                    <w:lock w:val="sdtLocked"/>
                    <w:richText/>
                  </w:sdtPr>
                  <w:sdtContent>
                    <w:p>
                      <w:pPr>
                        <w:widowControl w:val="0"/>
                        <w:ind w:firstLine="708"/>
                        <w:jc w:val="both"/>
                        <w:rPr>
                          <w:color w:val="000000"/>
                        </w:rPr>
                      </w:pPr>
                      <w:sdt>
                        <w:sdtPr>
                          <w:alias w:val="Numeris"/>
                          <w:tag w:val="nr_672121a170e64a9098eaabd5439b0593"/>
                          <w:lock w:val="sdtLocked"/>
                          <w:richText/>
                        </w:sdtPr>
                        <w:sdtContent>
                          <w:r>
                            <w:rPr>
                              <w:color w:val="000000"/>
                            </w:rPr>
                            <w:t>23</w:t>
                          </w:r>
                        </w:sdtContent>
                      </w:sdt>
                      <w:r>
                        <w:rPr>
                          <w:color w:val="000000"/>
                        </w:rPr>
                        <w:t xml:space="preserve">. </w:t>
                      </w:r>
                      <w:r>
                        <w:rPr>
                          <w:b/>
                          <w:bCs/>
                          <w:color w:val="000000"/>
                        </w:rPr>
                        <w:t xml:space="preserve">Kredito įstaiga – </w:t>
                      </w:r>
                      <w:r>
                        <w:rPr>
                          <w:color w:val="000000"/>
                        </w:rPr>
                        <w:t>įmonė, kuri turi licenciją verstis ir verčiasi indėlių ar kitų grąžintinų lėšų priėmimu iš neprofesionalių rinkos dalyvių ir jų skolinimu arba elektroninių pinigų išleidimu ir tvarkymu.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4 d."/>
                    <w:tag w:val="part_6f2cc55b75114096a49af8cdc281ad42"/>
                    <w:lock w:val="sdtLocked"/>
                    <w:richText/>
                  </w:sdtPr>
                  <w:sdtContent>
                    <w:p>
                      <w:pPr>
                        <w:widowControl w:val="0"/>
                        <w:ind w:firstLine="708"/>
                        <w:jc w:val="both"/>
                        <w:rPr>
                          <w:color w:val="000000"/>
                        </w:rPr>
                      </w:pPr>
                      <w:sdt>
                        <w:sdtPr>
                          <w:alias w:val="Numeris"/>
                          <w:tag w:val="nr_6f2cc55b75114096a49af8cdc281ad42"/>
                          <w:lock w:val="sdtLocked"/>
                          <w:richText/>
                        </w:sdtPr>
                        <w:sdtContent>
                          <w:r>
                            <w:rPr>
                              <w:color w:val="000000"/>
                            </w:rPr>
                            <w:t>24</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c4441a91cf54615b484988af1ae2d42"/>
                    <w:lock w:val="sdtLocked"/>
                    <w:richText/>
                  </w:sdtPr>
                  <w:sdtContent>
                    <w:p>
                      <w:pPr>
                        <w:widowControl w:val="0"/>
                        <w:ind w:firstLine="708"/>
                        <w:jc w:val="both"/>
                        <w:rPr>
                          <w:color w:val="000000"/>
                        </w:rPr>
                      </w:pPr>
                      <w:sdt>
                        <w:sdtPr>
                          <w:alias w:val="Numeris"/>
                          <w:tag w:val="nr_1c4441a91cf54615b484988af1ae2d42"/>
                          <w:lock w:val="sdtLocked"/>
                          <w:richText/>
                        </w:sdtPr>
                        <w:sdtContent>
                          <w:r>
                            <w:rPr>
                              <w:color w:val="000000"/>
                            </w:rPr>
                            <w:t>27</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194e1bafce824293b55178c17c79badf"/>
                        <w:lock w:val="sdtLocked"/>
                        <w:richText/>
                      </w:sdtPr>
                      <w:sdtContent>
                        <w:p>
                          <w:pPr>
                            <w:widowControl w:val="0"/>
                            <w:ind w:firstLine="708"/>
                            <w:jc w:val="both"/>
                            <w:rPr>
                              <w:color w:val="000000"/>
                            </w:rPr>
                          </w:pPr>
                          <w:sdt>
                            <w:sdtPr>
                              <w:alias w:val="Numeris"/>
                              <w:tag w:val="nr_194e1bafce824293b55178c17c79badf"/>
                              <w:lock w:val="sdtLocked"/>
                              <w:richText/>
                            </w:sdtPr>
                            <w:sdtContent>
                              <w:r>
                                <w:rPr>
                                  <w:color w:val="000000"/>
                                </w:rPr>
                                <w:t>2</w:t>
                              </w:r>
                            </w:sdtContent>
                          </w:sdt>
                          <w:r>
                            <w:rPr>
                              <w:color w:val="000000"/>
                            </w:rPr>
                            <w:t>) klientai yra susiję tokiais tarpusavio ryšiais, kad jeigu vienas iš jų negalėtų įvykdyti savo įsipareigojimų finansų įstaigai, kiltų sunkumų ir kitam arba kitiems klientams įvykdyti įsipareigojimus šiai finansų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4b4db8b347bf419c8762dd0238b39767"/>
                        <w:lock w:val="sdtLocked"/>
                        <w:richText/>
                      </w:sdtPr>
                      <w:sdtContent>
                        <w:p>
                          <w:pPr>
                            <w:ind w:firstLine="708"/>
                            <w:jc w:val="both"/>
                          </w:pPr>
                          <w:sdt>
                            <w:sdtPr>
                              <w:alias w:val="Numeris"/>
                              <w:tag w:val="nr_4b4db8b347bf419c8762dd0238b39767"/>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51b151f9d3e242ff955f90620854ceaa"/>
                        <w:lock w:val="sdtLocked"/>
                        <w:richText/>
                      </w:sdtPr>
                      <w:sdtContent>
                        <w:p>
                          <w:pPr>
                            <w:ind w:firstLine="708"/>
                            <w:jc w:val="both"/>
                          </w:pPr>
                          <w:sdt>
                            <w:sdtPr>
                              <w:alias w:val="Numeris"/>
                              <w:tag w:val="nr_51b151f9d3e242ff955f90620854ceaa"/>
                              <w:lock w:val="sdtLocked"/>
                              <w:richText/>
                            </w:sdtPr>
                            <w:sdtContent>
                              <w:r>
                                <w:rPr>
                                  <w:color w:val="000000"/>
                                </w:rPr>
                                <w:t>18</w:t>
                              </w:r>
                            </w:sdtContent>
                          </w:sdt>
                          <w:r>
                            <w:rPr>
                              <w:color w:val="000000"/>
                            </w:rPr>
                            <w:t>) elektroninių pinigų išleidimas ir tvarkymas;</w:t>
                          </w:r>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286020572ef844b3946cb666f2365a54"/>
        <w:lock w:val="sdtLocked"/>
        <w:richText/>
      </w:sdtPr>
      <w:sdtContent>
        <w:p>
          <w:pPr>
            <w:widowControl w:val="0"/>
            <w:suppressAutoHyphens/>
            <w:ind w:left="4535"/>
            <w:rPr>
              <w:color w:val="000000"/>
            </w:rPr>
          </w:pPr>
          <w:r>
            <w:rPr>
              <w:color w:val="000000"/>
            </w:rPr>
            <w:t>Lietuvos Respublikos</w:t>
          </w:r>
        </w:p>
        <w:p>
          <w:pPr>
            <w:widowControl w:val="0"/>
            <w:suppressAutoHyphens/>
            <w:ind w:left="4535"/>
            <w:rPr>
              <w:color w:val="000000"/>
            </w:rPr>
          </w:pPr>
          <w:r>
            <w:rPr>
              <w:color w:val="000000"/>
            </w:rPr>
            <w:t>finansų įstaigų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286020572ef844b3946cb666f2365a54"/>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e4346569486d4b17a587f5585ee3cd0f"/>
            <w:lock w:val="sdtLocked"/>
            <w:richText/>
          </w:sdtPr>
          <w:sdtContent>
            <w:p>
              <w:pPr>
                <w:widowControl w:val="0"/>
                <w:suppressAutoHyphens/>
                <w:ind w:firstLine="567"/>
                <w:jc w:val="both"/>
                <w:rPr>
                  <w:color w:val="000000"/>
                </w:rPr>
              </w:pPr>
              <w:sdt>
                <w:sdtPr>
                  <w:alias w:val="Numeris"/>
                  <w:tag w:val="nr_e4346569486d4b17a587f5585ee3cd0f"/>
                  <w:lock w:val="sdtLocked"/>
                  <w:richText/>
                </w:sdtPr>
                <w:sdtContent>
                  <w:r>
                    <w:rPr>
                      <w:color w:val="000000"/>
                    </w:rPr>
                    <w:t>1</w:t>
                  </w:r>
                </w:sdtContent>
              </w:sdt>
              <w:r>
                <w:rPr>
                  <w:color w:val="000000"/>
                </w:rPr>
                <w:t>. 2006 m. birželio 14 d. Europos Parlamento ir Tarybos direktyva 2006/48/EB dėl kredito įstaigų veiklos pradėjimo ir vykdymo (nauja redakcija) (OL 2006 L 177, p. 1).</w:t>
              </w:r>
            </w:p>
          </w:sdtContent>
        </w:sdt>
        <w:sdt>
          <w:sdtPr>
            <w:alias w:val="pr. 2 p."/>
            <w:tag w:val="part_13b53beb66e54e8eb872f36cb30ed003"/>
            <w:lock w:val="sdtLocked"/>
            <w:richText/>
          </w:sdtPr>
          <w:sdtContent>
            <w:p>
              <w:pPr>
                <w:widowControl w:val="0"/>
                <w:suppressAutoHyphens/>
                <w:ind w:firstLine="567"/>
                <w:jc w:val="both"/>
              </w:pPr>
              <w:sdt>
                <w:sdtPr>
                  <w:alias w:val="Numeris"/>
                  <w:tag w:val="nr_13b53beb66e54e8eb872f36cb30ed003"/>
                  <w:lock w:val="sdtLocked"/>
                  <w:richText/>
                </w:sdtPr>
                <w:sdtContent>
                  <w:r>
                    <w:rPr>
                      <w:color w:val="000000"/>
                    </w:rPr>
                    <w:t>2</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00AC93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2.wmf"/>
  <Relationship Id="rId16" Type="http://schemas.openxmlformats.org/officeDocument/2006/relationships/control" Target="activeX/activeX12.xml"/>
  <Relationship Id="rId17" Type="http://schemas.openxmlformats.org/officeDocument/2006/relationships/customXml" Target="../customXml/item1.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cfa76d869cf9491da0ee0d25edc2956f">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5ca99ff6d9e44e8fb068e14c667eed88"/>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5f6fdd3c21db4e92857512cbf559bdd1"/>
        <Part Type="strDalis" Nr="23" Abbr="2 str. 23 d." DocPartId="5e4a35a4da4c420aa6803f5c19c7bd83" PartId="672121a170e64a9098eaabd5439b0593"/>
        <Part Type="strDalis" Nr="24" Abbr="2 str. 24 d." DocPartId="9e385142735141a2bb876eb6de10be30" PartId="6f2cc55b75114096a49af8cdc281ad42"/>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c4441a91cf54615b484988af1ae2d42"/>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3de9f11aa9a94253a8123d5228e5247c"/>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194e1bafce824293b55178c17c79badf"/>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4b4db8b347bf419c8762dd0238b39767"/>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51b151f9d3e242ff955f90620854ceaa"/>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286020572ef844b3946cb666f2365a54">
    <Part Type="punktas" Nr="1" Abbr="pr. 1 p." DocPartId="4347082785d942a3aa94831f55b108ae" PartId="e4346569486d4b17a587f5585ee3cd0f"/>
    <Part Type="punktas" Nr="2" Abbr="pr. 2 p." DocPartId="8f4abf55e06f40018f5100d61e9b629d" PartId="13b53beb66e54e8eb872f36cb30ed003"/>
  </Part>
</Parts>
</file>

<file path=customXml/itemProps1.xml><?xml version="1.0" encoding="utf-8"?>
<ds:datastoreItem xmlns:ds="http://schemas.openxmlformats.org/officeDocument/2006/customXml" ds:itemID="{2FD3EB3F-382D-4F44-909D-08AD50EFBB23}">
  <ds:schemaRefs>
    <ds:schemaRef ds:uri="http://lrs.lt/TAIS/DocParts"/>
  </ds:schemaRefs>
</ds:datastoreItem>
</file>

<file path=docProps/app.xml><?xml version="1.0" encoding="utf-8"?>
<Properties xmlns="http://schemas.openxmlformats.org/officeDocument/2006/extended-properties">
  <Template>Normal.dotm</Template>
  <TotalTime>18</TotalTime>
  <Pages>26</Pages>
  <Words>60199</Words>
  <Characters>34314</Characters>
  <Application>Microsoft Office Word</Application>
  <DocSecurity>0</DocSecurity>
  <Lines>285</Lines>
  <Paragraphs>188</Paragraphs>
  <ScaleCrop>false</ScaleCrop>
  <Company/>
  <LinksUpToDate>false</LinksUpToDate>
  <CharactersWithSpaces>94325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2016-12-01T13:27:00Z</dcterms:modified>
  <revision>27</revision>
</coreProperties>
</file>