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2e23199a153419ea6c1cce80edb501f"/>
        <w:lock w:val="sdtLocked"/>
        <w:richText/>
      </w:sdtPr>
      <w:sdtContent>
        <w:p>
          <w:pPr>
            <w:jc w:val="both"/>
            <w:rPr>
              <w:rFonts w:ascii="Times New Roman" w:hAnsi="Times New Roman"/>
            </w:rPr>
          </w:pPr>
          <w:r>
            <w:rPr>
              <w:rFonts w:ascii="Times New Roman" w:hAnsi="Times New Roman"/>
              <w:b/>
              <w:i/>
            </w:rPr>
            <w:t>Suvestinė redakcija nuo 2011-09-01 iki 2011-12-31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5ca99ff6d9e44e8fb068e14c667eed88"/>
                    <w:lock w:val="sdtLocked"/>
                    <w:richText/>
                  </w:sdtPr>
                  <w:sdtContent>
                    <w:p>
                      <w:pPr>
                        <w:widowControl w:val="0"/>
                        <w:ind w:firstLine="709"/>
                        <w:jc w:val="both"/>
                        <w:rPr>
                          <w:color w:val="000000"/>
                        </w:rPr>
                      </w:pPr>
                      <w:sdt>
                        <w:sdtPr>
                          <w:alias w:val="Numeris"/>
                          <w:tag w:val="nr_5ca99ff6d9e44e8fb068e14c667eed88"/>
                          <w:lock w:val="sdtLocked"/>
                          <w:richText/>
                        </w:sdtPr>
                        <w:sdtContent>
                          <w:r>
                            <w:t>7</w:t>
                          </w:r>
                        </w:sdtContent>
                      </w:sdt>
                      <w:r>
                        <w:t xml:space="preserve">. Finansų įmonė – 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19 punktuose nurodytų finansinių paslaugų teikimu.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9374402661de42338b2b6155a2ad1e30"/>
                    <w:lock w:val="sdtLocked"/>
                    <w:richText/>
                  </w:sdtPr>
                  <w:sdtContent>
                    <w:p>
                      <w:pPr>
                        <w:widowControl w:val="0"/>
                        <w:ind w:firstLine="708"/>
                        <w:jc w:val="both"/>
                        <w:rPr>
                          <w:color w:val="000000"/>
                        </w:rPr>
                      </w:pPr>
                      <w:sdt>
                        <w:sdtPr>
                          <w:alias w:val="Numeris"/>
                          <w:tag w:val="nr_9374402661de42338b2b6155a2ad1e30"/>
                          <w:lock w:val="sdtLocked"/>
                          <w:richText/>
                        </w:sdtPr>
                        <w:sdtContent>
                          <w:r>
                            <w:rPr>
                              <w:color w:val="000000"/>
                            </w:rPr>
                            <w:t>24</w:t>
                          </w:r>
                        </w:sdtContent>
                      </w:sdt>
                      <w:r>
                        <w:rPr>
                          <w:color w:val="000000"/>
                        </w:rPr>
                        <w:t xml:space="preserve">. </w:t>
                      </w:r>
                      <w:r>
                        <w:rPr>
                          <w:b/>
                          <w:bCs/>
                          <w:color w:val="000000"/>
                        </w:rPr>
                        <w:t xml:space="preserve">Kredito įstaiga – </w:t>
                      </w:r>
                      <w:r>
                        <w:rPr>
                          <w:color w:val="000000"/>
                        </w:rPr>
                        <w:t>įmonė, kuri turi licenciją verstis ir verčiasi indėlių ar kitų grąžintinų lėšų priėmimu iš neprofesionalių rinkos dalyvių ir jų skolinimu arba elektroninių pinigų išleidimu ir tvarkymu.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af2dd1869a2141d28b69965fae062698"/>
                    <w:lock w:val="sdtLocked"/>
                    <w:richText/>
                  </w:sdtPr>
                  <w:sdtContent>
                    <w:p>
                      <w:pPr>
                        <w:widowControl w:val="0"/>
                        <w:ind w:firstLine="708"/>
                        <w:jc w:val="both"/>
                        <w:rPr>
                          <w:color w:val="000000"/>
                        </w:rPr>
                      </w:pPr>
                      <w:sdt>
                        <w:sdtPr>
                          <w:alias w:val="Numeris"/>
                          <w:tag w:val="nr_af2dd1869a2141d28b69965fae062698"/>
                          <w:lock w:val="sdtLocked"/>
                          <w:richText/>
                        </w:sdtPr>
                        <w:sdtContent>
                          <w:r>
                            <w:rPr>
                              <w:color w:val="000000"/>
                            </w:rPr>
                            <w:t>28</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a9f7f2cf78324babb6f8484f96971deb"/>
                    <w:lock w:val="sdtLocked"/>
                    <w:richText/>
                  </w:sdtPr>
                  <w:sdtContent>
                    <w:p>
                      <w:pPr>
                        <w:ind w:firstLine="708"/>
                        <w:jc w:val="both"/>
                        <w:rPr>
                          <w:color w:val="000000"/>
                        </w:rPr>
                      </w:pPr>
                      <w:sdt>
                        <w:sdtPr>
                          <w:alias w:val="Numeris"/>
                          <w:tag w:val="nr_a9f7f2cf78324babb6f8484f96971deb"/>
                          <w:lock w:val="sdtLocked"/>
                          <w:richText/>
                        </w:sdtPr>
                        <w:sdtContent>
                          <w:r>
                            <w:rPr>
                              <w:color w:val="000000"/>
                            </w:rPr>
                            <w:t>42</w:t>
                          </w:r>
                        </w:sdtContent>
                      </w:sdt>
                      <w:r>
                        <w:rPr>
                          <w:color w:val="000000"/>
                        </w:rPr>
                        <w:t xml:space="preserve">. </w:t>
                      </w:r>
                      <w:r>
                        <w:rPr>
                          <w:b/>
                          <w:color w:val="000000"/>
                        </w:rPr>
                        <w:t>Valiutos keitimas (grynaisiais pinigais)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2 d. 1 p."/>
                        <w:tag w:val="part_1b4118882d8c495399e6f77cce82e896"/>
                        <w:lock w:val="sdtLocked"/>
                        <w:richText/>
                      </w:sdtPr>
                      <w:sdtContent>
                        <w:p>
                          <w:pPr>
                            <w:ind w:firstLine="708"/>
                            <w:jc w:val="both"/>
                            <w:rPr>
                              <w:color w:val="000000"/>
                            </w:rPr>
                          </w:pPr>
                          <w:sdt>
                            <w:sdtPr>
                              <w:alias w:val="Numeris"/>
                              <w:tag w:val="nr_1b4118882d8c495399e6f77cce82e896"/>
                              <w:lock w:val="sdtLocked"/>
                              <w:richText/>
                            </w:sdtPr>
                            <w:sdtContent>
                              <w:r>
                                <w:rPr>
                                  <w:color w:val="000000"/>
                                </w:rPr>
                                <w:t>1</w:t>
                              </w:r>
                            </w:sdtContent>
                          </w:sdt>
                          <w:r>
                            <w:rPr>
                              <w:color w:val="000000"/>
                            </w:rPr>
                            <w:t xml:space="preserve">) užsienio valiutos pirkimas už litus; </w:t>
                          </w:r>
                        </w:p>
                      </w:sdtContent>
                    </w:sdt>
                    <w:sdt>
                      <w:sdtPr>
                        <w:alias w:val="2 str. 42 d. 2 p."/>
                        <w:tag w:val="part_60fe949241834af7b7ac9307382ad091"/>
                        <w:lock w:val="sdtLocked"/>
                        <w:richText/>
                      </w:sdtPr>
                      <w:sdtContent>
                        <w:p>
                          <w:pPr>
                            <w:ind w:firstLine="708"/>
                            <w:jc w:val="both"/>
                            <w:rPr>
                              <w:color w:val="000000"/>
                            </w:rPr>
                          </w:pPr>
                          <w:sdt>
                            <w:sdtPr>
                              <w:alias w:val="Numeris"/>
                              <w:tag w:val="nr_60fe949241834af7b7ac9307382ad091"/>
                              <w:lock w:val="sdtLocked"/>
                              <w:richText/>
                            </w:sdtPr>
                            <w:sdtContent>
                              <w:r>
                                <w:rPr>
                                  <w:color w:val="000000"/>
                                </w:rPr>
                                <w:t>2</w:t>
                              </w:r>
                            </w:sdtContent>
                          </w:sdt>
                          <w:r>
                            <w:rPr>
                              <w:color w:val="000000"/>
                            </w:rPr>
                            <w:t xml:space="preserve">) užsienio valiutos pardavimas už litus. </w:t>
                          </w:r>
                        </w:p>
                      </w:sdtContent>
                    </w:sdt>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6320f4c1d82e42f0b0400202dd9dfc29"/>
                    <w:lock w:val="sdtLocked"/>
                    <w:richText/>
                  </w:sdtPr>
                  <w:sdtContent>
                    <w:p>
                      <w:pPr>
                        <w:widowControl w:val="0"/>
                        <w:suppressAutoHyphens/>
                        <w:ind w:firstLine="708"/>
                        <w:jc w:val="both"/>
                        <w:rPr>
                          <w:color w:val="000000"/>
                        </w:rPr>
                      </w:pPr>
                      <w:sdt>
                        <w:sdtPr>
                          <w:alias w:val="Numeris"/>
                          <w:tag w:val="nr_6320f4c1d82e42f0b0400202dd9dfc29"/>
                          <w:lock w:val="sdtLocked"/>
                          <w:richText/>
                        </w:sdtPr>
                        <w:sdtContent>
                          <w:r>
                            <w:rPr>
                              <w:color w:val="000000"/>
                            </w:rPr>
                            <w:t>1</w:t>
                          </w:r>
                        </w:sdtContent>
                      </w:sdt>
                      <w:r>
                        <w:rPr>
                          <w:color w:val="000000"/>
                        </w:rPr>
                        <w:t>. Finansų įstaiga – finansų įmonė arba kredito įstaiga, kuri atitinka abu šio Įstatymo 2 straipsnio 43 dalyje nustatytus reikalavimus ir verčiasi bent vienos iš šio Įstatymo 3 straipsnyje nurodytų finansinių paslaugų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176321737287459f8151501c72d13d2b"/>
                        <w:lock w:val="sdtLocked"/>
                        <w:richText/>
                      </w:sdtPr>
                      <w:sdtContent>
                        <w:p>
                          <w:pPr>
                            <w:widowControl w:val="0"/>
                            <w:suppressAutoHyphens/>
                            <w:ind w:firstLine="708"/>
                            <w:jc w:val="both"/>
                            <w:rPr>
                              <w:color w:val="000000"/>
                            </w:rPr>
                          </w:pPr>
                          <w:sdt>
                            <w:sdtPr>
                              <w:alias w:val="Numeris"/>
                              <w:tag w:val="nr_176321737287459f8151501c72d13d2b"/>
                              <w:lock w:val="sdtLocked"/>
                              <w:richText/>
                            </w:sdtPr>
                            <w:sdtContent>
                              <w:r>
                                <w:rPr>
                                  <w:color w:val="000000"/>
                                </w:rPr>
                                <w:t>4</w:t>
                              </w:r>
                            </w:sdtContent>
                          </w:sdt>
                          <w:r>
                            <w:rPr>
                              <w:color w:val="000000"/>
                            </w:rPr>
                            <w:t>) nustatyti prižiūrimoms finansų įstaigoms apskaitos reikalavimus, finansinių ir priežiūrai skirtų ataskaitų formą, turinį ir pateikimo priežiūros institucijai terminus;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605a214f02144b21aa164d6b02076833"/>
                        <w:lock w:val="sdtLocked"/>
                        <w:richText/>
                      </w:sdtPr>
                      <w:sdtContent>
                        <w:p>
                          <w:pPr>
                            <w:widowControl w:val="0"/>
                            <w:suppressAutoHyphens/>
                            <w:ind w:firstLine="708"/>
                            <w:jc w:val="both"/>
                            <w:rPr>
                              <w:color w:val="000000"/>
                            </w:rPr>
                          </w:pPr>
                          <w:sdt>
                            <w:sdtPr>
                              <w:alias w:val="Numeris"/>
                              <w:tag w:val="nr_605a214f02144b21aa164d6b02076833"/>
                              <w:lock w:val="sdtLocked"/>
                              <w:richText/>
                            </w:sdtPr>
                            <w:sdtContent>
                              <w:r>
                                <w:rPr>
                                  <w:color w:val="000000"/>
                                </w:rPr>
                                <w:t>2</w:t>
                              </w:r>
                            </w:sdtContent>
                          </w:sdt>
                          <w:r>
                            <w:rPr>
                              <w:color w:val="000000"/>
                            </w:rPr>
                            <w:t>) dokumentinė priežiūra: analizuojama ir vertinama finansų įstaigos veikla remiantis jos pateiktais finansinių ataskaitų rinkiniais ir kita iš finansų įstaigų bei kitų šaltinių gauta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286020572ef844b3946cb666f2365a54"/>
        <w:lock w:val="sdtLocked"/>
        <w:richText/>
      </w:sdtPr>
      <w:sdtContent>
        <w:p>
          <w:pPr>
            <w:widowControl w:val="0"/>
            <w:suppressAutoHyphens/>
            <w:ind w:left="4535"/>
            <w:rPr>
              <w:color w:val="000000"/>
            </w:rPr>
          </w:pPr>
          <w:r>
            <w:rPr>
              <w:color w:val="000000"/>
            </w:rPr>
            <w:t>Lietuvos Respublikos</w:t>
          </w:r>
        </w:p>
        <w:p>
          <w:pPr>
            <w:widowControl w:val="0"/>
            <w:suppressAutoHyphens/>
            <w:ind w:left="4535"/>
            <w:rPr>
              <w:color w:val="000000"/>
            </w:rPr>
          </w:pPr>
          <w:r>
            <w:rPr>
              <w:color w:val="000000"/>
            </w:rPr>
            <w:t>finansų įstaigų įstatymo</w:t>
          </w:r>
        </w:p>
        <w:p>
          <w:pPr>
            <w:widowControl w:val="0"/>
            <w:suppressAutoHyphens/>
            <w:ind w:left="4535"/>
            <w:rPr>
              <w:color w:val="000000"/>
            </w:rPr>
          </w:pPr>
          <w:r>
            <w:rPr>
              <w:color w:val="000000"/>
            </w:rPr>
            <w:t>priedas</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286020572ef844b3946cb666f2365a54"/>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3a1a5aed1061486183f2108225f42a0d"/>
            <w:lock w:val="sdtLocked"/>
            <w:richText/>
          </w:sdtPr>
          <w:sdtContent>
            <w:p>
              <w:pPr>
                <w:widowControl w:val="0"/>
                <w:suppressAutoHyphens/>
                <w:ind w:firstLine="709"/>
                <w:jc w:val="both"/>
                <w:rPr>
                  <w:color w:val="000000"/>
                </w:rPr>
              </w:pPr>
              <w:sdt>
                <w:sdtPr>
                  <w:alias w:val="Numeris"/>
                  <w:tag w:val="nr_3a1a5aed1061486183f2108225f42a0d"/>
                  <w:lock w:val="sdtLocked"/>
                  <w:richText/>
                </w:sdtPr>
                <w:sdtContent>
                  <w:r>
                    <w:rPr>
                      <w:color w:val="000000"/>
                    </w:rPr>
                    <w:t>1</w:t>
                  </w:r>
                </w:sdtContent>
              </w:sdt>
              <w:r>
                <w:rPr>
                  <w:color w:val="000000"/>
                </w:rPr>
                <w:t>. 2006 m. birželio 14 d. Europos Parlamento ir Tarybos direktyva 2006/48/EB dėl kredito įstaigų veiklos pradėjimo ir vykdymo (nauja redakcija) (OL 2006 L 177, p. 1) su paskutiniais pakeitimais, padarytais 2009 m. rugsėjo 16 d. Europos Parlamento ir Tarybos direktyva 2009/111/EB (OL 2009 L 302, p. 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pr. 2 p."/>
            <w:tag w:val="part_5cd036c4fbbd4b6891b5d52d05d8217a"/>
            <w:lock w:val="sdtLocked"/>
            <w:richText/>
          </w:sdtPr>
          <w:sdtContent>
            <w:p>
              <w:pPr>
                <w:widowControl w:val="0"/>
                <w:suppressAutoHyphens/>
                <w:ind w:firstLine="709"/>
                <w:jc w:val="both"/>
              </w:pPr>
              <w:sdt>
                <w:sdtPr>
                  <w:alias w:val="Numeris"/>
                  <w:tag w:val="nr_5cd036c4fbbd4b6891b5d52d05d8217a"/>
                  <w:lock w:val="sdtLocked"/>
                  <w:richText/>
                </w:sdtPr>
                <w:sdtContent>
                  <w:r>
                    <w:rPr>
                      <w:color w:val="000000"/>
                    </w:rPr>
                    <w:t>2</w:t>
                  </w:r>
                </w:sdtContent>
              </w:sdt>
              <w:r>
                <w:rPr>
                  <w:color w:val="000000"/>
                </w:rPr>
                <w:t>. 2007 m. lapkričio 13 d. Europos Parlamento ir Tarybos direktyva 2007/64/EB dėl mokėjimo paslaugų vidaus rinkoje, iš dalies keičianti direktyvas 97/7/EB, 2002/65/EB, 2005/60/EB ir 2006/48/EB ir panaikinanti Direktyvą 97/5/EB (OL 2007 L 319,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B89D5B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4.wmf"/>
  <Relationship Id="rId16" Type="http://schemas.openxmlformats.org/officeDocument/2006/relationships/control" Target="activeX/activeX14.xml"/>
  <Relationship Id="rId17" Type="http://schemas.openxmlformats.org/officeDocument/2006/relationships/customXml" Target="../customXml/item1.xml"/>
  <Relationship Id="rId2" Type="http://schemas.openxmlformats.org/officeDocument/2006/relationships/header" Target="header41.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72e23199a153419ea6c1cce80edb501f">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5ca99ff6d9e44e8fb068e14c667eed88"/>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9374402661de42338b2b6155a2ad1e30"/>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af2dd1869a2141d28b69965fae062698"/>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a9f7f2cf78324babb6f8484f96971deb">
          <Part Type="strPunktas" Nr="1" Abbr="2 str. 42 d. 1 p." DocPartId="e0868fd6835b43f9945397ecc6c85995" PartId="1b4118882d8c495399e6f77cce82e896"/>
          <Part Type="strPunktas" Nr="2" Abbr="2 str. 42 d. 2 p." DocPartId="d09d482652ad468884e085e16bdca783" PartId="60fe949241834af7b7ac9307382ad091"/>
        </Part>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6320f4c1d82e42f0b0400202dd9dfc29"/>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176321737287459f8151501c72d13d2b"/>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605a214f02144b21aa164d6b02076833"/>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286020572ef844b3946cb666f2365a54">
    <Part Type="punktas" Nr="1" Abbr="pr. 1 p." DocPartId="4347082785d942a3aa94831f55b108ae" PartId="3a1a5aed1061486183f2108225f42a0d"/>
    <Part Type="punktas" Nr="2" Abbr="pr. 2 p." DocPartId="8f4abf55e06f40018f5100d61e9b629d" PartId="5cd036c4fbbd4b6891b5d52d05d8217a"/>
  </Part>
</Parts>
</file>

<file path=customXml/itemProps1.xml><?xml version="1.0" encoding="utf-8"?>
<ds:datastoreItem xmlns:ds="http://schemas.openxmlformats.org/officeDocument/2006/customXml" ds:itemID="{71B2CC2F-307D-4078-932E-AAF9340B1E2C}">
  <ds:schemaRefs>
    <ds:schemaRef ds:uri="http://lrs.lt/TAIS/DocParts"/>
  </ds:schemaRefs>
</ds:datastoreItem>
</file>

<file path=docProps/app.xml><?xml version="1.0" encoding="utf-8"?>
<Properties xmlns="http://schemas.openxmlformats.org/officeDocument/2006/extended-properties">
  <Template>Normal.dotm</Template>
  <TotalTime>27</TotalTime>
  <Pages>26</Pages>
  <Words>59966</Words>
  <Characters>34182</Characters>
  <Application>Microsoft Office Word</Application>
  <DocSecurity>0</DocSecurity>
  <Lines>284</Lines>
  <Paragraphs>187</Paragraphs>
  <ScaleCrop>false</ScaleCrop>
  <Company/>
  <LinksUpToDate>false</LinksUpToDate>
  <CharactersWithSpaces>93961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2016-12-01T13:42:00Z</dcterms:modified>
  <revision>31</revision>
</coreProperties>
</file>