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b13046c762140cca2e13469e10ccd25"/>
        <w:lock w:val="sdtLocked"/>
        <w:richText/>
      </w:sdtPr>
      <w:sdtContent>
        <w:p>
          <w:pPr>
            <w:jc w:val="both"/>
            <w:rPr>
              <w:rFonts w:ascii="Times New Roman" w:hAnsi="Times New Roman"/>
            </w:rPr>
          </w:pPr>
          <w:r>
            <w:rPr>
              <w:rFonts w:ascii="Times New Roman" w:hAnsi="Times New Roman"/>
              <w:b/>
              <w:i/>
            </w:rPr>
            <w:t>Suvestinė redakcija nuo 2022-07-22 iki 2022-11-09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39049fc4fe9c486c8e19828820102ee6"/>
                        <w:lock w:val="sdtLocked"/>
                        <w:richText/>
                      </w:sdtPr>
                      <w:sdtContent>
                        <w:p>
                          <w:pPr>
                            <w:ind w:firstLine="720"/>
                            <w:jc w:val="both"/>
                          </w:pPr>
                          <w:sdt>
                            <w:sdtPr>
                              <w:alias w:val="Numeris"/>
                              <w:tag w:val="nr_39049fc4fe9c486c8e19828820102ee6"/>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e1cd51c93c7e4b67b4eb7fd9390450c2"/>
                        <w:lock w:val="sdtLocked"/>
                        <w:richText/>
                      </w:sdtPr>
                      <w:sdtContent>
                        <w:p>
                          <w:pPr>
                            <w:ind w:firstLine="720"/>
                            <w:jc w:val="both"/>
                          </w:pPr>
                          <w:sdt>
                            <w:sdtPr>
                              <w:alias w:val="Numeris"/>
                              <w:tag w:val="nr_e1cd51c93c7e4b67b4eb7fd9390450c2"/>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045c7b9f33ee4e389fea8dafee422294"/>
                    <w:lock w:val="sdtLocked"/>
                    <w:richText/>
                  </w:sdtPr>
                  <w:sdtContent>
                    <w:p>
                      <w:pPr>
                        <w:ind w:firstLine="720"/>
                        <w:jc w:val="both"/>
                        <w:rPr>
                          <w:color w:val="000000"/>
                        </w:rPr>
                      </w:pPr>
                      <w:sdt>
                        <w:sdtPr>
                          <w:alias w:val="Numeris"/>
                          <w:tag w:val="nr_045c7b9f33ee4e389fea8dafee422294"/>
                          <w:lock w:val="sdtLocked"/>
                          <w:richText/>
                        </w:sdtPr>
                        <w:sdtContent>
                          <w:r>
                            <w:rPr>
                              <w:color w:val="000000"/>
                              <w:szCs w:val="24"/>
                            </w:rPr>
                            <w:t>2</w:t>
                          </w:r>
                        </w:sdtContent>
                      </w:sdt>
                      <w:r>
                        <w:rPr>
                          <w:color w:val="000000"/>
                          <w:szCs w:val="24"/>
                        </w:rPr>
                        <w:t>. Finansų įstaigomis nelaikomi informuotiesiems investuotojams skirti kolektyvinio investavimo subjektai ir tik šiuos subjektus valdančios valdymo įmonės, taip pat specialiosios paskirties bendrovės, nurodytos Lietuvos Respublikos pakeitimo vertybiniais popieriais ir padengtųjų obligacijų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9d2987252940494f8bb9b7055c9b2840"/>
                    <w:lock w:val="sdtLocked"/>
                    <w:richText/>
                  </w:sdtPr>
                  <w:sdtContent>
                    <w:p>
                      <w:pPr>
                        <w:ind w:firstLine="720"/>
                        <w:jc w:val="both"/>
                      </w:pPr>
                      <w:sdt>
                        <w:sdtPr>
                          <w:alias w:val="Numeris"/>
                          <w:tag w:val="nr_9d2987252940494f8bb9b7055c9b2840"/>
                          <w:lock w:val="sdtLocked"/>
                          <w:richText/>
                        </w:sdtPr>
                        <w:sdtContent>
                          <w:r>
                            <w:rPr>
                              <w:szCs w:val="24"/>
                            </w:rPr>
                            <w:t>6</w:t>
                          </w:r>
                        </w:sdtContent>
                      </w:sdt>
                      <w:r>
                        <w:rPr>
                          <w:szCs w:val="24"/>
                        </w:rPr>
                        <w:t xml:space="preserve">. </w:t>
                      </w:r>
                      <w:r>
                        <w:rPr>
                          <w:i/>
                          <w:sz w:val="20"/>
                        </w:rPr>
                        <w:t>Neteko galios nuo 2022-07-22</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
                  <w:sdtPr>
                    <w:alias w:val="4 str. 7 d."/>
                    <w:tag w:val="part_bbb75fc1559543529257256eb591ca91"/>
                    <w:lock w:val="sdtLocked"/>
                    <w:richText/>
                  </w:sdtPr>
                  <w:sdtContent>
                    <w:p>
                      <w:pPr>
                        <w:ind w:firstLine="720"/>
                        <w:jc w:val="both"/>
                      </w:pPr>
                      <w:sdt>
                        <w:sdtPr>
                          <w:alias w:val="Numeris"/>
                          <w:tag w:val="nr_bbb75fc1559543529257256eb591ca91"/>
                          <w:lock w:val="sdtLocked"/>
                          <w:richText/>
                        </w:sdtPr>
                        <w:sdtContent>
                          <w:r>
                            <w:t>7</w:t>
                          </w:r>
                        </w:sdtContent>
                      </w:sdt>
                      <w:r>
                        <w:t>. Finansų įstaigos, teikiančios šio Įstatymo 3 straipsnio 1 dalies 2, 3 ir 21 punktuose nurodytas finansines paslaugas ir atitinkančios priežiūros institucijos nustatyta tvarka apskaičiuotą reikšmingumo kriterijų pagal užimamą rinkos dalį, priežiūros institucijai privalo teikti duomenis apie šio Įstatymo 3 straipsnio 1 dalies 2, 3 ir 21 punktuose nurodytų finansinių paslaugų gavėjus ir turi teisę naudotis šiais duomenimis priežiūros institucijos nustatyta tvarka. Priežiūros institucija savo nustatyta tvarka ir vadovaudamasi asmens duomenų apsaugą reglamentuojančiais teisės aktais turi teisę kaupti ir kitaip tvarkyti duomenis apie šio Įstatymo 3 straipsnio 1 dalies 2, 3 ir 21 punktuose nurodytų finansinių paslaugų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7448f002b011edb32c9f9d8ba206f8">
                        <w:r w:rsidRPr="00532B9F">
                          <w:rPr>
                            <w:rFonts w:ascii="Times New Roman" w:eastAsia="MS Mincho" w:hAnsi="Times New Roman"/>
                            <w:sz w:val="20"/>
                            <w:i/>
                            <w:iCs/>
                            <w:color w:val="0000FF" w:themeColor="hyperlink"/>
                            <w:u w:val="single"/>
                          </w:rPr>
                          <w:t>XIV-1336</w:t>
                        </w:r>
                      </w:fldSimple>
                      <w:r>
                        <w:rPr>
                          <w:rFonts w:ascii="Times New Roman" w:eastAsia="MS Mincho" w:hAnsi="Times New Roman"/>
                          <w:sz w:val="20"/>
                          <w:i/>
                          <w:iCs/>
                        </w:rPr>
                        <w:t>,
2022-06-30,
paskelbta TAR 2022-07-13, i. k. 2022-15401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a6c3b67e8bd9493582778d4752202e3a"/>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a6c3b67e8bd9493582778d4752202e3a"/>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7448f002b011edb32c9f9d8ba206f8">
            <w:r w:rsidRPr="00532B9F">
              <w:rPr>
                <w:rFonts w:ascii="Times New Roman" w:eastAsia="MS Mincho" w:hAnsi="Times New Roman"/>
                <w:sz w:val="20"/>
                <w:iCs/>
                <w:color w:val="0000FF" w:themeColor="hyperlink"/>
                <w:u w:val="single"/>
              </w:rPr>
              <w:t>XIV-1336</w:t>
            </w:r>
          </w:fldSimple>
          <w:r>
            <w:rPr>
              <w:rFonts w:ascii="Times New Roman" w:eastAsia="MS Mincho" w:hAnsi="Times New Roman"/>
              <w:sz w:val="20"/>
              <w:iCs/>
            </w:rPr>
            <w:t>,
2022-06-30,
paskelbta TAR 2022-07-13, i. k. 2022-15401                </w:t>
          </w:r>
        </w:p>
        <w:p>
          <w:pPr>
            <w:jc w:val="both"/>
            <w:rPr>
              <w:rFonts w:ascii="Times New Roman" w:hAnsi="Times New Roman"/>
            </w:rPr>
          </w:pPr>
          <w:r>
            <w:rPr>
              <w:rFonts w:ascii="Times New Roman" w:hAnsi="Times New Roman"/>
              <w:sz w:val="20"/>
            </w:rPr>
            <w:t>Lietuvos Respublikos finansų įstaigų įstatymo Nr. IX-1068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21F0018"/>
  <w15:docId w15:val="{6F1A26D6-DB8C-4B75-9486-0145760C1D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94.xml"/>
  <Relationship Id="rId11" Type="http://schemas.openxmlformats.org/officeDocument/2006/relationships/header" Target="header95.xml"/>
  <Relationship Id="rId12" Type="http://schemas.openxmlformats.org/officeDocument/2006/relationships/footer" Target="footer94.xml"/>
  <Relationship Id="rId13" Type="http://schemas.openxmlformats.org/officeDocument/2006/relationships/footer" Target="footer95.xml"/>
  <Relationship Id="rId14" Type="http://schemas.openxmlformats.org/officeDocument/2006/relationships/header" Target="header96.xml"/>
  <Relationship Id="rId15" Type="http://schemas.openxmlformats.org/officeDocument/2006/relationships/footer" Target="footer9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3.wmf"/>
  <Relationship Id="rId9" Type="http://schemas.openxmlformats.org/officeDocument/2006/relationships/control" Target="activeX/activeX3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34.xml.rels><?xml version="1.0" encoding="UTF-8"?>

<Relationships xmlns="http://schemas.openxmlformats.org/package/2006/relationships">
  <Relationship Id="rId1" Type="http://schemas.microsoft.com/office/2006/relationships/activeXControlBinary" Target="activeX34.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34.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eb13046c762140cca2e13469e10ccd25">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39049fc4fe9c486c8e19828820102ee6"/>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e1cd51c93c7e4b67b4eb7fd9390450c2"/>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045c7b9f33ee4e389fea8dafee422294"/>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9d2987252940494f8bb9b7055c9b2840"/>
        <Part Type="strDalis" Nr="7" Abbr="4 str. 7 d." DocPartId="7e0cbb6bd66e403880180a78ba57161b" PartId="bbb75fc1559543529257256eb591ca91"/>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a6c3b67e8bd9493582778d4752202e3a">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4A59408F-760C-470B-8258-B637EB50743B}">
  <ds:schemaRefs>
    <ds:schemaRef ds:uri="http://lrs.lt/TAIS/DocParts"/>
  </ds:schemaRefs>
</ds:datastoreItem>
</file>

<file path=docProps/app.xml><?xml version="1.0" encoding="utf-8"?>
<Properties xmlns="http://schemas.openxmlformats.org/officeDocument/2006/extended-properties">
  <Template>Normal.dotm</Template>
  <TotalTime>44</TotalTime>
  <Pages>25</Pages>
  <Words>57778</Words>
  <Characters>32935</Characters>
  <Application>Microsoft Office Word</Application>
  <DocSecurity>0</DocSecurity>
  <Lines>274</Lines>
  <Paragraphs>181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90532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GUMBYTĖ Danguolė</lastModifiedBy>
  <dcterms:modified xsi:type="dcterms:W3CDTF">2022-07-14T09:01:00Z</dcterms:modified>
  <revision>64</revision>
</coreProperties>
</file>