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546a7dc10b54322a18a79dc9c5f6152"/>
        <w:lock w:val="sdtLocked"/>
        <w:richText/>
      </w:sdtPr>
      <w:sdtContent>
        <w:p>
          <w:pPr>
            <w:jc w:val="both"/>
            <w:rPr>
              <w:rFonts w:ascii="Times New Roman" w:hAnsi="Times New Roman"/>
            </w:rPr>
          </w:pPr>
          <w:r>
            <w:rPr>
              <w:rFonts w:ascii="Times New Roman" w:hAnsi="Times New Roman"/>
              <w:b/>
              <w:i/>
            </w:rPr>
            <w:t>Suvestinė redakcija nuo 2014-06-17 iki 2014-10-31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af940a2be26543ecad41bb517738c48e"/>
                    <w:lock w:val="sdtLocked"/>
                    <w:richText/>
                  </w:sdtPr>
                  <w:sdtContent>
                    <w:p>
                      <w:pPr>
                        <w:widowControl w:val="0"/>
                        <w:suppressAutoHyphens/>
                        <w:ind w:firstLine="708"/>
                        <w:jc w:val="both"/>
                        <w:rPr>
                          <w:color w:val="000000"/>
                        </w:rPr>
                      </w:pPr>
                      <w:sdt>
                        <w:sdtPr>
                          <w:alias w:val="Numeris"/>
                          <w:tag w:val="nr_af940a2be26543ecad41bb517738c48e"/>
                          <w:lock w:val="sdtLocked"/>
                          <w:richText/>
                        </w:sdtPr>
                        <w:sdtContent>
                          <w:r>
                            <w:rPr>
                              <w:color w:val="000000"/>
                            </w:rPr>
                            <w:t>24</w:t>
                          </w:r>
                        </w:sdtContent>
                      </w:sdt>
                      <w:r>
                        <w:rPr>
                          <w:color w:val="000000"/>
                        </w:rPr>
                        <w:t xml:space="preserve">. </w:t>
                      </w:r>
                      <w:r>
                        <w:rPr>
                          <w:b/>
                          <w:bCs/>
                          <w:color w:val="000000"/>
                        </w:rPr>
                        <w:t xml:space="preserve">Kredito įstaiga </w:t>
                      </w:r>
                      <w:r>
                        <w:rPr>
                          <w:color w:val="000000"/>
                        </w:rPr>
                        <w:t>– įmonė, kuri turi licenciją verstis ir verčiasi indėlių ar kitų grąžintinų lėšų priėmimu iš neprofesionaliųjų rinkos dalyvių ir jų skolinimu.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af2dd1869a2141d28b69965fae062698"/>
                    <w:lock w:val="sdtLocked"/>
                    <w:richText/>
                  </w:sdtPr>
                  <w:sdtContent>
                    <w:p>
                      <w:pPr>
                        <w:widowControl w:val="0"/>
                        <w:ind w:firstLine="708"/>
                        <w:jc w:val="both"/>
                        <w:rPr>
                          <w:color w:val="000000"/>
                        </w:rPr>
                      </w:pPr>
                      <w:sdt>
                        <w:sdtPr>
                          <w:alias w:val="Numeris"/>
                          <w:tag w:val="nr_af2dd1869a2141d28b69965fae062698"/>
                          <w:lock w:val="sdtLocked"/>
                          <w:richText/>
                        </w:sdtPr>
                        <w:sdtContent>
                          <w:r>
                            <w:rPr>
                              <w:color w:val="000000"/>
                            </w:rPr>
                            <w:t>28</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4c7ec547096242418177f0cc4c480f5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4c0441426cf84321a9b9d2c7da204677"/>
                    <w:lock w:val="sdtLocked"/>
                    <w:richText/>
                  </w:sdtPr>
                  <w:sdtContent>
                    <w:p>
                      <w:pPr>
                        <w:widowControl w:val="0"/>
                        <w:suppressAutoHyphens/>
                        <w:ind w:firstLine="708"/>
                        <w:jc w:val="both"/>
                        <w:rPr>
                          <w:color w:val="000000"/>
                        </w:rPr>
                      </w:pPr>
                      <w:sdt>
                        <w:sdtPr>
                          <w:alias w:val="Numeris"/>
                          <w:tag w:val="nr_4c0441426cf84321a9b9d2c7da204677"/>
                          <w:lock w:val="sdtLocked"/>
                          <w:richText/>
                        </w:sdtPr>
                        <w:sdtContent>
                          <w:r>
                            <w:rPr>
                              <w:color w:val="000000"/>
                            </w:rPr>
                            <w:t>3</w:t>
                          </w:r>
                        </w:sdtContent>
                      </w:sdt>
                      <w:r>
                        <w:rPr>
                          <w:color w:val="000000"/>
                        </w:rPr>
                        <w:t>. Finansų įstaigos, kuri verčiasi licencinių finansinių paslaugų teikimu, veiklą prižiūri Lietuvos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6 d."/>
                    <w:tag w:val="part_8943e8372f7c4e1fb0b46ad59f08956d"/>
                    <w:lock w:val="sdtLocked"/>
                    <w:richText/>
                  </w:sdtPr>
                  <w:sdtContent>
                    <w:p>
                      <w:pPr>
                        <w:widowControl w:val="0"/>
                        <w:suppressAutoHyphens/>
                        <w:ind w:firstLine="708"/>
                        <w:jc w:val="both"/>
                      </w:pPr>
                      <w:sdt>
                        <w:sdtPr>
                          <w:alias w:val="Numeris"/>
                          <w:tag w:val="nr_8943e8372f7c4e1fb0b46ad59f08956d"/>
                          <w:lock w:val="sdtLocked"/>
                          <w:richText/>
                        </w:sdtPr>
                        <w:sdtContent>
                          <w:r>
                            <w:rPr>
                              <w:color w:val="000000"/>
                            </w:rPr>
                            <w:t>6</w:t>
                          </w:r>
                        </w:sdtContent>
                      </w:sdt>
                      <w:r>
                        <w:rPr>
                          <w:color w:val="000000"/>
                        </w:rPr>
                        <w:t>. Šio įstatymo 20 straipsnio 2 dalyje, 44 straipsnio 3 dalyje, 45 straipsnio 4 dalyje ir 46 straipsnio 2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286020572ef844b3946cb666f2365a54"/>
        <w:lock w:val="sdtLocked"/>
        <w:richText/>
      </w:sdtPr>
      <w:sdtContent>
        <w:p>
          <w:pPr>
            <w:widowControl w:val="0"/>
            <w:suppressAutoHyphens/>
            <w:ind w:left="4535"/>
            <w:rPr>
              <w:color w:val="000000"/>
            </w:rPr>
          </w:pPr>
          <w:r>
            <w:rPr>
              <w:color w:val="000000"/>
            </w:rPr>
            <w:t>Lietuvos Respublikos</w:t>
          </w:r>
        </w:p>
        <w:p>
          <w:pPr>
            <w:widowControl w:val="0"/>
            <w:suppressAutoHyphens/>
            <w:ind w:left="4535"/>
            <w:rPr>
              <w:color w:val="000000"/>
            </w:rPr>
          </w:pPr>
          <w:r>
            <w:rPr>
              <w:color w:val="000000"/>
            </w:rPr>
            <w:t>finansų įstaigų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286020572ef844b3946cb666f2365a54"/>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3a1a5aed1061486183f2108225f42a0d"/>
            <w:lock w:val="sdtLocked"/>
            <w:richText/>
          </w:sdtPr>
          <w:sdtContent>
            <w:p>
              <w:pPr>
                <w:widowControl w:val="0"/>
                <w:suppressAutoHyphens/>
                <w:ind w:firstLine="709"/>
                <w:jc w:val="both"/>
                <w:rPr>
                  <w:color w:val="000000"/>
                </w:rPr>
              </w:pPr>
              <w:sdt>
                <w:sdtPr>
                  <w:alias w:val="Numeris"/>
                  <w:tag w:val="nr_3a1a5aed1061486183f2108225f42a0d"/>
                  <w:lock w:val="sdtLocked"/>
                  <w:richText/>
                </w:sdtPr>
                <w:sdtContent>
                  <w:r>
                    <w:rPr>
                      <w:color w:val="000000"/>
                    </w:rPr>
                    <w:t>1</w:t>
                  </w:r>
                </w:sdtContent>
              </w:sdt>
              <w:r>
                <w:rPr>
                  <w:color w:val="000000"/>
                </w:rPr>
                <w:t>. 2006 m. birželio 14 d. Europos Parlamento ir Tarybos direktyva 2006/48/EB dėl kredito įstaigų veiklos pradėjimo ir vykdymo (nauja redakcija) (OL 2006 L 177, p. 1) su paskutiniais pakeitimais, padarytais 2009 m. rugsėjo 16 d. Europos Parlamento ir Tarybos direktyva 2009/111/EB (OL 2009 L 302, p. 97).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pr. 2 p."/>
            <w:tag w:val="part_5cd036c4fbbd4b6891b5d52d05d8217a"/>
            <w:lock w:val="sdtLocked"/>
            <w:richText/>
          </w:sdtPr>
          <w:sdtContent>
            <w:p>
              <w:pPr>
                <w:widowControl w:val="0"/>
                <w:suppressAutoHyphens/>
                <w:ind w:firstLine="709"/>
                <w:jc w:val="both"/>
              </w:pPr>
              <w:sdt>
                <w:sdtPr>
                  <w:alias w:val="Numeris"/>
                  <w:tag w:val="nr_5cd036c4fbbd4b6891b5d52d05d8217a"/>
                  <w:lock w:val="sdtLocked"/>
                  <w:richText/>
                </w:sdtPr>
                <w:sdtContent>
                  <w:r>
                    <w:rPr>
                      <w:color w:val="000000"/>
                    </w:rPr>
                    <w:t>2</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3 d."/>
            <w:tag w:val="part_54bbf39a2d96490fabe0e727ee46715a"/>
            <w:lock w:val="sdtLocked"/>
            <w:richText/>
          </w:sdtPr>
          <w:sdtContent>
            <w:p>
              <w:pPr>
                <w:widowControl w:val="0"/>
                <w:suppressAutoHyphens/>
                <w:ind w:firstLine="709"/>
                <w:jc w:val="both"/>
              </w:pPr>
              <w:sdt>
                <w:sdtPr>
                  <w:alias w:val="Numeris"/>
                  <w:tag w:val="nr_54bbf39a2d96490fabe0e727ee46715a"/>
                  <w:lock w:val="sdtLocked"/>
                  <w:richText/>
                </w:sdtPr>
                <w:sdtContent>
                  <w:r>
                    <w:rPr>
                      <w:color w:val="000000"/>
                    </w:rPr>
                    <w:t>3</w:t>
                  </w:r>
                </w:sdtContent>
              </w:sdt>
              <w:r>
                <w:rPr>
                  <w:color w:val="000000"/>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p."/>
            <w:tag w:val="part_f0fc0974e4a548b99eb354b46b25ba4c"/>
            <w:lock w:val="sdtLocked"/>
            <w:richText/>
          </w:sdtPr>
          <w:sdtContent>
            <w:p>
              <w:pPr>
                <w:ind w:firstLine="720"/>
                <w:jc w:val="both"/>
              </w:pPr>
              <w:sdt>
                <w:sdtPr>
                  <w:alias w:val="Numeris"/>
                  <w:tag w:val="nr_f0fc0974e4a548b99eb354b46b25ba4c"/>
                  <w:lock w:val="sdtLocked"/>
                  <w:richText/>
                </w:sdtPr>
                <w:sdtContent>
                  <w:r>
                    <w:rPr>
                      <w:color w:val="000000"/>
                      <w:szCs w:val="24"/>
                      <w:lang w:val="ga-IE" w:eastAsia="lt-LT"/>
                    </w:rPr>
                    <w:t>4</w:t>
                  </w:r>
                </w:sdtContent>
              </w:sdt>
              <w:r>
                <w:rPr>
                  <w:color w:val="000000"/>
                  <w:szCs w:val="24"/>
                  <w:lang w:val="ga-IE" w:eastAsia="lt-LT"/>
                </w:rPr>
                <w:t xml:space="preserve">. </w:t>
              </w:r>
              <w:r>
                <w:rPr>
                  <w:szCs w:val="24"/>
                  <w:lang w:val="ga-IE"/>
                </w:rPr>
                <w:t>2012 m. spalio 25 d. Europos Parlamento ir Tarybos direktyva 2012/30/ES dėl apsaugos priemonių, kurių valstybės narės, siekdamos tokias priemones suvienodinti, reikalauja iš Sutarties dėl Europos Sąjungos veikimo 54 straipsnio antroje pastraipoje apibrėžtų bendrovių, jų narių ir kitų interesų apsaugai, akcines bendroves steigiant, palaikant ir keičiant jų kapitalą, koordinavimo (OL 2012 L 315, p. 74).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47BE15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8.wmf"/>
  <Relationship Id="rId16" Type="http://schemas.openxmlformats.org/officeDocument/2006/relationships/control" Target="activeX/activeX18.xml"/>
  <Relationship Id="rId17" Type="http://schemas.openxmlformats.org/officeDocument/2006/relationships/customXml" Target="../customXml/item1.xml"/>
  <Relationship Id="rId2" Type="http://schemas.openxmlformats.org/officeDocument/2006/relationships/header" Target="header53.xml"/>
  <Relationship Id="rId3" Type="http://schemas.openxmlformats.org/officeDocument/2006/relationships/footer" Target="footer52.xml"/>
  <Relationship Id="rId4" Type="http://schemas.openxmlformats.org/officeDocument/2006/relationships/footer" Target="footer53.xml"/>
  <Relationship Id="rId5" Type="http://schemas.openxmlformats.org/officeDocument/2006/relationships/header" Target="header54.xml"/>
  <Relationship Id="rId6" Type="http://schemas.openxmlformats.org/officeDocument/2006/relationships/footer" Target="footer5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4546a7dc10b54322a18a79dc9c5f6152">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af940a2be26543ecad41bb517738c48e"/>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af2dd1869a2141d28b69965fae062698"/>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4c7ec547096242418177f0cc4c480f5f"/>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4c0441426cf84321a9b9d2c7da204677"/>
        <Part Type="strDalis" Nr="4" Abbr="4 str. 4 d." DocPartId="5e4129436cd7400bb10b3f1e5214aa4c" PartId="8ed6e00e0abf4111847e12bf2c114499"/>
        <Part Type="strDalis" Nr="5" Abbr="5 d." DocPartId="64e5bc5eaee14083afccb4d1132ae18d" PartId="fcc167b36f88435fa9df3f377025a18e"/>
        <Part Type="strDalis" Nr="6" Abbr="6 d." DocPartId="6324c4ee0fb646f5b1cffcca6c7a2db7" PartId="8943e8372f7c4e1fb0b46ad59f08956d"/>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286020572ef844b3946cb666f2365a54">
    <Part Type="punktas" Nr="1" Abbr="pr. 1 p." DocPartId="4347082785d942a3aa94831f55b108ae" PartId="3a1a5aed1061486183f2108225f42a0d"/>
    <Part Type="punktas" Nr="2" Abbr="pr. 2 p." DocPartId="8f4abf55e06f40018f5100d61e9b629d" PartId="5cd036c4fbbd4b6891b5d52d05d8217a"/>
    <Part Type="strDalis" Nr="3" Abbr="3 d." DocPartId="699c03e5f95a4200979ff9699538c3ee" PartId="54bbf39a2d96490fabe0e727ee46715a"/>
    <Part Type="punktas" Nr="4" Abbr="4 p." DocPartId="277266f721694aac8088892ef6ec484b" PartId="f0fc0974e4a548b99eb354b46b25ba4c"/>
  </Part>
</Parts>
</file>

<file path=customXml/itemProps1.xml><?xml version="1.0" encoding="utf-8"?>
<ds:datastoreItem xmlns:ds="http://schemas.openxmlformats.org/officeDocument/2006/customXml" ds:itemID="{4AAF3E53-7E82-494D-9FA5-E72F422386D9}">
  <ds:schemaRefs>
    <ds:schemaRef ds:uri="http://lrs.lt/TAIS/DocParts"/>
  </ds:schemaRefs>
</ds:datastoreItem>
</file>

<file path=docProps/app.xml><?xml version="1.0" encoding="utf-8"?>
<Properties xmlns="http://schemas.openxmlformats.org/officeDocument/2006/extended-properties">
  <Template>Normal.dotm</Template>
  <TotalTime>30</TotalTime>
  <Pages>24</Pages>
  <Words>57126</Words>
  <Characters>32563</Characters>
  <Application>Microsoft Office Word</Application>
  <DocSecurity>0</DocSecurity>
  <Lines>271</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89510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2016-12-02T07:49:00Z</dcterms:modified>
  <revision>39</revision>
</coreProperties>
</file>