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654d0a075643189e7fe48069af33e7"/>
        <w:lock w:val="sdtLocked"/>
        <w:richText/>
      </w:sdtPr>
      <w:sdtContent>
        <w:p>
          <w:pPr>
            <w:jc w:val="both"/>
            <w:rPr>
              <w:rFonts w:ascii="Times New Roman" w:hAnsi="Times New Roman"/>
            </w:rPr>
          </w:pPr>
          <w:r>
            <w:rPr>
              <w:rFonts w:ascii="Times New Roman" w:hAnsi="Times New Roman"/>
              <w:b/>
              <w:i/>
            </w:rPr>
            <w:t>Suvestinė redakcija nuo 2025-02-01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609D0D1B71D3">
            <w:r w:rsidRPr="00532B9F">
              <w:rPr>
                <w:rFonts w:ascii="Times New Roman" w:eastAsia="MS Mincho" w:hAnsi="Times New Roman"/>
                <w:sz w:val="20"/>
                <w:i/>
                <w:iCs/>
                <w:color w:val="0000FF" w:themeColor="hyperlink"/>
                <w:u w:val="single"/>
              </w:rPr>
              <w:t>87-3771</w:t>
            </w:r>
          </w:fldSimple>
          <w:r>
            <w:rPr>
              <w:rFonts w:ascii="Times New Roman" w:eastAsia="MS Mincho" w:hAnsi="Times New Roman"/>
              <w:sz w:val="20"/>
              <w:i/>
              <w:iCs/>
            </w:rPr>
            <w:t>, i. k. 1022055ISAK00000255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2025-02-01:</w:t>
          </w:r>
        </w:p>
        <w:p>
          <w:pPr>
            <w:rPr>
              <w:rFonts w:ascii="Times New Roman" w:hAnsi="Times New Roman"/>
              <w:sz w:val="20"/>
              <w:i/>
            </w:rPr>
          </w:pPr>
          <w:r>
            <w:rPr>
              <w:rFonts w:ascii="Times New Roman" w:hAnsi="Times New Roman"/>
              <w:sz w:val="20"/>
              <w:i/>
            </w:rPr>
            <w:t xml:space="preserve">Nr. </w:t>
          </w:r>
          <w:fldSimple w:instr="HYPERLINK https://www.e-tar.lt/portal/legalAct.html?documentId=4422aa71dfb211ef84c3a3cb4f439b27">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2025-01-31,
paskelbta TAR 2025-01-31, i. k. 2025-01476                </w:t>
          </w:r>
        </w:p>
        <w:p>
          <w:pPr>
            <w:rPr>
              <w:rFonts w:ascii="Times New Roman" w:hAnsi="Times New Roman"/>
              <w:sz w:val="22"/>
            </w:rPr>
          </w:pPr>
        </w:p>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p>
          <w:pPr>
            <w:tabs>
              <w:tab w:val="left" w:pos="0"/>
              <w:tab w:val="left" w:pos="709"/>
              <w:tab w:val="left" w:pos="993"/>
              <w:tab w:val="left" w:pos="2268"/>
            </w:tabs>
            <w:rPr>
              <w:b/>
              <w:caps/>
              <w:szCs w:val="24"/>
              <w:lang w:eastAsia="lt-LT"/>
            </w:rPr>
          </w:pPr>
        </w:p>
        <w:p>
          <w:pPr>
            <w:rPr>
              <w:sz w:val="8"/>
              <w:szCs w:val="8"/>
            </w:rPr>
          </w:pPr>
        </w:p>
        <w:p>
          <w:pPr>
            <w:jc w:val="center"/>
            <w:rPr>
              <w:b/>
              <w:caps/>
              <w:szCs w:val="24"/>
              <w:lang w:eastAsia="lt-LT"/>
            </w:rPr>
          </w:pPr>
          <w:r>
            <w:rPr>
              <w:b/>
              <w:caps/>
              <w:szCs w:val="24"/>
              <w:lang w:eastAsia="lt-LT"/>
            </w:rPr>
            <w:t>ĮSAKYMAS</w:t>
          </w:r>
        </w:p>
        <w:p>
          <w:pPr>
            <w:jc w:val="center"/>
            <w:rPr>
              <w:b/>
              <w:bCs/>
              <w:color w:val="000000"/>
              <w:szCs w:val="24"/>
              <w:lang w:eastAsia="lt-LT"/>
            </w:rPr>
          </w:pPr>
          <w:r>
            <w:rPr>
              <w:b/>
              <w:bCs/>
              <w:color w:val="000000"/>
              <w:szCs w:val="24"/>
              <w:lang w:eastAsia="lt-LT"/>
            </w:rPr>
            <w:t>DĖL AKCIZŲ GRĄŽINIMO</w:t>
          </w:r>
        </w:p>
        <w:p>
          <w:pPr>
            <w:tabs>
              <w:tab w:val="left" w:pos="0"/>
              <w:tab w:val="left" w:pos="851"/>
              <w:tab w:val="left" w:pos="993"/>
              <w:tab w:val="left" w:pos="2268"/>
            </w:tabs>
            <w:jc w:val="center"/>
            <w:rPr>
              <w:color w:val="000000"/>
              <w:spacing w:val="-1"/>
              <w:szCs w:val="24"/>
              <w:lang w:eastAsia="lt-LT"/>
            </w:rPr>
          </w:pPr>
        </w:p>
        <w:p>
          <w:pPr>
            <w:tabs>
              <w:tab w:val="left" w:pos="0"/>
              <w:tab w:val="left" w:pos="851"/>
              <w:tab w:val="left" w:pos="993"/>
              <w:tab w:val="left" w:pos="2268"/>
            </w:tabs>
            <w:jc w:val="center"/>
            <w:rPr>
              <w:color w:val="000000"/>
              <w:spacing w:val="-1"/>
              <w:szCs w:val="24"/>
              <w:lang w:eastAsia="lt-LT"/>
            </w:rPr>
          </w:pPr>
          <w:r>
            <w:rPr>
              <w:color w:val="000000"/>
              <w:spacing w:val="-1"/>
              <w:szCs w:val="24"/>
              <w:lang w:eastAsia="lt-LT"/>
            </w:rPr>
            <w:t>2002 m. rugpjūčio 30 d. Nr. 255</w:t>
          </w:r>
        </w:p>
        <w:p>
          <w:pPr>
            <w:tabs>
              <w:tab w:val="left" w:pos="0"/>
              <w:tab w:val="left" w:pos="851"/>
              <w:tab w:val="left" w:pos="993"/>
              <w:tab w:val="left" w:pos="2268"/>
            </w:tabs>
            <w:jc w:val="center"/>
            <w:rPr>
              <w:color w:val="000000"/>
              <w:spacing w:val="-1"/>
              <w:szCs w:val="24"/>
              <w:lang w:eastAsia="lt-LT"/>
            </w:rPr>
          </w:pPr>
          <w:r>
            <w:rPr>
              <w:color w:val="000000"/>
              <w:spacing w:val="-1"/>
              <w:szCs w:val="24"/>
              <w:lang w:eastAsia="lt-LT"/>
            </w:rPr>
            <w:t>Vilnius</w:t>
          </w:r>
        </w:p>
        <w:p>
          <w:pPr>
            <w:tabs>
              <w:tab w:val="left" w:pos="0"/>
              <w:tab w:val="left" w:pos="851"/>
              <w:tab w:val="left" w:pos="993"/>
              <w:tab w:val="left" w:pos="2268"/>
            </w:tabs>
            <w:jc w:val="center"/>
            <w:rPr>
              <w:color w:val="000000"/>
              <w:spacing w:val="-1"/>
              <w:szCs w:val="24"/>
              <w:lang w:eastAsia="lt-LT"/>
            </w:rPr>
          </w:pPr>
        </w:p>
        <w:sdt>
          <w:sdtPr>
            <w:alias w:val="preambule"/>
            <w:tag w:val="part_d216a5fe876c49b2b0e1663bfb48ea01"/>
            <w:lock w:val="sdtLocked"/>
            <w:richText/>
          </w:sdtPr>
          <w:sdtContent>
            <w:p>
              <w:pPr>
                <w:tabs>
                  <w:tab w:val="left" w:pos="0"/>
                  <w:tab w:val="left" w:pos="709"/>
                  <w:tab w:val="left" w:pos="993"/>
                  <w:tab w:val="left" w:pos="2268"/>
                </w:tabs>
                <w:ind w:firstLine="720"/>
                <w:jc w:val="both"/>
                <w:rPr>
                  <w:rFonts w:eastAsia="Calibri"/>
                  <w:szCs w:val="24"/>
                  <w:lang w:eastAsia="lt-LT"/>
                </w:rPr>
              </w:pPr>
              <w:r>
                <w:rPr>
                  <w:rFonts w:eastAsia="Calibri"/>
                </w:rPr>
                <w:t xml:space="preserve">Vadovaudamasis </w:t>
              </w:r>
              <w:r>
                <w:rPr>
                  <w:rFonts w:eastAsia="Calibri"/>
                  <w:szCs w:val="24"/>
                  <w:lang w:eastAsia="lt-LT"/>
                </w:rPr>
                <w:t>Lietuvos Respublikos akcizų įstatymo 19 straipsnio 4–7 ir 9 dalimis, 48 straipsnio 4 dalimi, 64 straipsnio 2 dalimi, 72 straipsnio 6 dalimi, Lietuvos Respublikos mokesčių administravimo įstatymo 87 straipsnio 11 dalimi, Energinių produktų atleidimo nuo anglies dioksido dedamosios taikymo tvarkos aprašo, patvirtinto Lietuvos Respublikos Vyriausybės 2002 m. birželio 4 d. nutarimu Nr. 821 „Dėl Lietuvos Respublikos akcizų įstatymo įgyvendinimo“, 9 punktu,</w:t>
              </w:r>
              <w:r>
                <w:rPr>
                  <w:rFonts w:eastAsia="Calibri"/>
                  <w:b/>
                  <w:szCs w:val="24"/>
                  <w:lang w:eastAsia="lt-LT"/>
                </w:rPr>
                <w:t xml:space="preserve"> </w:t>
              </w:r>
              <w:r>
                <w:rPr>
                  <w:rFonts w:eastAsia="Calibri"/>
                  <w:szCs w:val="24"/>
                  <w:lang w:eastAsia="lt-LT"/>
                </w:rPr>
                <w:t>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sdtContent>
        </w:sdt>
        <w:sdt>
          <w:sdtPr>
            <w:alias w:val="pastraipa"/>
            <w:tag w:val="part_c1bd13d5ecc146ffbfd3fa70cc4813a3"/>
            <w:lock w:val="sdtLocked"/>
            <w:richText/>
          </w:sdtPr>
          <w:sdtContent>
            <w:p>
              <w:pPr>
                <w:widowControl w:val="0"/>
                <w:ind w:firstLine="720"/>
                <w:jc w:val="both"/>
              </w:pPr>
              <w:r>
                <w:rPr>
                  <w:rFonts w:eastAsia="Calibri"/>
                  <w:spacing w:val="80"/>
                  <w:szCs w:val="24"/>
                  <w:lang w:eastAsia="lt-LT"/>
                </w:rPr>
                <w:t>tvirtin</w:t>
              </w:r>
              <w:r>
                <w:rPr>
                  <w:rFonts w:eastAsia="Calibri"/>
                  <w:szCs w:val="24"/>
                  <w:lang w:eastAsia="lt-LT"/>
                </w:rPr>
                <w:t>u Akcizų grąžinimo taisykles (pridedama).</w:t>
              </w:r>
            </w:p>
          </w:sdtContent>
        </w:sdt>
        <w:sdt>
          <w:sdtPr>
            <w:alias w:val="signatura"/>
            <w:tag w:val="part_842552b4597940999ec793a550c445d6"/>
            <w:lock w:val="sdtLocked"/>
            <w:richText/>
          </w:sdtPr>
          <w:sdtContent>
            <w:p>
              <w:pPr>
                <w:tabs>
                  <w:tab w:val="right" w:pos="9639"/>
                </w:tabs>
              </w:pPr>
            </w:p>
            <w:p>
              <w:pPr>
                <w:tabs>
                  <w:tab w:val="right" w:pos="9639"/>
                </w:tabs>
              </w:pPr>
            </w:p>
            <w:p>
              <w:pPr>
                <w:tabs>
                  <w:tab w:val="right" w:pos="9639"/>
                </w:tabs>
              </w:pPr>
            </w:p>
            <w:p>
              <w:pPr>
                <w:tabs>
                  <w:tab w:val="right" w:pos="9639"/>
                </w:tabs>
              </w:pPr>
              <w:r>
                <w:rPr>
                  <w:caps/>
                </w:rPr>
                <w:t>VIRŠININKAS</w:t>
                <w:tab/>
                <w:t>JURGIS GURAUSKAS</w:t>
              </w:r>
            </w:p>
          </w:sdtContent>
        </w:sdt>
        <w:p/>
      </w:sdtContent>
    </w:sdt>
    <w:sdt>
      <w:sdtPr>
        <w:alias w:val="patvirtinta"/>
        <w:tag w:val="part_d844c4bfa16b4764aa8d813bcb3eb37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2004-07-07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3FEBA017F2">
            <w:r w:rsidRPr="00532B9F">
              <w:rPr>
                <w:rFonts w:ascii="Times New Roman" w:eastAsia="MS Mincho" w:hAnsi="Times New Roman"/>
                <w:sz w:val="20"/>
                <w:i/>
                <w:iCs/>
                <w:color w:val="0000FF" w:themeColor="hyperlink"/>
                <w:u w:val="single"/>
              </w:rPr>
              <w:t>VA-126</w:t>
            </w:r>
          </w:fldSimple>
          <w:r>
            <w:rPr>
              <w:rFonts w:ascii="Times New Roman" w:eastAsia="MS Mincho" w:hAnsi="Times New Roman"/>
              <w:sz w:val="20"/>
              <w:i/>
              <w:iCs/>
            </w:rPr>
            <w:t>,
2004-07-05,
Žin. 2004,
Nr.
105-3922 (2004-07-06), i. k. 1042055ISAK00VA-126        </w:t>
          </w:r>
        </w:p>
        <w:p/>
      </w:sdtContent>
    </w:sdt>
    <w:sdt>
      <w:sdtPr>
        <w:alias w:val="patvirtinta"/>
        <w:tag w:val="part_bd2923d11a8b4c38a0966e53ca7fb4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2004-07-07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3FEBA017F2">
            <w:r w:rsidRPr="00532B9F">
              <w:rPr>
                <w:rFonts w:ascii="Times New Roman" w:eastAsia="MS Mincho" w:hAnsi="Times New Roman"/>
                <w:sz w:val="20"/>
                <w:i/>
                <w:iCs/>
                <w:color w:val="0000FF" w:themeColor="hyperlink"/>
                <w:u w:val="single"/>
              </w:rPr>
              <w:t>VA-126</w:t>
            </w:r>
          </w:fldSimple>
          <w:r>
            <w:rPr>
              <w:rFonts w:ascii="Times New Roman" w:eastAsia="MS Mincho" w:hAnsi="Times New Roman"/>
              <w:sz w:val="20"/>
              <w:i/>
              <w:iCs/>
            </w:rPr>
            <w:t>,
2004-07-05,
Žin. 2004,
Nr.
105-3922 (2004-07-06), i. k. 1042055ISAK00VA-126        </w:t>
          </w:r>
        </w:p>
        <w:p/>
      </w:sdtContent>
    </w:sdt>
    <w:sdt>
      <w:sdtPr>
        <w:alias w:val=""/>
        <w:tag w:val="part_4fa5839de43f49a2bc18816c770df4f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2004-07-07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3FEBA017F2">
            <w:r w:rsidRPr="00532B9F">
              <w:rPr>
                <w:rFonts w:ascii="Times New Roman" w:eastAsia="MS Mincho" w:hAnsi="Times New Roman"/>
                <w:sz w:val="20"/>
                <w:i/>
                <w:iCs/>
                <w:color w:val="0000FF" w:themeColor="hyperlink"/>
                <w:u w:val="single"/>
              </w:rPr>
              <w:t>VA-126</w:t>
            </w:r>
          </w:fldSimple>
          <w:r>
            <w:rPr>
              <w:rFonts w:ascii="Times New Roman" w:eastAsia="MS Mincho" w:hAnsi="Times New Roman"/>
              <w:sz w:val="20"/>
              <w:i/>
              <w:iCs/>
            </w:rPr>
            <w:t>,
2004-07-05,
Žin. 2004,
Nr.
105-3922 (2004-07-06), i. k. 1042055ISAK00VA-126        </w:t>
          </w:r>
        </w:p>
        <w:p/>
      </w:sdtContent>
    </w:sdt>
    <w:sdt>
      <w:sdtPr>
        <w:alias w:val="patvirtinta"/>
        <w:tag w:val="part_76e58437b1924d699b51fc14cb1842d8"/>
        <w:lock w:val="sdtLocked"/>
        <w:richText/>
      </w:sdtPr>
      <w:sdtContent>
        <w:p>
          <w:pPr>
            <w:ind w:left="4820"/>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p>
        <w:p>
          <w:pPr>
            <w:ind w:left="4820"/>
            <w:rPr>
              <w:szCs w:val="24"/>
              <w:lang w:eastAsia="lt-LT"/>
            </w:rPr>
          </w:pPr>
          <w:r>
            <w:rPr>
              <w:szCs w:val="24"/>
              <w:lang w:eastAsia="lt-LT"/>
            </w:rPr>
            <w:t>PATVIRTINTA</w:t>
          </w:r>
        </w:p>
        <w:p>
          <w:pPr>
            <w:ind w:left="4820"/>
            <w:rPr>
              <w:szCs w:val="24"/>
              <w:lang w:eastAsia="lt-LT"/>
            </w:rPr>
          </w:pPr>
          <w:r>
            <w:rPr>
              <w:szCs w:val="24"/>
              <w:lang w:eastAsia="lt-LT"/>
            </w:rPr>
            <w:t xml:space="preserve">Valstybinės mokesčių inspekcijos prie Lietuvos </w:t>
          </w:r>
        </w:p>
        <w:p>
          <w:pPr>
            <w:ind w:left="4820"/>
            <w:rPr>
              <w:szCs w:val="24"/>
              <w:lang w:eastAsia="lt-LT"/>
            </w:rPr>
          </w:pPr>
          <w:r>
            <w:rPr>
              <w:szCs w:val="24"/>
              <w:lang w:eastAsia="lt-LT"/>
            </w:rPr>
            <w:t xml:space="preserve">Respublikos finansų ministerijos viršininko </w:t>
          </w:r>
        </w:p>
        <w:p>
          <w:pPr>
            <w:ind w:left="4820"/>
            <w:rPr>
              <w:szCs w:val="24"/>
              <w:lang w:eastAsia="lt-LT"/>
            </w:rPr>
          </w:pPr>
          <w:r>
            <w:rPr>
              <w:szCs w:val="24"/>
              <w:lang w:eastAsia="lt-LT"/>
            </w:rPr>
            <w:t xml:space="preserve">2002 m. rugpjūčio 30 d. įsakymu Nr. 255 </w:t>
          </w:r>
        </w:p>
        <w:p>
          <w:pPr>
            <w:ind w:left="4820"/>
            <w:rPr>
              <w:szCs w:val="24"/>
              <w:lang w:eastAsia="lt-LT"/>
            </w:rPr>
          </w:pPr>
          <w:r>
            <w:rPr>
              <w:szCs w:val="24"/>
              <w:lang w:eastAsia="lt-LT"/>
            </w:rPr>
            <w:t xml:space="preserve">(Valstybinės mokesčių inspekcijos prie Lietuvos </w:t>
          </w:r>
        </w:p>
        <w:p>
          <w:pPr>
            <w:ind w:left="4820"/>
            <w:rPr>
              <w:szCs w:val="24"/>
              <w:lang w:eastAsia="lt-LT"/>
            </w:rPr>
          </w:pPr>
          <w:r>
            <w:rPr>
              <w:szCs w:val="24"/>
              <w:lang w:eastAsia="lt-LT"/>
            </w:rPr>
            <w:t>Respublikos finansų ministerijos viršininko</w:t>
          </w:r>
        </w:p>
        <w:p>
          <w:pPr>
            <w:ind w:left="4820"/>
            <w:rPr>
              <w:szCs w:val="24"/>
              <w:lang w:eastAsia="lt-LT"/>
            </w:rPr>
          </w:pPr>
          <w:r>
            <w:rPr>
              <w:szCs w:val="24"/>
              <w:lang w:eastAsia="lt-LT"/>
            </w:rPr>
            <w:t xml:space="preserve">2023 m. </w:t>
          </w:r>
          <w:r>
            <w:rPr>
              <w:rFonts w:eastAsia="Calibri"/>
              <w:szCs w:val="22"/>
            </w:rPr>
            <w:t>gruodžio 5</w:t>
          </w:r>
          <w:r>
            <w:rPr>
              <w:szCs w:val="24"/>
              <w:lang w:eastAsia="lt-LT"/>
            </w:rPr>
            <w:t xml:space="preserve"> d. įsakymo Nr. </w:t>
          </w:r>
          <w:r>
            <w:t>VA-90</w:t>
          </w:r>
        </w:p>
        <w:p>
          <w:pPr>
            <w:ind w:left="4820"/>
            <w:rPr>
              <w:szCs w:val="24"/>
              <w:lang w:eastAsia="lt-LT"/>
            </w:rPr>
          </w:pPr>
          <w:r>
            <w:rPr>
              <w:szCs w:val="24"/>
              <w:lang w:eastAsia="lt-LT"/>
            </w:rPr>
            <w:t>redakcija)</w:t>
          </w:r>
        </w:p>
        <w:p>
          <w:pPr>
            <w:jc w:val="both"/>
            <w:rPr>
              <w:rFonts w:eastAsia="Calibri"/>
              <w:bCs/>
              <w:szCs w:val="24"/>
            </w:rPr>
          </w:pPr>
        </w:p>
        <w:p>
          <w:pPr>
            <w:jc w:val="center"/>
            <w:rPr>
              <w:rFonts w:eastAsia="Calibri"/>
              <w:szCs w:val="24"/>
            </w:rPr>
          </w:pPr>
          <w:sdt>
            <w:sdtPr>
              <w:alias w:val="Pavadinimas"/>
              <w:tag w:val="title_76e58437b1924d699b51fc14cb1842d8"/>
              <w:lock w:val="sdtLocked"/>
              <w:richText/>
            </w:sdtPr>
            <w:sdtContent>
              <w:r>
                <w:rPr>
                  <w:rFonts w:eastAsia="Calibri"/>
                  <w:b/>
                  <w:szCs w:val="24"/>
                  <w:lang w:eastAsia="lt-LT"/>
                </w:rPr>
                <w:t>AKCIZŲ GRĄŽINIMO TAISYKLĖS</w:t>
              </w:r>
            </w:sdtContent>
          </w:sdt>
        </w:p>
        <w:p>
          <w:pPr>
            <w:jc w:val="center"/>
            <w:rPr>
              <w:rFonts w:eastAsia="Calibri"/>
              <w:szCs w:val="24"/>
            </w:rPr>
          </w:pPr>
        </w:p>
        <w:sdt>
          <w:sdtPr>
            <w:alias w:val="skyrius"/>
            <w:tag w:val="part_c937ac85216343298e5c38df36393c32"/>
            <w:lock w:val="sdtLocked"/>
            <w:richText/>
          </w:sdtPr>
          <w:sdtContent>
            <w:p>
              <w:pPr>
                <w:jc w:val="center"/>
                <w:rPr>
                  <w:rFonts w:eastAsia="Calibri"/>
                  <w:b/>
                  <w:szCs w:val="24"/>
                </w:rPr>
              </w:pPr>
              <w:sdt>
                <w:sdtPr>
                  <w:alias w:val="Numeris"/>
                  <w:tag w:val="nr_c937ac85216343298e5c38df36393c32"/>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c937ac85216343298e5c38df36393c32"/>
                  <w:lock w:val="sdtLocked"/>
                  <w:richText/>
                </w:sdtPr>
                <w:sdtContent>
                  <w:r>
                    <w:rPr>
                      <w:rFonts w:eastAsia="Calibri"/>
                      <w:b/>
                      <w:szCs w:val="24"/>
                    </w:rPr>
                    <w:t>BENDROSIOS NUOSTATOS</w:t>
                  </w:r>
                </w:sdtContent>
              </w:sdt>
            </w:p>
            <w:p>
              <w:pPr>
                <w:tabs>
                  <w:tab w:val="left" w:pos="993"/>
                  <w:tab w:val="left" w:pos="1134"/>
                  <w:tab w:val="left" w:pos="1560"/>
                </w:tabs>
                <w:ind w:left="709"/>
                <w:jc w:val="both"/>
                <w:rPr>
                  <w:rFonts w:eastAsia="Calibri"/>
                  <w:bCs/>
                  <w:szCs w:val="24"/>
                </w:rPr>
              </w:pPr>
            </w:p>
            <w:sdt>
              <w:sdtPr>
                <w:alias w:val="1 p."/>
                <w:tag w:val="part_c5616fbad60a4f4f8a56c439f31f5eb6"/>
                <w:lock w:val="sdtLocked"/>
                <w:richText/>
              </w:sdtPr>
              <w:sdtContent>
                <w:p>
                  <w:pPr>
                    <w:tabs>
                      <w:tab w:val="left" w:pos="426"/>
                      <w:tab w:val="left" w:pos="993"/>
                    </w:tabs>
                    <w:ind w:firstLine="709"/>
                    <w:jc w:val="both"/>
                    <w:rPr>
                      <w:rFonts w:eastAsia="Calibri"/>
                      <w:bCs/>
                      <w:szCs w:val="24"/>
                    </w:rPr>
                  </w:pPr>
                  <w:sdt>
                    <w:sdtPr>
                      <w:alias w:val="Numeris"/>
                      <w:tag w:val="nr_c5616fbad60a4f4f8a56c439f31f5eb6"/>
                      <w:lock w:val="sdtLocked"/>
                      <w:richText/>
                    </w:sdtPr>
                    <w:sdtContent>
                      <w:r>
                        <w:rPr>
                          <w:rFonts w:eastAsia="Calibri"/>
                          <w:bCs/>
                          <w:szCs w:val="24"/>
                        </w:rPr>
                        <w:t>1</w:t>
                      </w:r>
                    </w:sdtContent>
                  </w:sdt>
                  <w:r>
                    <w:rPr>
                      <w:rFonts w:eastAsia="Calibri"/>
                      <w:bCs/>
                      <w:szCs w:val="24"/>
                    </w:rPr>
                    <w:t>.</w:t>
                    <w:tab/>
                    <w:t>Akcizų grąžinimo taisyklės (toliau – taisyklės) nustato sumokėtų akcizų grąžinimo tvarką už:</w:t>
                  </w:r>
                </w:p>
                <w:sdt>
                  <w:sdtPr>
                    <w:alias w:val="1.1 pp."/>
                    <w:tag w:val="part_b88d86af6cc849dd82977c42e721df75"/>
                    <w:lock w:val="sdtLocked"/>
                    <w:richText/>
                  </w:sdtPr>
                  <w:sdtContent>
                    <w:p>
                      <w:pPr>
                        <w:tabs>
                          <w:tab w:val="left" w:pos="426"/>
                          <w:tab w:val="left" w:pos="993"/>
                        </w:tabs>
                        <w:ind w:left="1189" w:hanging="480"/>
                        <w:jc w:val="both"/>
                        <w:rPr>
                          <w:rFonts w:eastAsia="Calibri"/>
                          <w:color w:val="000000"/>
                          <w:szCs w:val="24"/>
                        </w:rPr>
                      </w:pPr>
                      <w:sdt>
                        <w:sdtPr>
                          <w:alias w:val="Numeris"/>
                          <w:tag w:val="nr_b88d86af6cc849dd82977c42e721df75"/>
                          <w:lock w:val="sdtLocked"/>
                          <w:richText/>
                        </w:sdtPr>
                        <w:sdtContent>
                          <w:r>
                            <w:rPr>
                              <w:rFonts w:eastAsia="Calibri"/>
                              <w:szCs w:val="24"/>
                            </w:rPr>
                            <w:t>1.1</w:t>
                          </w:r>
                        </w:sdtContent>
                      </w:sdt>
                      <w:r>
                        <w:rPr>
                          <w:rFonts w:eastAsia="Calibri"/>
                          <w:szCs w:val="24"/>
                        </w:rPr>
                        <w:t>.</w:t>
                        <w:tab/>
                      </w:r>
                      <w:r>
                        <w:rPr>
                          <w:rFonts w:eastAsia="Calibri"/>
                          <w:color w:val="000000"/>
                          <w:szCs w:val="24"/>
                        </w:rPr>
                        <w:t xml:space="preserve">eksportuotas akcizais apmokestinamas prekes; </w:t>
                      </w:r>
                    </w:p>
                  </w:sdtContent>
                </w:sdt>
                <w:sdt>
                  <w:sdtPr>
                    <w:alias w:val="1.2 pp."/>
                    <w:tag w:val="part_605785537ea54e7781ac66e79bef86f6"/>
                    <w:lock w:val="sdtLocked"/>
                    <w:richText/>
                  </w:sdtPr>
                  <w:sdtContent>
                    <w:p>
                      <w:pPr>
                        <w:tabs>
                          <w:tab w:val="left" w:pos="426"/>
                          <w:tab w:val="left" w:pos="709"/>
                          <w:tab w:val="left" w:pos="1134"/>
                        </w:tabs>
                        <w:ind w:firstLine="709"/>
                        <w:jc w:val="both"/>
                        <w:rPr>
                          <w:rFonts w:eastAsia="Calibri"/>
                          <w:bCs/>
                          <w:szCs w:val="24"/>
                        </w:rPr>
                      </w:pPr>
                      <w:sdt>
                        <w:sdtPr>
                          <w:alias w:val="Numeris"/>
                          <w:tag w:val="nr_605785537ea54e7781ac66e79bef86f6"/>
                          <w:lock w:val="sdtLocked"/>
                          <w:richText/>
                        </w:sdtPr>
                        <w:sdtContent>
                          <w:r>
                            <w:rPr>
                              <w:rFonts w:eastAsia="Calibri"/>
                              <w:bCs/>
                              <w:szCs w:val="24"/>
                            </w:rPr>
                            <w:t>1.2</w:t>
                          </w:r>
                        </w:sdtContent>
                      </w:sdt>
                      <w:r>
                        <w:rPr>
                          <w:rFonts w:eastAsia="Calibri"/>
                          <w:bCs/>
                          <w:szCs w:val="24"/>
                        </w:rPr>
                        <w:t>.</w:t>
                        <w:tab/>
                      </w:r>
                      <w:r>
                        <w:rPr>
                          <w:rFonts w:eastAsia="Calibri"/>
                          <w:color w:val="000000"/>
                          <w:szCs w:val="24"/>
                        </w:rPr>
                        <w:t>kombinuotosios nomenklatūros 2023 m. versijos (toliau – KN) 2710 19 91‒2710 19 99 subpozicijose klasifikuojamus energinius produktus, už kuriuos akcizai buvo sumokėti Lietuvos Respublikoje, išgabentus į kitą Europos Sąjungos valstybę narę (toliau – valstybė narė);</w:t>
                      </w:r>
                    </w:p>
                  </w:sdtContent>
                </w:sdt>
                <w:sdt>
                  <w:sdtPr>
                    <w:alias w:val="1.3 pp."/>
                    <w:tag w:val="part_3f59cbb7ea774331825da89ec03a0032"/>
                    <w:lock w:val="sdtLocked"/>
                    <w:richText/>
                  </w:sdtPr>
                  <w:sdtContent>
                    <w:p>
                      <w:pPr>
                        <w:tabs>
                          <w:tab w:val="left" w:pos="426"/>
                          <w:tab w:val="left" w:pos="709"/>
                          <w:tab w:val="left" w:pos="1134"/>
                        </w:tabs>
                        <w:ind w:firstLine="709"/>
                        <w:jc w:val="both"/>
                        <w:rPr>
                          <w:rFonts w:eastAsia="Calibri"/>
                          <w:bCs/>
                          <w:szCs w:val="24"/>
                        </w:rPr>
                      </w:pPr>
                      <w:sdt>
                        <w:sdtPr>
                          <w:alias w:val="Numeris"/>
                          <w:tag w:val="nr_3f59cbb7ea774331825da89ec03a0032"/>
                          <w:lock w:val="sdtLocked"/>
                          <w:richText/>
                        </w:sdtPr>
                        <w:sdtContent>
                          <w:r>
                            <w:rPr>
                              <w:rFonts w:eastAsia="Calibri"/>
                              <w:bCs/>
                              <w:szCs w:val="24"/>
                            </w:rPr>
                            <w:t>1.3</w:t>
                          </w:r>
                        </w:sdtContent>
                      </w:sdt>
                      <w:r>
                        <w:rPr>
                          <w:rFonts w:eastAsia="Calibri"/>
                          <w:bCs/>
                          <w:szCs w:val="24"/>
                        </w:rPr>
                        <w:t>.</w:t>
                        <w:tab/>
                      </w:r>
                      <w:r>
                        <w:rPr>
                          <w:rFonts w:eastAsia="Calibri"/>
                          <w:color w:val="000000"/>
                          <w:szCs w:val="24"/>
                        </w:rPr>
                        <w:t>akcizais apmokestinamas prekes (toliau – prekės), už kurias akcizai buvo sumokėti Lietuvos Respublikoje, išgabentas iš patvirtinto akcizais apmokestinamų prekių siuntėjo patvirtintam akcizais apmokestinamų prekių gavėjui (toliau – patvirtintas gavėjas) į kitą valstybę narę komerciniams tikslams;</w:t>
                      </w:r>
                    </w:p>
                  </w:sdtContent>
                </w:sdt>
                <w:sdt>
                  <w:sdtPr>
                    <w:alias w:val="1.4 pp."/>
                    <w:tag w:val="part_09466492064c4545974b29af77be3428"/>
                    <w:lock w:val="sdtLocked"/>
                    <w:richText/>
                  </w:sdtPr>
                  <w:sdtContent>
                    <w:p>
                      <w:pPr>
                        <w:tabs>
                          <w:tab w:val="left" w:pos="426"/>
                          <w:tab w:val="left" w:pos="709"/>
                          <w:tab w:val="left" w:pos="1134"/>
                        </w:tabs>
                        <w:ind w:firstLine="709"/>
                        <w:jc w:val="both"/>
                        <w:rPr>
                          <w:rFonts w:eastAsia="Calibri"/>
                          <w:bCs/>
                          <w:szCs w:val="24"/>
                        </w:rPr>
                      </w:pPr>
                      <w:sdt>
                        <w:sdtPr>
                          <w:alias w:val="Numeris"/>
                          <w:tag w:val="nr_09466492064c4545974b29af77be3428"/>
                          <w:lock w:val="sdtLocked"/>
                          <w:richText/>
                        </w:sdtPr>
                        <w:sdtContent>
                          <w:r>
                            <w:rPr>
                              <w:rFonts w:eastAsia="Calibri"/>
                              <w:bCs/>
                              <w:szCs w:val="24"/>
                            </w:rPr>
                            <w:t>1.4</w:t>
                          </w:r>
                        </w:sdtContent>
                      </w:sdt>
                      <w:r>
                        <w:rPr>
                          <w:rFonts w:eastAsia="Calibri"/>
                          <w:bCs/>
                          <w:szCs w:val="24"/>
                        </w:rPr>
                        <w:t>.</w:t>
                        <w:tab/>
                      </w:r>
                      <w:r>
                        <w:rPr>
                          <w:rFonts w:eastAsia="Calibri"/>
                          <w:color w:val="000000"/>
                          <w:szCs w:val="24"/>
                        </w:rPr>
                        <w:t xml:space="preserve">prekes, už kurias akcizai sumokėti Lietuvos Respublikoje ir kurios ekonominę veiklą vykdančio prekių siuntėjo ar jo užsakymu kito asmens iš Lietuvos Respublikos išgabentos į kitą valstybę narę asmeniui, kuris nėra registruotas akcizais apmokestinamų prekių gavėjas (toliau – registruotas gavėjas) ar patvirtintas gavėjas ir nevykdo ekonominės veiklos, kaip ji apibrėžta Lietuvos Respublikos </w:t>
                      </w:r>
                      <w:r>
                        <w:rPr>
                          <w:rFonts w:eastAsia="Calibri"/>
                          <w:iCs/>
                          <w:color w:val="000000"/>
                          <w:szCs w:val="24"/>
                        </w:rPr>
                        <w:t>pridėtinės vertės mokesčio įstatyme</w:t>
                      </w:r>
                      <w:r>
                        <w:rPr>
                          <w:rFonts w:eastAsia="Calibri"/>
                          <w:color w:val="000000"/>
                          <w:szCs w:val="24"/>
                        </w:rPr>
                        <w:t>, arba ne į akcizais apmokestinamų prekių sandėlį (toliau – sandėlis);</w:t>
                      </w:r>
                    </w:p>
                  </w:sdtContent>
                </w:sdt>
                <w:sdt>
                  <w:sdtPr>
                    <w:alias w:val="1.5 pp."/>
                    <w:tag w:val="part_323c233f9cda46d7abc5e3b3170142b6"/>
                    <w:lock w:val="sdtLocked"/>
                    <w:richText/>
                  </w:sdtPr>
                  <w:sdtContent>
                    <w:p>
                      <w:pPr>
                        <w:tabs>
                          <w:tab w:val="left" w:pos="426"/>
                          <w:tab w:val="left" w:pos="709"/>
                          <w:tab w:val="left" w:pos="1134"/>
                        </w:tabs>
                        <w:ind w:firstLine="709"/>
                        <w:jc w:val="both"/>
                        <w:rPr>
                          <w:rFonts w:eastAsia="Calibri"/>
                          <w:bCs/>
                          <w:szCs w:val="24"/>
                        </w:rPr>
                      </w:pPr>
                      <w:sdt>
                        <w:sdtPr>
                          <w:alias w:val="Numeris"/>
                          <w:tag w:val="nr_323c233f9cda46d7abc5e3b3170142b6"/>
                          <w:lock w:val="sdtLocked"/>
                          <w:richText/>
                        </w:sdtPr>
                        <w:sdtContent>
                          <w:r>
                            <w:rPr>
                              <w:rFonts w:eastAsia="Calibri"/>
                              <w:bCs/>
                              <w:szCs w:val="24"/>
                            </w:rPr>
                            <w:t>1.5</w:t>
                          </w:r>
                        </w:sdtContent>
                      </w:sdt>
                      <w:r>
                        <w:rPr>
                          <w:rFonts w:eastAsia="Calibri"/>
                          <w:bCs/>
                          <w:szCs w:val="24"/>
                        </w:rPr>
                        <w:t>.</w:t>
                        <w:tab/>
                      </w:r>
                      <w:r>
                        <w:rPr>
                          <w:rFonts w:eastAsia="Calibri"/>
                          <w:color w:val="000000"/>
                          <w:szCs w:val="24"/>
                        </w:rPr>
                        <w:t>importuotas kvapiąsias medžiagas;</w:t>
                      </w:r>
                    </w:p>
                  </w:sdtContent>
                </w:sdt>
                <w:sdt>
                  <w:sdtPr>
                    <w:alias w:val="1.6 pp."/>
                    <w:tag w:val="part_98cedaccbde7462587dc268855b3e6f1"/>
                    <w:lock w:val="sdtLocked"/>
                    <w:richText/>
                  </w:sdtPr>
                  <w:sdtContent>
                    <w:p>
                      <w:pPr>
                        <w:tabs>
                          <w:tab w:val="left" w:pos="426"/>
                          <w:tab w:val="left" w:pos="709"/>
                          <w:tab w:val="left" w:pos="1134"/>
                        </w:tabs>
                        <w:ind w:firstLine="709"/>
                        <w:jc w:val="both"/>
                        <w:rPr>
                          <w:rFonts w:eastAsia="Calibri"/>
                          <w:bCs/>
                          <w:szCs w:val="24"/>
                        </w:rPr>
                      </w:pPr>
                      <w:sdt>
                        <w:sdtPr>
                          <w:alias w:val="Numeris"/>
                          <w:tag w:val="nr_98cedaccbde7462587dc268855b3e6f1"/>
                          <w:lock w:val="sdtLocked"/>
                          <w:richText/>
                        </w:sdtPr>
                        <w:sdtContent>
                          <w:r>
                            <w:rPr>
                              <w:rFonts w:eastAsia="Calibri"/>
                              <w:bCs/>
                              <w:szCs w:val="24"/>
                            </w:rPr>
                            <w:t>1.6</w:t>
                          </w:r>
                        </w:sdtContent>
                      </w:sdt>
                      <w:r>
                        <w:rPr>
                          <w:rFonts w:eastAsia="Calibri"/>
                          <w:bCs/>
                          <w:szCs w:val="24"/>
                        </w:rPr>
                        <w:t>.</w:t>
                        <w:tab/>
                      </w:r>
                      <w:r>
                        <w:rPr>
                          <w:rFonts w:eastAsia="Calibri"/>
                          <w:color w:val="000000"/>
                          <w:szCs w:val="24"/>
                          <w:shd w:val="clear" w:color="auto" w:fill="FFFFFF"/>
                        </w:rPr>
                        <w:t xml:space="preserve"> </w:t>
                      </w:r>
                      <w:r>
                        <w:rPr>
                          <w:rFonts w:eastAsia="Calibri"/>
                          <w:szCs w:val="24"/>
                        </w:rPr>
                        <w:t xml:space="preserve">KN 2710 12 31–2710 12 90, 2710 19 21–2710 19 29, 2710 19 43–2710 19 48, 2710 19 62–2710 19 67, 2710 20 11–2710 20 19, 2710 20 32–2710 20 38 subpozicijose nurodytus energinius produktus, </w:t>
                      </w:r>
                      <w:r>
                        <w:rPr>
                          <w:rFonts w:eastAsia="Calibri"/>
                          <w:color w:val="000000"/>
                          <w:szCs w:val="24"/>
                          <w:shd w:val="clear" w:color="auto" w:fill="FFFFFF"/>
                        </w:rPr>
                        <w:t>panaudotus kitiems tikslams negu variklių degalai, šildymui skirtas kuras arba variklių degalų priedai</w:t>
                      </w:r>
                      <w:r>
                        <w:rPr>
                          <w:rFonts w:eastAsia="Calibri"/>
                          <w:color w:val="000000"/>
                          <w:szCs w:val="24"/>
                        </w:rPr>
                        <w:t>;</w:t>
                      </w:r>
                    </w:p>
                  </w:sdtContent>
                </w:sdt>
                <w:sdt>
                  <w:sdtPr>
                    <w:alias w:val="1.7 pp."/>
                    <w:tag w:val="part_892664d7d508481bac454209d2e66a56"/>
                    <w:lock w:val="sdtLocked"/>
                    <w:richText/>
                  </w:sdtPr>
                  <w:sdtContent>
                    <w:p>
                      <w:pPr>
                        <w:tabs>
                          <w:tab w:val="left" w:pos="426"/>
                          <w:tab w:val="left" w:pos="709"/>
                          <w:tab w:val="left" w:pos="1134"/>
                        </w:tabs>
                        <w:ind w:firstLine="709"/>
                        <w:jc w:val="both"/>
                        <w:rPr>
                          <w:rFonts w:eastAsia="Calibri"/>
                          <w:bCs/>
                          <w:szCs w:val="24"/>
                        </w:rPr>
                      </w:pPr>
                      <w:sdt>
                        <w:sdtPr>
                          <w:alias w:val="Numeris"/>
                          <w:tag w:val="nr_892664d7d508481bac454209d2e66a56"/>
                          <w:lock w:val="sdtLocked"/>
                          <w:richText/>
                        </w:sdtPr>
                        <w:sdtContent>
                          <w:r>
                            <w:rPr>
                              <w:rFonts w:eastAsia="Calibri"/>
                              <w:bCs/>
                              <w:szCs w:val="24"/>
                            </w:rPr>
                            <w:t>1.7</w:t>
                          </w:r>
                        </w:sdtContent>
                      </w:sdt>
                      <w:r>
                        <w:rPr>
                          <w:rFonts w:eastAsia="Calibri"/>
                          <w:bCs/>
                          <w:szCs w:val="24"/>
                        </w:rPr>
                        <w:t>.</w:t>
                        <w:tab/>
                      </w:r>
                      <w:r>
                        <w:rPr>
                          <w:rFonts w:eastAsia="Calibri"/>
                          <w:color w:val="000000"/>
                          <w:szCs w:val="24"/>
                          <w:shd w:val="clear" w:color="auto" w:fill="FFFFFF"/>
                        </w:rPr>
                        <w:t>KN 2710 12 31-2710 12 90, 2710 19 21–2710 19 29, 2710 19 43–2710 19 48, 2710 20 11–2710 20 19 subpozicijose nurodytus energinius produktus, panaudotus elektros energijos gamybos procese;</w:t>
                      </w:r>
                    </w:p>
                  </w:sdtContent>
                </w:sdt>
                <w:sdt>
                  <w:sdtPr>
                    <w:alias w:val="1.8 pp."/>
                    <w:tag w:val="part_0c7e3fbe10a64008a3036d19f98d929e"/>
                    <w:lock w:val="sdtLocked"/>
                    <w:richText/>
                  </w:sdtPr>
                  <w:sdtContent>
                    <w:p>
                      <w:pPr>
                        <w:tabs>
                          <w:tab w:val="left" w:pos="1134"/>
                          <w:tab w:val="left" w:pos="1276"/>
                          <w:tab w:val="left" w:pos="1985"/>
                        </w:tabs>
                        <w:ind w:firstLine="709"/>
                        <w:jc w:val="both"/>
                      </w:pPr>
                      <w:sdt>
                        <w:sdtPr>
                          <w:alias w:val="Numeris"/>
                          <w:tag w:val="nr_0c7e3fbe10a64008a3036d19f98d929e"/>
                          <w:lock w:val="sdtLocked"/>
                          <w:richText/>
                        </w:sdtPr>
                        <w:sdtContent>
                          <w:r>
                            <w:rPr>
                              <w:lang w:eastAsia="lt-LT"/>
                            </w:rPr>
                            <w:t>1.8</w:t>
                          </w:r>
                        </w:sdtContent>
                      </w:sdt>
                      <w:r>
                        <w:rPr>
                          <w:lang w:eastAsia="lt-LT"/>
                        </w:rPr>
                        <w:t>. prekes, už kurias pagal Lietuvos Respublikos akcizų įstatymą akcizai galėjo būti neskaičiuojami, buvo sumokėti</w:t>
                      </w:r>
                      <w:r>
                        <w:t xml:space="preserve"> </w:t>
                      </w:r>
                      <w:r>
                        <w:rPr>
                          <w:lang w:eastAsia="lt-LT"/>
                        </w:rPr>
                        <w:t>arba buvo sumokėti nepagrįstai;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2aa71dfb211ef84c3a3cb4f439b27">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2025-01-31,
paskelbta TAR 2025-01-31, i. k. 2025-01476            </w:t>
                      </w:r>
                    </w:p>
                    <w:p/>
                  </w:sdtContent>
                </w:sdt>
                <w:sdt>
                  <w:sdtPr>
                    <w:alias w:val="1.9 pp."/>
                    <w:tag w:val="part_188d558e54894fcf9887a388201689ed"/>
                    <w:lock w:val="sdtLocked"/>
                    <w:richText/>
                  </w:sdtPr>
                  <w:sdtContent>
                    <w:p>
                      <w:pPr>
                        <w:tabs>
                          <w:tab w:val="left" w:pos="1134"/>
                          <w:tab w:val="left" w:pos="1276"/>
                          <w:tab w:val="left" w:pos="1985"/>
                        </w:tabs>
                        <w:ind w:firstLine="709"/>
                        <w:jc w:val="both"/>
                      </w:pPr>
                      <w:sdt>
                        <w:sdtPr>
                          <w:alias w:val="Numeris"/>
                          <w:tag w:val="nr_188d558e54894fcf9887a388201689ed"/>
                          <w:lock w:val="sdtLocked"/>
                          <w:richText/>
                        </w:sdtPr>
                        <w:sdtContent>
                          <w:r>
                            <w:rPr>
                              <w:lang w:eastAsia="lt-LT"/>
                            </w:rPr>
                            <w:t>1.9</w:t>
                          </w:r>
                        </w:sdtContent>
                      </w:sdt>
                      <w:r>
                        <w:rPr>
                          <w:lang w:eastAsia="lt-LT"/>
                        </w:rPr>
                        <w:t>. energinius produktus, kuriems turėjo būti pritaikyta anglies dioksido dedamosios akcizų lengvata, nurodyta Akcizų įstatymo 43 straipsnio 1</w:t>
                      </w:r>
                      <w:r>
                        <w:rPr>
                          <w:vertAlign w:val="superscript"/>
                          <w:lang w:eastAsia="lt-LT"/>
                        </w:rPr>
                        <w:t xml:space="preserve">1 </w:t>
                      </w:r>
                      <w:r>
                        <w:rPr>
                          <w:lang w:eastAsia="lt-LT"/>
                        </w:rPr>
                        <w:t>dalyje, tačiau anglies dioksido dedamoji už šiuos produktus buvo sumokėta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2aa71dfb211ef84c3a3cb4f439b27">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2025-01-31,
paskelbta TAR 2025-01-31, i. k. 2025-01476        </w:t>
                      </w:r>
                    </w:p>
                    <w:p/>
                  </w:sdtContent>
                </w:sdt>
              </w:sdtContent>
            </w:sdt>
            <w:sdt>
              <w:sdtPr>
                <w:alias w:val="1-1 p."/>
                <w:tag w:val="part_940558745ac34e2f926d7e56bd621afb"/>
                <w:lock w:val="sdtLocked"/>
                <w:richText/>
              </w:sdtPr>
              <w:sdtContent>
                <w:p>
                  <w:pPr>
                    <w:tabs>
                      <w:tab w:val="left" w:pos="1134"/>
                      <w:tab w:val="left" w:pos="1276"/>
                      <w:tab w:val="left" w:pos="1985"/>
                    </w:tabs>
                    <w:ind w:firstLine="709"/>
                    <w:jc w:val="both"/>
                  </w:pPr>
                  <w:sdt>
                    <w:sdtPr>
                      <w:alias w:val="Numeris"/>
                      <w:tag w:val="nr_940558745ac34e2f926d7e56bd621afb"/>
                      <w:lock w:val="sdtLocked"/>
                      <w:richText/>
                    </w:sdtPr>
                    <w:sdtContent>
                      <w:r>
                        <w:rPr>
                          <w:szCs w:val="24"/>
                          <w:lang w:eastAsia="lt-LT"/>
                        </w:rPr>
                        <w:t>1</w:t>
                      </w:r>
                      <w:r>
                        <w:rPr>
                          <w:szCs w:val="24"/>
                          <w:vertAlign w:val="superscript"/>
                          <w:lang w:eastAsia="lt-LT"/>
                        </w:rPr>
                        <w:t>1</w:t>
                      </w:r>
                    </w:sdtContent>
                  </w:sdt>
                  <w:r>
                    <w:rPr>
                      <w:szCs w:val="24"/>
                      <w:lang w:eastAsia="lt-LT"/>
                    </w:rPr>
                    <w:t>. Grąžinant sumokėtus akcizus už prekes, kurios negrįžtamai prarastos, visiškai sunaikintos arba prarastos dėl nenugalimos jėgos aplinkybių, taikomos tik šių taisyklių 5 punkto ir III–IV skyrių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2aa71dfb211ef84c3a3cb4f439b27">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2025-01-31,
paskelbta TAR 2025-01-31, i. k. 2025-01476        </w:t>
                  </w:r>
                </w:p>
                <w:p/>
              </w:sdtContent>
            </w:sdt>
            <w:sdt>
              <w:sdtPr>
                <w:alias w:val="2 p."/>
                <w:tag w:val="part_b0f6cd90deb9409f920bc379b472ca83"/>
                <w:lock w:val="sdtLocked"/>
                <w:richText/>
              </w:sdtPr>
              <w:sdtContent>
                <w:p>
                  <w:pPr>
                    <w:tabs>
                      <w:tab w:val="left" w:pos="426"/>
                      <w:tab w:val="left" w:pos="993"/>
                    </w:tabs>
                    <w:ind w:firstLine="709"/>
                    <w:jc w:val="both"/>
                    <w:rPr>
                      <w:rFonts w:eastAsia="Calibri"/>
                      <w:color w:val="000000"/>
                      <w:szCs w:val="24"/>
                      <w:shd w:val="clear" w:color="auto" w:fill="FFFFFF"/>
                      <w:lang w:eastAsia="lt-LT"/>
                    </w:rPr>
                  </w:pPr>
                  <w:sdt>
                    <w:sdtPr>
                      <w:alias w:val="Numeris"/>
                      <w:tag w:val="nr_b0f6cd90deb9409f920bc379b472ca83"/>
                      <w:lock w:val="sdtLocked"/>
                      <w:richText/>
                    </w:sdtPr>
                    <w:sdtContent>
                      <w:r>
                        <w:rPr>
                          <w:rFonts w:eastAsia="Calibri"/>
                          <w:color w:val="000000"/>
                          <w:szCs w:val="24"/>
                          <w:lang w:eastAsia="lt-LT"/>
                        </w:rPr>
                        <w:t>2</w:t>
                      </w:r>
                    </w:sdtContent>
                  </w:sdt>
                  <w:r>
                    <w:rPr>
                      <w:rFonts w:eastAsia="Calibri"/>
                      <w:color w:val="000000"/>
                      <w:szCs w:val="24"/>
                      <w:lang w:eastAsia="lt-LT"/>
                    </w:rPr>
                    <w:t>.</w:t>
                    <w:tab/>
                  </w:r>
                  <w:r>
                    <w:rPr>
                      <w:rFonts w:eastAsia="Calibri"/>
                      <w:color w:val="000000"/>
                      <w:szCs w:val="24"/>
                      <w:shd w:val="clear" w:color="auto" w:fill="FFFFFF"/>
                      <w:lang w:eastAsia="lt-LT"/>
                    </w:rPr>
                    <w:t>Šios taisyklės netaikomos:</w:t>
                  </w:r>
                </w:p>
                <w:sdt>
                  <w:sdtPr>
                    <w:alias w:val="2.1 pp."/>
                    <w:tag w:val="part_ab99e773a7614af89e25835062fff5ba"/>
                    <w:lock w:val="sdtLocked"/>
                    <w:richText/>
                  </w:sdtPr>
                  <w:sdtContent>
                    <w:p>
                      <w:pPr>
                        <w:tabs>
                          <w:tab w:val="left" w:pos="426"/>
                          <w:tab w:val="left" w:pos="1134"/>
                        </w:tabs>
                        <w:ind w:firstLine="709"/>
                        <w:jc w:val="both"/>
                        <w:rPr>
                          <w:rFonts w:eastAsia="Calibri"/>
                          <w:color w:val="000000"/>
                          <w:szCs w:val="24"/>
                          <w:shd w:val="clear" w:color="auto" w:fill="FFFFFF"/>
                          <w:lang w:eastAsia="lt-LT"/>
                        </w:rPr>
                      </w:pPr>
                      <w:sdt>
                        <w:sdtPr>
                          <w:alias w:val="Numeris"/>
                          <w:tag w:val="nr_ab99e773a7614af89e25835062fff5ba"/>
                          <w:lock w:val="sdtLocked"/>
                          <w:richText/>
                        </w:sdtPr>
                        <w:sdtContent>
                          <w:r>
                            <w:rPr>
                              <w:rFonts w:eastAsia="Calibri"/>
                              <w:szCs w:val="24"/>
                              <w:lang w:eastAsia="lt-LT"/>
                            </w:rPr>
                            <w:t>2.1</w:t>
                          </w:r>
                        </w:sdtContent>
                      </w:sdt>
                      <w:r>
                        <w:rPr>
                          <w:rFonts w:eastAsia="Calibri"/>
                          <w:szCs w:val="24"/>
                          <w:lang w:eastAsia="lt-LT"/>
                        </w:rPr>
                        <w:t>.</w:t>
                        <w:tab/>
                      </w:r>
                      <w:r>
                        <w:rPr>
                          <w:rFonts w:eastAsia="Calibri"/>
                          <w:color w:val="000000"/>
                          <w:szCs w:val="24"/>
                          <w:shd w:val="clear" w:color="auto" w:fill="FFFFFF"/>
                          <w:lang w:eastAsia="lt-LT"/>
                        </w:rPr>
                        <w:t>prekių sandėlių savininkams ir akcizų už elektroninių cigarečių skystį mokėtojams, kai grąžintina akcizų suma susiformuoja, pateikus atitinkamą akcizų deklaraciją, vadovaujantis Valstybinės mokesčių inspekcijos prie Lietuvos Respublikos finansų ministerijos viršininko 2004 m. gegužės 26 d. įsakymu Nr. VA-106 „Dėl Akcizų deklaracijų FR0630 ir FR0630A formų, jų priedų užpildymo ir pateikimo taisyklių patvirtinimo“, ir asmuo šiuos akcizus (permoką) susigrąžina, pateikęs Prašymą grąžinti (įskaityti) permoką (skirtumą) ar nepagrįstai išieškotas sumas, kurio forma FR0781 patvirtinta Valstybinės mokesčių inspekcijos prie Lietuvos Respublikos finansų ministerijos viršininko 2004 m. gruodžio 7 d. įsakymu Nr. </w:t>
                      </w:r>
                      <w:r>
                        <w:rPr>
                          <w:rFonts w:eastAsia="Calibri"/>
                          <w:iCs/>
                          <w:color w:val="000000"/>
                          <w:szCs w:val="24"/>
                          <w:shd w:val="clear" w:color="auto" w:fill="FFFFFF"/>
                          <w:lang w:eastAsia="lt-LT"/>
                        </w:rPr>
                        <w:t>VA-186</w:t>
                      </w:r>
                      <w:r>
                        <w:rPr>
                          <w:rFonts w:eastAsia="Calibri"/>
                          <w:color w:val="000000"/>
                          <w:szCs w:val="24"/>
                          <w:shd w:val="clear" w:color="auto" w:fill="FFFFFF"/>
                          <w:lang w:eastAsia="lt-LT"/>
                        </w:rPr>
                        <w:t> „Dėl Mokesčių mokėtojo permokos (skirtumo) ar nepagrįstai išieškotų sumų grąžinimo (įskaitymo)“ (toliau – VA-186 įsakymas), vadovaudamasis Mokesčių mokėtojo permokos (skirtumo) ar nepagrįstai išieškotų sumų grąžinimo (įskaitymo) taisyklių, patvirtintų VA-186 įsakymu, nuostatomis;</w:t>
                      </w:r>
                    </w:p>
                  </w:sdtContent>
                </w:sdt>
                <w:sdt>
                  <w:sdtPr>
                    <w:alias w:val="2.2 pp."/>
                    <w:tag w:val="part_2bcdc237b48f4e94b826a9df7cd4ccec"/>
                    <w:lock w:val="sdtLocked"/>
                    <w:richText/>
                  </w:sdtPr>
                  <w:sdtContent>
                    <w:p>
                      <w:pPr>
                        <w:tabs>
                          <w:tab w:val="left" w:pos="426"/>
                          <w:tab w:val="left" w:pos="1134"/>
                        </w:tabs>
                        <w:ind w:firstLine="709"/>
                        <w:jc w:val="both"/>
                        <w:rPr>
                          <w:rFonts w:eastAsia="Calibri"/>
                          <w:color w:val="000000"/>
                          <w:szCs w:val="24"/>
                          <w:shd w:val="clear" w:color="auto" w:fill="FFFFFF"/>
                          <w:lang w:eastAsia="lt-LT"/>
                        </w:rPr>
                      </w:pPr>
                      <w:sdt>
                        <w:sdtPr>
                          <w:alias w:val="Numeris"/>
                          <w:tag w:val="nr_2bcdc237b48f4e94b826a9df7cd4ccec"/>
                          <w:lock w:val="sdtLocked"/>
                          <w:richText/>
                        </w:sdtPr>
                        <w:sdtContent>
                          <w:r>
                            <w:rPr>
                              <w:rFonts w:eastAsia="Calibri"/>
                              <w:szCs w:val="24"/>
                              <w:lang w:eastAsia="lt-LT"/>
                            </w:rPr>
                            <w:t>2.2</w:t>
                          </w:r>
                        </w:sdtContent>
                      </w:sdt>
                      <w:r>
                        <w:rPr>
                          <w:rFonts w:eastAsia="Calibri"/>
                          <w:szCs w:val="24"/>
                          <w:lang w:eastAsia="lt-LT"/>
                        </w:rPr>
                        <w:t>.</w:t>
                        <w:tab/>
                      </w:r>
                      <w:r>
                        <w:rPr>
                          <w:rFonts w:eastAsia="Calibri"/>
                          <w:bCs/>
                          <w:color w:val="000000"/>
                          <w:szCs w:val="24"/>
                          <w:lang w:eastAsia="lt-LT"/>
                        </w:rPr>
                        <w:t>Akcizų įstatymo 33 straipsnio 1 dalyje, 64 straipsnio 3 dalyje ir 72 straipsnio 4 dalyje nurodytais atvejais,</w:t>
                      </w:r>
                      <w:r>
                        <w:rPr>
                          <w:rFonts w:eastAsia="Calibri"/>
                          <w:color w:val="000000"/>
                          <w:szCs w:val="24"/>
                          <w:lang w:eastAsia="lt-LT"/>
                        </w:rPr>
                        <w:t xml:space="preserve"> kai, prižiūrint kompetentingai institucijai, sunaikinamas apdorotas, neapdorotas tabakas, kaitinamojo tabako produktai ir kai akcizai grąžinami </w:t>
                      </w:r>
                      <w:r>
                        <w:rPr>
                          <w:rFonts w:eastAsia="Calibri"/>
                          <w:color w:val="000000"/>
                          <w:szCs w:val="24"/>
                          <w:shd w:val="clear" w:color="auto" w:fill="FFFFFF"/>
                          <w:lang w:eastAsia="lt-LT"/>
                        </w:rPr>
                        <w:t xml:space="preserve">Apdoroto tabako, neapdoroto tabako ir kaitinamojo tabako produktų sunaikinimo, prižiūrint Valstybinei mokesčių inspekcijai, ir atleidimo nuo akcizų taisyklėse, patvirtintose </w:t>
                      </w:r>
                      <w:r>
                        <w:rPr>
                          <w:rFonts w:eastAsia="Calibri"/>
                          <w:color w:val="000000"/>
                          <w:szCs w:val="24"/>
                          <w:lang w:eastAsia="lt-LT"/>
                        </w:rPr>
                        <w:t>Valstybinės mokesčių inspekcijos prie Lietuvos Respublikos finansų ministerijos viršininko 2004 m. rugsėjo 2 d. įsakymu Nr. </w:t>
                      </w:r>
                      <w:r>
                        <w:rPr>
                          <w:rFonts w:eastAsia="Calibri"/>
                          <w:iCs/>
                          <w:color w:val="000000"/>
                          <w:szCs w:val="24"/>
                          <w:lang w:eastAsia="lt-LT"/>
                        </w:rPr>
                        <w:t>VA-155 „Dėl Apdoroto tabako, neapdoroto tabako ir kaitinamojo tabako produktų sunaikinimo, prižiūrint Valstybinei mokesčių inspekcijai, ir atleidimo nuo akcizų taisyklių patvirtinimo“, nustatyta tvarka;</w:t>
                      </w:r>
                    </w:p>
                  </w:sdtContent>
                </w:sdt>
                <w:sdt>
                  <w:sdtPr>
                    <w:alias w:val="2.3 pp."/>
                    <w:tag w:val="part_215e2e70f47d44a4b055552493300afe"/>
                    <w:lock w:val="sdtLocked"/>
                    <w:richText/>
                  </w:sdtPr>
                  <w:sdtContent>
                    <w:p>
                      <w:pPr>
                        <w:tabs>
                          <w:tab w:val="left" w:pos="426"/>
                          <w:tab w:val="left" w:pos="1134"/>
                        </w:tabs>
                        <w:ind w:firstLine="709"/>
                        <w:jc w:val="both"/>
                        <w:rPr>
                          <w:rFonts w:eastAsia="Calibri"/>
                          <w:color w:val="000000"/>
                          <w:szCs w:val="24"/>
                          <w:shd w:val="clear" w:color="auto" w:fill="FFFFFF"/>
                          <w:lang w:eastAsia="lt-LT"/>
                        </w:rPr>
                      </w:pPr>
                      <w:sdt>
                        <w:sdtPr>
                          <w:alias w:val="Numeris"/>
                          <w:tag w:val="nr_215e2e70f47d44a4b055552493300afe"/>
                          <w:lock w:val="sdtLocked"/>
                          <w:richText/>
                        </w:sdtPr>
                        <w:sdtContent>
                          <w:r>
                            <w:rPr>
                              <w:rFonts w:eastAsia="Calibri"/>
                              <w:szCs w:val="24"/>
                              <w:lang w:eastAsia="lt-LT"/>
                            </w:rPr>
                            <w:t>2.3</w:t>
                          </w:r>
                        </w:sdtContent>
                      </w:sdt>
                      <w:r>
                        <w:rPr>
                          <w:rFonts w:eastAsia="Calibri"/>
                          <w:szCs w:val="24"/>
                          <w:lang w:eastAsia="lt-LT"/>
                        </w:rPr>
                        <w:t>.</w:t>
                        <w:tab/>
                      </w:r>
                      <w:r>
                        <w:rPr>
                          <w:rFonts w:eastAsia="Calibri"/>
                          <w:iCs/>
                          <w:color w:val="000000"/>
                          <w:szCs w:val="24"/>
                          <w:lang w:eastAsia="lt-LT"/>
                        </w:rPr>
                        <w:t xml:space="preserve">Akcizų įstatymo 19 </w:t>
                      </w:r>
                      <w:r>
                        <w:rPr>
                          <w:rFonts w:eastAsia="Calibri"/>
                          <w:color w:val="000000"/>
                          <w:szCs w:val="24"/>
                          <w:lang w:eastAsia="lt-LT"/>
                        </w:rPr>
                        <w:t>straipsnio 1 dalies 2, 3, 6, 7, 8, 9 punktuose nustatytais atvejais.</w:t>
                      </w:r>
                    </w:p>
                  </w:sdtContent>
                </w:sdt>
              </w:sdtContent>
            </w:sdt>
            <w:sdt>
              <w:sdtPr>
                <w:alias w:val="3 p."/>
                <w:tag w:val="part_0dbd79e9bfdf47d3bfa30af5a6c89454"/>
                <w:lock w:val="sdtLocked"/>
                <w:richText/>
              </w:sdtPr>
              <w:sdtContent>
                <w:p>
                  <w:pPr>
                    <w:tabs>
                      <w:tab w:val="left" w:pos="1134"/>
                      <w:tab w:val="left" w:pos="1276"/>
                      <w:tab w:val="left" w:pos="1985"/>
                    </w:tabs>
                    <w:ind w:firstLine="709"/>
                    <w:jc w:val="both"/>
                    <w:rPr>
                      <w:rFonts w:eastAsia="Calibri"/>
                      <w:bCs/>
                      <w:szCs w:val="24"/>
                    </w:rPr>
                  </w:pPr>
                  <w:sdt>
                    <w:sdtPr>
                      <w:alias w:val="Numeris"/>
                      <w:tag w:val="nr_0dbd79e9bfdf47d3bfa30af5a6c89454"/>
                      <w:lock w:val="sdtLocked"/>
                      <w:richText/>
                    </w:sdtPr>
                    <w:sdtContent>
                      <w:r>
                        <w:rPr>
                          <w:szCs w:val="24"/>
                          <w:lang w:eastAsia="lt-LT"/>
                        </w:rPr>
                        <w:t>3</w:t>
                      </w:r>
                    </w:sdtContent>
                  </w:sdt>
                  <w:r>
                    <w:rPr>
                      <w:szCs w:val="24"/>
                      <w:lang w:eastAsia="lt-LT"/>
                    </w:rPr>
                    <w:t>. Taisyklės parengtos, vadovaujantis Akcizų įstatymu, Lietuvos Respublikos mokesčių administravimo įstatymu, Lietuvos Respublikos Vyriausybės 2002 m. vasario 15 d. nutarimu Nr. 235 „Dėl įgaliojimų suteikimo įgyvendinant Lietuvos Respublikos akcizų įstatymą“, Energinių produktų atleidimo nuo anglies dioksido dedamosios taikymo tvarkos aprašo, patvirtinto Lietuvos Respublikos Vyriausybės 2002 m. birželio 4 d. nutarimu Nr. 821 „Dėl Lietuvos Respublikos akcizų įstatymo įgyvendinimo“, Lietuvos Respublikos akcizų įstatymo 43 straipsnio 1 dalies 3–5 punktuose nustatytų lengvatų taikymo taisyklių, patvirtintų Lietuvos Respublikos Vyriausybės 2002 m. birželio 4 d. nutarimu Nr. 821 „Dėl Lietuvos Respublikos akcizų įstatymo įgyvendinimo“ (toliau – Lengvatų taikymo taisyklės), Akcizų lengvatos etilo alkoholiui, naudojamam medicinos priemonių gamybos procesams, jeigu galutiniame produkte nėra etilo alkoholio, taikymo taisyklių, patvirtintų Lietuvos Respublikos Vyriausybės 2002 m. birželio 4 d. nutarimu Nr. 821 „Dėl Lietuvos Respublikos akcizų įstatymo įgyvendinimo“, Panaudoto apdoroto tabako, kaitinamojo tabako produktų, elektroninių cigarečių skysčio ir neapdoroto tabako atleidimo nuo akcizų tvarkos aprašo, patvirtinto Valstybinės mokesčių inspekcijos prie Lietuvos Respublikos finansų ministerijos viršininko 2006 m. sausio 6 d. įsakymu Nr. VA-2 „Dėl Panaudoto apdoroto tabako, kaitinamojo tabako produktų, elektroninių cigarečių skysčio ir neapdoroto tabako atleidimo nuo akcizų tvarkos aprašo patvirtinimo“ (toliau – Tvarkos aprašas), Įrodymų, kad akcizais apmokestinamos prekės negrįžtamai prarastos ar visiškai sunaikintos, pateikimo ir sprendimo dėl akcizais apmokestinamų prekių praradimo aplinkybių pripažinimo nenugalimos jėgos, negrįžtamo praradimo ar visiško sunaikinimo priėmimo taisyklių, patvirtintų Valstybinės mokesčių inspekcijos prie Lietuvos Respublikos finansų ministerijos viršininko 2011 m. gruodžio 30 d. įsakymu Nr. VA-144 „Dėl Įrodymų, kad akcizais apmokestinamos prekės negrįžtamai prarastos ar visiškai sunaikintos, pateikimo ir sprendimo dėl akcizais apmokestinamų prekių praradimo aplinkybių pripažinimo nenugalimos jėgos, negrįžtamo praradimo ar visiško sunaikinimo priėmimo taisyklių patvirtinimo“ (toliau – Prekių pripažinimo prarastomis taisyklės), Akcizų lengvatų taikymo etilo alkoholiui ir (arba) alkoholiniams gėrimams, skirtiems Lietuvos Respublikos akcizų įstatymo 27 straipsnio 1 dalies 4–7 ir 9 punktuose nurodytiems tikslams, tvarkos aprašo, patvirtinto Valstybinės mokesčių inspekcijos prie Lietuvos Respublikos finansų ministerijos viršininko ir Muitinės departamento prie Lietuvos Respublikos finansų ministerijos generalinio direktoriaus 2023 m. spalio 11 d. įsakymu Nr. VA-75/1BE-719 „Dėl Akcizų lengvatų taikymo etilo alkoholiui ir (arba) alkoholiniams gėrimams, skirtiems Lietuvos Respublikos akcizų įstatymo 27 straipsnio 1 dalies 4–7 ir 9 punktuose nurodytiems tikslams, tvarkos aprašo patvirtinimo“, nuostatomis.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2aa71dfb211ef84c3a3cb4f439b27">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2025-01-31,
paskelbta TAR 2025-01-31, i. k. 2025-01476            </w:t>
                  </w:r>
                </w:p>
                <w:p/>
              </w:sdtContent>
            </w:sdt>
            <w:sdt>
              <w:sdtPr>
                <w:alias w:val="4 p."/>
                <w:tag w:val="part_5c7f0cd8f4874d039d800257e414b306"/>
                <w:lock w:val="sdtLocked"/>
                <w:richText/>
              </w:sdtPr>
              <w:sdtContent>
                <w:p>
                  <w:pPr>
                    <w:tabs>
                      <w:tab w:val="left" w:pos="426"/>
                      <w:tab w:val="left" w:pos="993"/>
                    </w:tabs>
                    <w:ind w:firstLine="709"/>
                    <w:jc w:val="both"/>
                    <w:rPr>
                      <w:rFonts w:eastAsia="Calibri"/>
                      <w:bCs/>
                      <w:szCs w:val="24"/>
                    </w:rPr>
                  </w:pPr>
                  <w:sdt>
                    <w:sdtPr>
                      <w:alias w:val="Numeris"/>
                      <w:tag w:val="nr_5c7f0cd8f4874d039d800257e414b306"/>
                      <w:lock w:val="sdtLocked"/>
                      <w:richText/>
                    </w:sdtPr>
                    <w:sdtContent>
                      <w:r>
                        <w:rPr>
                          <w:rFonts w:eastAsia="Calibri"/>
                          <w:bCs/>
                          <w:szCs w:val="24"/>
                        </w:rPr>
                        <w:t>4</w:t>
                      </w:r>
                    </w:sdtContent>
                  </w:sdt>
                  <w:r>
                    <w:rPr>
                      <w:rFonts w:eastAsia="Calibri"/>
                      <w:bCs/>
                      <w:szCs w:val="24"/>
                    </w:rPr>
                    <w:t>.</w:t>
                    <w:tab/>
                    <w:t>Pagal šias taisykles akcizai grąžinami asmenims, kurie:</w:t>
                  </w:r>
                </w:p>
                <w:sdt>
                  <w:sdtPr>
                    <w:alias w:val="4.1 pp."/>
                    <w:tag w:val="part_d50edd9d7472489eb5d8d88af68034a8"/>
                    <w:lock w:val="sdtLocked"/>
                    <w:richText/>
                  </w:sdtPr>
                  <w:sdtContent>
                    <w:p>
                      <w:pPr>
                        <w:tabs>
                          <w:tab w:val="left" w:pos="426"/>
                          <w:tab w:val="left" w:pos="993"/>
                        </w:tabs>
                        <w:ind w:left="1189" w:hanging="480"/>
                        <w:jc w:val="both"/>
                        <w:rPr>
                          <w:rFonts w:eastAsia="Calibri"/>
                          <w:bCs/>
                          <w:szCs w:val="24"/>
                        </w:rPr>
                      </w:pPr>
                      <w:sdt>
                        <w:sdtPr>
                          <w:alias w:val="Numeris"/>
                          <w:tag w:val="nr_d50edd9d7472489eb5d8d88af68034a8"/>
                          <w:lock w:val="sdtLocked"/>
                          <w:richText/>
                        </w:sdtPr>
                        <w:sdtContent>
                          <w:r>
                            <w:rPr>
                              <w:rFonts w:eastAsia="Calibri"/>
                              <w:bCs/>
                              <w:szCs w:val="24"/>
                            </w:rPr>
                            <w:t>4.1</w:t>
                          </w:r>
                        </w:sdtContent>
                      </w:sdt>
                      <w:r>
                        <w:rPr>
                          <w:rFonts w:eastAsia="Calibri"/>
                          <w:bCs/>
                          <w:szCs w:val="24"/>
                        </w:rPr>
                        <w:t>.</w:t>
                        <w:tab/>
                        <w:t>sumokėjo akcizus už prekes, už kurias pagal Akcizų įstatymą akcizai gali būti grąžinti;</w:t>
                      </w:r>
                    </w:p>
                  </w:sdtContent>
                </w:sdt>
                <w:sdt>
                  <w:sdtPr>
                    <w:alias w:val="4.2 pp."/>
                    <w:tag w:val="part_d91423a3ab624f11bc2ea535f5d35077"/>
                    <w:lock w:val="sdtLocked"/>
                    <w:richText/>
                  </w:sdtPr>
                  <w:sdtContent>
                    <w:p>
                      <w:pPr>
                        <w:tabs>
                          <w:tab w:val="left" w:pos="426"/>
                          <w:tab w:val="left" w:pos="993"/>
                        </w:tabs>
                        <w:ind w:left="1189" w:hanging="480"/>
                        <w:jc w:val="both"/>
                        <w:rPr>
                          <w:rFonts w:eastAsia="Calibri"/>
                          <w:bCs/>
                          <w:szCs w:val="24"/>
                        </w:rPr>
                      </w:pPr>
                      <w:sdt>
                        <w:sdtPr>
                          <w:alias w:val="Numeris"/>
                          <w:tag w:val="nr_d91423a3ab624f11bc2ea535f5d35077"/>
                          <w:lock w:val="sdtLocked"/>
                          <w:richText/>
                        </w:sdtPr>
                        <w:sdtContent>
                          <w:r>
                            <w:rPr>
                              <w:rFonts w:eastAsia="Calibri"/>
                              <w:bCs/>
                              <w:szCs w:val="24"/>
                            </w:rPr>
                            <w:t>4.2</w:t>
                          </w:r>
                        </w:sdtContent>
                      </w:sdt>
                      <w:r>
                        <w:rPr>
                          <w:rFonts w:eastAsia="Calibri"/>
                          <w:bCs/>
                          <w:szCs w:val="24"/>
                        </w:rPr>
                        <w:t>.</w:t>
                        <w:tab/>
                        <w:t>sumokėjo akcizus už prekes, už kurias akcizai neturėjo būti skaičiuojami.</w:t>
                      </w:r>
                    </w:p>
                  </w:sdtContent>
                </w:sdt>
              </w:sdtContent>
            </w:sdt>
            <w:sdt>
              <w:sdtPr>
                <w:alias w:val="5 p."/>
                <w:tag w:val="part_7bb4c2439f334ed7bd80252d30aad83d"/>
                <w:lock w:val="sdtLocked"/>
                <w:richText/>
              </w:sdtPr>
              <w:sdtContent>
                <w:p>
                  <w:pPr>
                    <w:tabs>
                      <w:tab w:val="left" w:pos="567"/>
                      <w:tab w:val="left" w:pos="993"/>
                      <w:tab w:val="left" w:pos="1134"/>
                    </w:tabs>
                    <w:ind w:firstLine="709"/>
                    <w:jc w:val="both"/>
                    <w:rPr>
                      <w:rFonts w:eastAsia="Calibri"/>
                      <w:bCs/>
                      <w:szCs w:val="24"/>
                    </w:rPr>
                  </w:pPr>
                  <w:sdt>
                    <w:sdtPr>
                      <w:alias w:val="Numeris"/>
                      <w:tag w:val="nr_7bb4c2439f334ed7bd80252d30aad83d"/>
                      <w:lock w:val="sdtLocked"/>
                      <w:richText/>
                    </w:sdtPr>
                    <w:sdtContent>
                      <w:r>
                        <w:rPr>
                          <w:rFonts w:eastAsia="Calibri"/>
                          <w:bCs/>
                          <w:szCs w:val="24"/>
                        </w:rPr>
                        <w:t>5</w:t>
                      </w:r>
                    </w:sdtContent>
                  </w:sdt>
                  <w:r>
                    <w:rPr>
                      <w:rFonts w:eastAsia="Calibri"/>
                      <w:bCs/>
                      <w:szCs w:val="24"/>
                    </w:rPr>
                    <w:t>.</w:t>
                    <w:tab/>
                  </w:r>
                  <w:r>
                    <w:rPr>
                      <w:rFonts w:eastAsia="Calibri"/>
                      <w:color w:val="000000"/>
                      <w:szCs w:val="24"/>
                    </w:rPr>
                    <w:t>Asmenys, norėdami susigrąžinti (įskaityti) akcizus, turi pateikti šių taisyklių nustatyta tvarka užpildytą prašymą grąžinti / įskaityti sumokėtus akcizus (toliau – prašymas).</w:t>
                  </w:r>
                  <w:r>
                    <w:rPr>
                      <w:rFonts w:eastAsia="Calibri"/>
                      <w:bCs/>
                      <w:szCs w:val="24"/>
                    </w:rPr>
                    <w:t xml:space="preserve"> Akcizų grąžinimo (įskaitymo) paslaugos užsakomos ir gaunamos elektroniniu būdu Valstybinės mokesčių inspekcijos portalo e. VMI autorizuotų elektroninių paslaugų srityje Mano VMI (toliau – Mano VMI). Naudojimosi Mano VMI tvarka nustatyta Valstybinės mokesčių inspekcijos portalo e. VMI autorizuotų elektroninių paslaugų srities Mano VMI naudojimo taisyklėse, patvirtintose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p>
                <w:p>
                  <w:pPr>
                    <w:tabs>
                      <w:tab w:val="left" w:pos="709"/>
                      <w:tab w:val="left" w:pos="1134"/>
                    </w:tabs>
                    <w:ind w:firstLine="709"/>
                    <w:jc w:val="both"/>
                    <w:rPr>
                      <w:rFonts w:eastAsia="Calibri"/>
                      <w:color w:val="000000"/>
                      <w:szCs w:val="24"/>
                      <w:shd w:val="clear" w:color="auto" w:fill="FFFFFF"/>
                    </w:rPr>
                  </w:pPr>
                  <w:r>
                    <w:rPr>
                      <w:rFonts w:eastAsia="Calibri"/>
                      <w:bCs/>
                      <w:szCs w:val="24"/>
                    </w:rPr>
                    <w:t>Asmenys, norėdami susigrąžinti (įskaityti) akcizus už prekes, kurios</w:t>
                  </w:r>
                  <w:r>
                    <w:rPr>
                      <w:rFonts w:eastAsia="Calibri"/>
                      <w:iCs/>
                      <w:color w:val="000000"/>
                      <w:szCs w:val="24"/>
                    </w:rPr>
                    <w:t xml:space="preserve"> </w:t>
                  </w:r>
                  <w:r>
                    <w:rPr>
                      <w:rFonts w:eastAsia="Calibri"/>
                      <w:color w:val="000000"/>
                      <w:szCs w:val="24"/>
                      <w:shd w:val="clear" w:color="auto" w:fill="FFFFFF"/>
                    </w:rPr>
                    <w:t>negrįžtamai prarastos, visiškai sunaikintos arba prarastos dėl nenugalimos jėgos aplinkybių, prašymą teikia pagal Prekių pripažinimo prarastomis taisykles.</w:t>
                  </w:r>
                </w:p>
                <w:p>
                  <w:pPr>
                    <w:ind w:firstLine="709"/>
                    <w:jc w:val="both"/>
                    <w:rPr>
                      <w:rFonts w:eastAsia="Calibri"/>
                      <w:szCs w:val="24"/>
                    </w:rPr>
                  </w:pPr>
                  <w:r>
                    <w:rPr>
                      <w:rFonts w:eastAsia="Calibri"/>
                      <w:color w:val="000000"/>
                      <w:szCs w:val="24"/>
                      <w:shd w:val="clear" w:color="auto" w:fill="FFFFFF"/>
                    </w:rPr>
                    <w:t xml:space="preserve">Asmenys, norėdami patikslinti Mano VMI pateiktą prašymą, turi atsisakyti paslaugos ir pateikti naują prašymą. </w:t>
                  </w:r>
                </w:p>
              </w:sdtContent>
            </w:sdt>
            <w:sdt>
              <w:sdtPr>
                <w:alias w:val="6 p."/>
                <w:tag w:val="part_104f6e7f8df1492ba58ceeb86251b6ca"/>
                <w:lock w:val="sdtLocked"/>
                <w:richText/>
              </w:sdtPr>
              <w:sdtContent>
                <w:p>
                  <w:pPr>
                    <w:tabs>
                      <w:tab w:val="left" w:pos="426"/>
                      <w:tab w:val="left" w:pos="993"/>
                    </w:tabs>
                    <w:ind w:firstLine="709"/>
                    <w:jc w:val="both"/>
                    <w:rPr>
                      <w:rFonts w:eastAsia="Calibri"/>
                      <w:color w:val="000000"/>
                      <w:szCs w:val="24"/>
                      <w:shd w:val="clear" w:color="auto" w:fill="FFFFFF"/>
                    </w:rPr>
                  </w:pPr>
                  <w:sdt>
                    <w:sdtPr>
                      <w:alias w:val="Numeris"/>
                      <w:tag w:val="nr_104f6e7f8df1492ba58ceeb86251b6ca"/>
                      <w:lock w:val="sdtLocked"/>
                      <w:richText/>
                    </w:sdtPr>
                    <w:sdtContent>
                      <w:r>
                        <w:rPr>
                          <w:rFonts w:eastAsia="Calibri"/>
                          <w:color w:val="000000"/>
                          <w:szCs w:val="24"/>
                        </w:rPr>
                        <w:t>6</w:t>
                      </w:r>
                    </w:sdtContent>
                  </w:sdt>
                  <w:r>
                    <w:rPr>
                      <w:rFonts w:eastAsia="Calibri"/>
                      <w:color w:val="000000"/>
                      <w:szCs w:val="24"/>
                    </w:rPr>
                    <w:t>.</w:t>
                    <w:tab/>
                  </w:r>
                  <w:r>
                    <w:rPr>
                      <w:rFonts w:eastAsia="Calibri"/>
                      <w:bCs/>
                      <w:szCs w:val="24"/>
                    </w:rPr>
                    <w:t xml:space="preserve">Prašymus priima, nagrinėja ir akcizus grąžina (įskaito) Valstybinė mokesčių inspekcija. </w:t>
                  </w:r>
                </w:p>
              </w:sdtContent>
            </w:sdt>
            <w:sdt>
              <w:sdtPr>
                <w:alias w:val="7 p."/>
                <w:tag w:val="part_a8bfbd57bc6747a4a25fd2da48f9530c"/>
                <w:lock w:val="sdtLocked"/>
                <w:richText/>
              </w:sdtPr>
              <w:sdtContent>
                <w:p>
                  <w:pPr>
                    <w:tabs>
                      <w:tab w:val="left" w:pos="426"/>
                      <w:tab w:val="left" w:pos="993"/>
                    </w:tabs>
                    <w:ind w:firstLine="709"/>
                    <w:jc w:val="both"/>
                    <w:rPr>
                      <w:rFonts w:eastAsia="Calibri"/>
                      <w:color w:val="000000"/>
                      <w:szCs w:val="24"/>
                      <w:shd w:val="clear" w:color="auto" w:fill="FFFFFF"/>
                    </w:rPr>
                  </w:pPr>
                  <w:sdt>
                    <w:sdtPr>
                      <w:alias w:val="Numeris"/>
                      <w:tag w:val="nr_a8bfbd57bc6747a4a25fd2da48f9530c"/>
                      <w:lock w:val="sdtLocked"/>
                      <w:richText/>
                    </w:sdtPr>
                    <w:sdtContent>
                      <w:r>
                        <w:rPr>
                          <w:rFonts w:eastAsia="Calibri"/>
                          <w:color w:val="000000"/>
                          <w:szCs w:val="24"/>
                        </w:rPr>
                        <w:t>7</w:t>
                      </w:r>
                    </w:sdtContent>
                  </w:sdt>
                  <w:r>
                    <w:rPr>
                      <w:rFonts w:eastAsia="Calibri"/>
                      <w:color w:val="000000"/>
                      <w:szCs w:val="24"/>
                    </w:rPr>
                    <w:t>.</w:t>
                    <w:tab/>
                  </w:r>
                  <w:r>
                    <w:rPr>
                      <w:rFonts w:eastAsia="Calibri"/>
                      <w:bCs/>
                      <w:szCs w:val="24"/>
                    </w:rPr>
                    <w:t>Taisyklių turi laikytis šių taisyklių 4 punkte nurodyti asmenys ir Valstybinės mokesčių inspekcijos valstybės tarnautojai ir darbuotojai, dirbantys pagal darbo sutartis.</w:t>
                  </w:r>
                </w:p>
              </w:sdtContent>
            </w:sdt>
            <w:sdt>
              <w:sdtPr>
                <w:alias w:val="8 p."/>
                <w:tag w:val="part_befafe00827c4e3380c66b26233d7c33"/>
                <w:lock w:val="sdtLocked"/>
                <w:richText/>
              </w:sdtPr>
              <w:sdtContent>
                <w:p>
                  <w:pPr>
                    <w:tabs>
                      <w:tab w:val="left" w:pos="426"/>
                      <w:tab w:val="left" w:pos="993"/>
                    </w:tabs>
                    <w:ind w:firstLine="709"/>
                    <w:jc w:val="both"/>
                    <w:rPr>
                      <w:rFonts w:eastAsia="Calibri"/>
                      <w:color w:val="000000"/>
                      <w:szCs w:val="24"/>
                      <w:shd w:val="clear" w:color="auto" w:fill="FFFFFF"/>
                    </w:rPr>
                  </w:pPr>
                  <w:sdt>
                    <w:sdtPr>
                      <w:alias w:val="Numeris"/>
                      <w:tag w:val="nr_befafe00827c4e3380c66b26233d7c33"/>
                      <w:lock w:val="sdtLocked"/>
                      <w:richText/>
                    </w:sdtPr>
                    <w:sdtContent>
                      <w:r>
                        <w:rPr>
                          <w:rFonts w:eastAsia="Calibri"/>
                          <w:color w:val="000000"/>
                          <w:szCs w:val="24"/>
                        </w:rPr>
                        <w:t>8</w:t>
                      </w:r>
                    </w:sdtContent>
                  </w:sdt>
                  <w:r>
                    <w:rPr>
                      <w:rFonts w:eastAsia="Calibri"/>
                      <w:color w:val="000000"/>
                      <w:szCs w:val="24"/>
                    </w:rPr>
                    <w:t>.</w:t>
                    <w:tab/>
                  </w:r>
                  <w:r>
                    <w:rPr>
                      <w:rFonts w:eastAsia="Calibri"/>
                      <w:bCs/>
                      <w:szCs w:val="24"/>
                    </w:rPr>
                    <w:t>Taisyklėse vartojamos sąvokos atitinka Akcizų įstatyme ir Mokesčių administravimo įstatyme vartojamas sąvokas.</w:t>
                  </w:r>
                </w:p>
                <w:p>
                  <w:pPr>
                    <w:ind w:firstLine="720"/>
                    <w:jc w:val="both"/>
                    <w:rPr>
                      <w:rFonts w:ascii="Arial" w:eastAsia="Calibri" w:hAnsi="Arial" w:cs="Arial"/>
                      <w:color w:val="000000"/>
                      <w:sz w:val="22"/>
                      <w:szCs w:val="22"/>
                      <w:lang w:eastAsia="lt-LT"/>
                    </w:rPr>
                  </w:pPr>
                </w:p>
              </w:sdtContent>
            </w:sdt>
          </w:sdtContent>
        </w:sdt>
        <w:sdt>
          <w:sdtPr>
            <w:alias w:val="skyrius"/>
            <w:tag w:val="part_d8653506432e44108b5fac6a5c202eb4"/>
            <w:lock w:val="sdtLocked"/>
            <w:richText/>
          </w:sdtPr>
          <w:sdtContent>
            <w:p>
              <w:pPr>
                <w:jc w:val="center"/>
                <w:rPr>
                  <w:rFonts w:eastAsia="Calibri"/>
                  <w:b/>
                  <w:szCs w:val="24"/>
                </w:rPr>
              </w:pPr>
              <w:sdt>
                <w:sdtPr>
                  <w:alias w:val="Numeris"/>
                  <w:tag w:val="nr_d8653506432e44108b5fac6a5c202eb4"/>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d8653506432e44108b5fac6a5c202eb4"/>
                  <w:lock w:val="sdtLocked"/>
                  <w:richText/>
                </w:sdtPr>
                <w:sdtContent>
                  <w:r>
                    <w:rPr>
                      <w:rFonts w:eastAsia="Calibri"/>
                      <w:b/>
                      <w:szCs w:val="24"/>
                    </w:rPr>
                    <w:t xml:space="preserve">PRAŠYMO UŽPILDYMO TVARKA IR KARTU TEIKIAMI DOKUMENTAI </w:t>
                  </w:r>
                </w:sdtContent>
              </w:sdt>
            </w:p>
            <w:p>
              <w:pPr>
                <w:jc w:val="center"/>
                <w:rPr>
                  <w:rFonts w:eastAsia="Calibri"/>
                  <w:b/>
                  <w:szCs w:val="24"/>
                </w:rPr>
              </w:pPr>
            </w:p>
            <w:sdt>
              <w:sdtPr>
                <w:alias w:val="9 p."/>
                <w:tag w:val="part_d2c02d136ec54003a15fab841bf56816"/>
                <w:lock w:val="sdtLocked"/>
                <w:richText/>
              </w:sdtPr>
              <w:sdtContent>
                <w:p>
                  <w:pPr>
                    <w:tabs>
                      <w:tab w:val="left" w:pos="851"/>
                      <w:tab w:val="left" w:pos="993"/>
                    </w:tabs>
                    <w:ind w:firstLine="709"/>
                    <w:jc w:val="both"/>
                    <w:rPr>
                      <w:rFonts w:eastAsia="Calibri"/>
                      <w:bCs/>
                      <w:szCs w:val="24"/>
                    </w:rPr>
                  </w:pPr>
                  <w:sdt>
                    <w:sdtPr>
                      <w:alias w:val="Numeris"/>
                      <w:tag w:val="nr_d2c02d136ec54003a15fab841bf56816"/>
                      <w:lock w:val="sdtLocked"/>
                      <w:richText/>
                    </w:sdtPr>
                    <w:sdtContent>
                      <w:r>
                        <w:rPr>
                          <w:rFonts w:eastAsia="Calibri"/>
                          <w:bCs/>
                          <w:szCs w:val="24"/>
                        </w:rPr>
                        <w:t>9</w:t>
                      </w:r>
                    </w:sdtContent>
                  </w:sdt>
                  <w:r>
                    <w:rPr>
                      <w:rFonts w:eastAsia="Calibri"/>
                      <w:bCs/>
                      <w:szCs w:val="24"/>
                    </w:rPr>
                    <w:t>.</w:t>
                    <w:tab/>
                    <w:t>Prašyme, kuris pateikiamas per Mano VMI, nurodoma:</w:t>
                  </w:r>
                </w:p>
                <w:sdt>
                  <w:sdtPr>
                    <w:alias w:val="9.1 pp."/>
                    <w:tag w:val="part_93f7fe880c06455c90e828ee3fdd5881"/>
                    <w:lock w:val="sdtLocked"/>
                    <w:richText/>
                  </w:sdtPr>
                  <w:sdtContent>
                    <w:p>
                      <w:pPr>
                        <w:tabs>
                          <w:tab w:val="left" w:pos="142"/>
                          <w:tab w:val="left" w:pos="284"/>
                          <w:tab w:val="left" w:pos="426"/>
                          <w:tab w:val="left" w:pos="567"/>
                          <w:tab w:val="left" w:pos="851"/>
                          <w:tab w:val="left" w:pos="993"/>
                          <w:tab w:val="left" w:pos="1134"/>
                        </w:tabs>
                        <w:ind w:firstLine="709"/>
                        <w:jc w:val="both"/>
                        <w:rPr>
                          <w:rFonts w:eastAsia="Calibri"/>
                          <w:bCs/>
                          <w:szCs w:val="24"/>
                        </w:rPr>
                      </w:pPr>
                      <w:sdt>
                        <w:sdtPr>
                          <w:alias w:val="Numeris"/>
                          <w:tag w:val="nr_93f7fe880c06455c90e828ee3fdd5881"/>
                          <w:lock w:val="sdtLocked"/>
                          <w:richText/>
                        </w:sdtPr>
                        <w:sdtContent>
                          <w:r>
                            <w:rPr>
                              <w:rFonts w:eastAsia="Calibri"/>
                              <w:bCs/>
                              <w:szCs w:val="24"/>
                            </w:rPr>
                            <w:t>9.1</w:t>
                          </w:r>
                        </w:sdtContent>
                      </w:sdt>
                      <w:r>
                        <w:rPr>
                          <w:rFonts w:eastAsia="Calibri"/>
                          <w:bCs/>
                          <w:szCs w:val="24"/>
                        </w:rPr>
                        <w:t>.</w:t>
                        <w:tab/>
                        <w:t>laukelyje „Kalendorinis mėnuo nuo“ nurodoma laikotarpio, per kurį susidarė pageidaujama grąžinti (įskaityti) akcizų suma, kalendorinio mėnesio pradžia (metai, mėnuo, diena), o laukelyje „Kalendorinis mėnuo iki“ nurodoma laikotarpio, per kurį susidarė pageidaujama grąžinti (įskaityti) akcizų suma, kalendorinio mėnesio pabaiga (metai, mėnuo, diena);</w:t>
                      </w:r>
                    </w:p>
                  </w:sdtContent>
                </w:sdt>
                <w:sdt>
                  <w:sdtPr>
                    <w:alias w:val="9.2 pp."/>
                    <w:tag w:val="part_50fa621d289d43448e39519598c83da8"/>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50fa621d289d43448e39519598c83da8"/>
                          <w:lock w:val="sdtLocked"/>
                          <w:richText/>
                        </w:sdtPr>
                        <w:sdtContent>
                          <w:r>
                            <w:rPr>
                              <w:rFonts w:eastAsia="Calibri"/>
                              <w:bCs/>
                              <w:szCs w:val="24"/>
                            </w:rPr>
                            <w:t>9.2</w:t>
                          </w:r>
                        </w:sdtContent>
                      </w:sdt>
                      <w:r>
                        <w:rPr>
                          <w:rFonts w:eastAsia="Calibri"/>
                          <w:bCs/>
                          <w:szCs w:val="24"/>
                        </w:rPr>
                        <w:t>.</w:t>
                        <w:tab/>
                        <w:t>laukelyje „Grąžinimo (įskaitymo) pagrindas“ nurodomas vienas iš sumokėtų akcizų grąžinimo (įskaitymo) pagrindų;</w:t>
                      </w:r>
                    </w:p>
                  </w:sdtContent>
                </w:sdt>
                <w:sdt>
                  <w:sdtPr>
                    <w:alias w:val="9.3 pp."/>
                    <w:tag w:val="part_88da117611b748ed9c11884d48e7daac"/>
                    <w:lock w:val="sdtLocked"/>
                    <w:richText/>
                  </w:sdtPr>
                  <w:sdtContent>
                    <w:p>
                      <w:pPr>
                        <w:tabs>
                          <w:tab w:val="left" w:pos="142"/>
                          <w:tab w:val="left" w:pos="284"/>
                          <w:tab w:val="left" w:pos="426"/>
                          <w:tab w:val="left" w:pos="567"/>
                          <w:tab w:val="left" w:pos="851"/>
                          <w:tab w:val="left" w:pos="993"/>
                          <w:tab w:val="left" w:pos="1134"/>
                        </w:tabs>
                        <w:ind w:firstLine="709"/>
                        <w:jc w:val="both"/>
                        <w:rPr>
                          <w:rFonts w:eastAsia="Calibri"/>
                          <w:bCs/>
                          <w:szCs w:val="24"/>
                        </w:rPr>
                      </w:pPr>
                      <w:sdt>
                        <w:sdtPr>
                          <w:alias w:val="Numeris"/>
                          <w:tag w:val="nr_88da117611b748ed9c11884d48e7daac"/>
                          <w:lock w:val="sdtLocked"/>
                          <w:richText/>
                        </w:sdtPr>
                        <w:sdtContent>
                          <w:r>
                            <w:rPr>
                              <w:rFonts w:eastAsia="Calibri"/>
                              <w:bCs/>
                              <w:szCs w:val="24"/>
                            </w:rPr>
                            <w:t>9.3</w:t>
                          </w:r>
                        </w:sdtContent>
                      </w:sdt>
                      <w:r>
                        <w:rPr>
                          <w:rFonts w:eastAsia="Calibri"/>
                          <w:bCs/>
                          <w:szCs w:val="24"/>
                        </w:rPr>
                        <w:t>.</w:t>
                        <w:tab/>
                        <w:t>laukelyje „AAP tarifinės grupės kodas“ nurodomas akcizais apmokestinamų prekių tarifinės grupės kodas pagal Akcizų įstatyme nurodytų akcizais apmokestinamų prekių tarifinių grupių kodų klasifikatorių, patvirtintą Valstybinės mokesčių inspekcijos prie Lietuvos Respublikos finansų ministerijos viršininko 2002 m. birželio 14 d. įsakymu Nr. 156 „Dėl akcizais apmokestinamų prekių apskaitos“;</w:t>
                      </w:r>
                    </w:p>
                  </w:sdtContent>
                </w:sdt>
                <w:sdt>
                  <w:sdtPr>
                    <w:alias w:val="9.4 pp."/>
                    <w:tag w:val="part_3c747275586c492580f61e848ae46171"/>
                    <w:lock w:val="sdtLocked"/>
                    <w:richText/>
                  </w:sdtPr>
                  <w:sdtContent>
                    <w:p>
                      <w:pPr>
                        <w:tabs>
                          <w:tab w:val="left" w:pos="142"/>
                          <w:tab w:val="left" w:pos="284"/>
                          <w:tab w:val="left" w:pos="426"/>
                          <w:tab w:val="left" w:pos="567"/>
                          <w:tab w:val="left" w:pos="851"/>
                          <w:tab w:val="left" w:pos="993"/>
                          <w:tab w:val="left" w:pos="1134"/>
                        </w:tabs>
                        <w:ind w:firstLine="709"/>
                        <w:jc w:val="both"/>
                        <w:rPr>
                          <w:rFonts w:eastAsia="Calibri"/>
                          <w:bCs/>
                          <w:szCs w:val="24"/>
                        </w:rPr>
                      </w:pPr>
                      <w:sdt>
                        <w:sdtPr>
                          <w:alias w:val="Numeris"/>
                          <w:tag w:val="nr_3c747275586c492580f61e848ae46171"/>
                          <w:lock w:val="sdtLocked"/>
                          <w:richText/>
                        </w:sdtPr>
                        <w:sdtContent>
                          <w:r>
                            <w:rPr>
                              <w:rFonts w:eastAsia="Calibri"/>
                              <w:bCs/>
                              <w:szCs w:val="24"/>
                            </w:rPr>
                            <w:t>9.4</w:t>
                          </w:r>
                        </w:sdtContent>
                      </w:sdt>
                      <w:r>
                        <w:rPr>
                          <w:rFonts w:eastAsia="Calibri"/>
                          <w:bCs/>
                          <w:szCs w:val="24"/>
                        </w:rPr>
                        <w:t>.</w:t>
                        <w:tab/>
                        <w:t>laukelyje „Prekių kiekis“ nurodomas prekių kiekis;</w:t>
                      </w:r>
                    </w:p>
                  </w:sdtContent>
                </w:sdt>
                <w:sdt>
                  <w:sdtPr>
                    <w:alias w:val="9.5 pp."/>
                    <w:tag w:val="part_16e7b0b34bf34c928076c764471dd9a4"/>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16e7b0b34bf34c928076c764471dd9a4"/>
                          <w:lock w:val="sdtLocked"/>
                          <w:richText/>
                        </w:sdtPr>
                        <w:sdtContent>
                          <w:r>
                            <w:rPr>
                              <w:rFonts w:eastAsia="Calibri"/>
                              <w:bCs/>
                              <w:szCs w:val="24"/>
                            </w:rPr>
                            <w:t>9.5</w:t>
                          </w:r>
                        </w:sdtContent>
                      </w:sdt>
                      <w:r>
                        <w:rPr>
                          <w:rFonts w:eastAsia="Calibri"/>
                          <w:bCs/>
                          <w:szCs w:val="24"/>
                        </w:rPr>
                        <w:t>.</w:t>
                        <w:tab/>
                        <w:t xml:space="preserve">laukelyje „Matavimo vienetas“ nurodomi prekių matavimo vienetai pagal </w:t>
                      </w:r>
                      <w:r>
                        <w:rPr>
                          <w:rFonts w:eastAsia="Calibri"/>
                          <w:color w:val="000000"/>
                          <w:szCs w:val="24"/>
                          <w:shd w:val="clear" w:color="auto" w:fill="FFFFFF"/>
                        </w:rPr>
                        <w:t>Akcizų deklaracijų FR0630 ir FR0630A formų, jų priedų užpildymo ir pateikimo taisyklių, patvirtintų</w:t>
                      </w:r>
                      <w:r>
                        <w:rPr>
                          <w:rFonts w:eastAsia="Calibri"/>
                          <w:bCs/>
                          <w:szCs w:val="24"/>
                        </w:rPr>
                        <w:t xml:space="preserve"> Valstybinės mokesčių inspekcijos prie Lietuvos Respublikos finansų ministerijos viršininko 2004 m. gegužės 26 d. įsakymu Nr. VA-106 „Dėl </w:t>
                      </w:r>
                      <w:r>
                        <w:rPr>
                          <w:rFonts w:eastAsia="Calibri"/>
                          <w:color w:val="000000"/>
                          <w:szCs w:val="24"/>
                          <w:shd w:val="clear" w:color="auto" w:fill="FFFFFF"/>
                        </w:rPr>
                        <w:t>Akcizų deklaracijų FR0630 ir FR0630A formų, jų priedų užpildymo ir pateikimo taisyklių patvirtinimo“, 1 priedą;</w:t>
                      </w:r>
                    </w:p>
                  </w:sdtContent>
                </w:sdt>
                <w:sdt>
                  <w:sdtPr>
                    <w:alias w:val="9.6 pp."/>
                    <w:tag w:val="part_289faf858e91432ba8814284df65b1ac"/>
                    <w:lock w:val="sdtLocked"/>
                    <w:richText/>
                  </w:sdtPr>
                  <w:sdtContent>
                    <w:p>
                      <w:pPr>
                        <w:tabs>
                          <w:tab w:val="left" w:pos="142"/>
                          <w:tab w:val="left" w:pos="284"/>
                          <w:tab w:val="left" w:pos="426"/>
                          <w:tab w:val="left" w:pos="567"/>
                          <w:tab w:val="left" w:pos="851"/>
                          <w:tab w:val="left" w:pos="993"/>
                          <w:tab w:val="left" w:pos="1134"/>
                        </w:tabs>
                        <w:ind w:firstLine="709"/>
                        <w:jc w:val="both"/>
                        <w:rPr>
                          <w:rFonts w:eastAsia="Calibri"/>
                          <w:bCs/>
                          <w:szCs w:val="24"/>
                        </w:rPr>
                      </w:pPr>
                      <w:sdt>
                        <w:sdtPr>
                          <w:alias w:val="Numeris"/>
                          <w:tag w:val="nr_289faf858e91432ba8814284df65b1ac"/>
                          <w:lock w:val="sdtLocked"/>
                          <w:richText/>
                        </w:sdtPr>
                        <w:sdtContent>
                          <w:r>
                            <w:rPr>
                              <w:rFonts w:eastAsia="Calibri"/>
                              <w:bCs/>
                              <w:szCs w:val="24"/>
                            </w:rPr>
                            <w:t>9.6</w:t>
                          </w:r>
                        </w:sdtContent>
                      </w:sdt>
                      <w:r>
                        <w:rPr>
                          <w:rFonts w:eastAsia="Calibri"/>
                          <w:bCs/>
                          <w:szCs w:val="24"/>
                        </w:rPr>
                        <w:t>.</w:t>
                        <w:tab/>
                        <w:t>laukelyje „Akcizų tarifas“ nurodomas Akcizų įstatyme nustatytas akcizų tarifas, kuris buvo apskaičiuotas ar perskaičiuotas, kai už prekes, dėl kurių teikiamas šis prašymas, atsirado prievolė mokėti akcizus;</w:t>
                      </w:r>
                    </w:p>
                  </w:sdtContent>
                </w:sdt>
                <w:sdt>
                  <w:sdtPr>
                    <w:alias w:val="9.7 pp."/>
                    <w:tag w:val="part_52ad88163f874a8b87050bb46af04f09"/>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52ad88163f874a8b87050bb46af04f09"/>
                          <w:lock w:val="sdtLocked"/>
                          <w:richText/>
                        </w:sdtPr>
                        <w:sdtContent>
                          <w:r>
                            <w:rPr>
                              <w:rFonts w:eastAsia="Calibri"/>
                              <w:bCs/>
                              <w:szCs w:val="24"/>
                            </w:rPr>
                            <w:t>9.7</w:t>
                          </w:r>
                        </w:sdtContent>
                      </w:sdt>
                      <w:r>
                        <w:rPr>
                          <w:rFonts w:eastAsia="Calibri"/>
                          <w:bCs/>
                          <w:szCs w:val="24"/>
                        </w:rPr>
                        <w:t>.</w:t>
                        <w:tab/>
                        <w:t xml:space="preserve"> kai norima, kad akcizai būtų įskaityti mokesčiams ir (arba) baudoms už administracinius nusižengimus sumokėti:</w:t>
                      </w:r>
                    </w:p>
                    <w:sdt>
                      <w:sdtPr>
                        <w:alias w:val="9.7.1 pp."/>
                        <w:tag w:val="part_7c48b4a097964838865af3376a8801e9"/>
                        <w:lock w:val="sdtLocked"/>
                        <w:richText/>
                      </w:sdtPr>
                      <w:sdtContent>
                        <w:p>
                          <w:pPr>
                            <w:tabs>
                              <w:tab w:val="left" w:pos="142"/>
                              <w:tab w:val="left" w:pos="284"/>
                              <w:tab w:val="left" w:pos="426"/>
                              <w:tab w:val="left" w:pos="567"/>
                              <w:tab w:val="left" w:pos="851"/>
                            </w:tabs>
                            <w:ind w:firstLine="709"/>
                            <w:jc w:val="both"/>
                            <w:rPr>
                              <w:rFonts w:eastAsia="Calibri"/>
                              <w:bCs/>
                              <w:szCs w:val="24"/>
                            </w:rPr>
                          </w:pPr>
                          <w:sdt>
                            <w:sdtPr>
                              <w:alias w:val="Numeris"/>
                              <w:tag w:val="nr_7c48b4a097964838865af3376a8801e9"/>
                              <w:lock w:val="sdtLocked"/>
                              <w:richText/>
                            </w:sdtPr>
                            <w:sdtContent>
                              <w:r>
                                <w:rPr>
                                  <w:rFonts w:eastAsia="Calibri"/>
                                  <w:bCs/>
                                  <w:szCs w:val="24"/>
                                </w:rPr>
                                <w:t>9.7.1</w:t>
                              </w:r>
                            </w:sdtContent>
                          </w:sdt>
                          <w:r>
                            <w:rPr>
                              <w:rFonts w:eastAsia="Calibri"/>
                              <w:bCs/>
                              <w:szCs w:val="24"/>
                            </w:rPr>
                            <w:t>.</w:t>
                            <w:tab/>
                            <w:t>pažymima „Įskaityti“;</w:t>
                          </w:r>
                        </w:p>
                      </w:sdtContent>
                    </w:sdt>
                    <w:sdt>
                      <w:sdtPr>
                        <w:alias w:val="9.7.2 pp."/>
                        <w:tag w:val="part_edecd1ae1328483b83dcb73c0150dd64"/>
                        <w:lock w:val="sdtLocked"/>
                        <w:richText/>
                      </w:sdtPr>
                      <w:sdtContent>
                        <w:p>
                          <w:pPr>
                            <w:tabs>
                              <w:tab w:val="left" w:pos="142"/>
                              <w:tab w:val="left" w:pos="284"/>
                              <w:tab w:val="left" w:pos="426"/>
                              <w:tab w:val="left" w:pos="567"/>
                              <w:tab w:val="left" w:pos="851"/>
                            </w:tabs>
                            <w:ind w:firstLine="709"/>
                            <w:jc w:val="both"/>
                            <w:rPr>
                              <w:rFonts w:eastAsia="Calibri"/>
                              <w:bCs/>
                              <w:szCs w:val="24"/>
                            </w:rPr>
                          </w:pPr>
                          <w:sdt>
                            <w:sdtPr>
                              <w:alias w:val="Numeris"/>
                              <w:tag w:val="nr_edecd1ae1328483b83dcb73c0150dd64"/>
                              <w:lock w:val="sdtLocked"/>
                              <w:richText/>
                            </w:sdtPr>
                            <w:sdtContent>
                              <w:r>
                                <w:rPr>
                                  <w:rFonts w:eastAsia="Calibri"/>
                                  <w:bCs/>
                                  <w:szCs w:val="24"/>
                                </w:rPr>
                                <w:t>9.7.2</w:t>
                              </w:r>
                            </w:sdtContent>
                          </w:sdt>
                          <w:r>
                            <w:rPr>
                              <w:rFonts w:eastAsia="Calibri"/>
                              <w:bCs/>
                              <w:szCs w:val="24"/>
                            </w:rPr>
                            <w:t>.</w:t>
                            <w:tab/>
                            <w:t>laukelyje „Prašoma įskaityti suma“ nurodoma pageidaujama įskaityti akcizų suma;</w:t>
                          </w:r>
                        </w:p>
                      </w:sdtContent>
                    </w:sdt>
                    <w:sdt>
                      <w:sdtPr>
                        <w:alias w:val="9.7.3 pp."/>
                        <w:tag w:val="part_d85eaece98dc4533a2fc0a2bb5ec7ba7"/>
                        <w:lock w:val="sdtLocked"/>
                        <w:richText/>
                      </w:sdtPr>
                      <w:sdtContent>
                        <w:p>
                          <w:pPr>
                            <w:tabs>
                              <w:tab w:val="left" w:pos="142"/>
                              <w:tab w:val="left" w:pos="284"/>
                              <w:tab w:val="left" w:pos="426"/>
                              <w:tab w:val="left" w:pos="567"/>
                              <w:tab w:val="left" w:pos="851"/>
                            </w:tabs>
                            <w:ind w:firstLine="709"/>
                            <w:jc w:val="both"/>
                            <w:rPr>
                              <w:rFonts w:eastAsia="Calibri"/>
                              <w:bCs/>
                              <w:szCs w:val="24"/>
                            </w:rPr>
                          </w:pPr>
                          <w:sdt>
                            <w:sdtPr>
                              <w:alias w:val="Numeris"/>
                              <w:tag w:val="nr_d85eaece98dc4533a2fc0a2bb5ec7ba7"/>
                              <w:lock w:val="sdtLocked"/>
                              <w:richText/>
                            </w:sdtPr>
                            <w:sdtContent>
                              <w:r>
                                <w:rPr>
                                  <w:rFonts w:eastAsia="Calibri"/>
                                  <w:bCs/>
                                  <w:szCs w:val="24"/>
                                </w:rPr>
                                <w:t>9.7.3</w:t>
                              </w:r>
                            </w:sdtContent>
                          </w:sdt>
                          <w:r>
                            <w:rPr>
                              <w:rFonts w:eastAsia="Calibri"/>
                              <w:bCs/>
                              <w:szCs w:val="24"/>
                            </w:rPr>
                            <w:t>.</w:t>
                            <w:tab/>
                            <w:t>nurodomas įmokos kodas pagal Mokesčių, rinkliavų ir kitų įmokų, mokamų į Valstybinės mokesčių inspekcijos biudžeto pajamų surenkamąsias sąskaitas, kodų sąrašą, patvirtintą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sdtContent>
                    </w:sdt>
                  </w:sdtContent>
                </w:sdt>
                <w:sdt>
                  <w:sdtPr>
                    <w:alias w:val="9.8 pp."/>
                    <w:tag w:val="part_de14e7e63fd34352b6561e18a2f9de4f"/>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de14e7e63fd34352b6561e18a2f9de4f"/>
                          <w:lock w:val="sdtLocked"/>
                          <w:richText/>
                        </w:sdtPr>
                        <w:sdtContent>
                          <w:r>
                            <w:rPr>
                              <w:rFonts w:eastAsia="Calibri"/>
                              <w:bCs/>
                              <w:szCs w:val="24"/>
                            </w:rPr>
                            <w:t>9.8</w:t>
                          </w:r>
                        </w:sdtContent>
                      </w:sdt>
                      <w:r>
                        <w:rPr>
                          <w:rFonts w:eastAsia="Calibri"/>
                          <w:bCs/>
                          <w:szCs w:val="24"/>
                        </w:rPr>
                        <w:t>.</w:t>
                        <w:tab/>
                        <w:t>kai norima, kad akcizai būtų pervesti į asmens sąskaitą, esančią kredito, mokėjimo ar elektroninių pinigų įstaigoje:</w:t>
                      </w:r>
                    </w:p>
                    <w:sdt>
                      <w:sdtPr>
                        <w:alias w:val="9.8.1 pp."/>
                        <w:tag w:val="part_b96c2125aa44449281eaadb25dde198c"/>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b96c2125aa44449281eaadb25dde198c"/>
                              <w:lock w:val="sdtLocked"/>
                              <w:richText/>
                            </w:sdtPr>
                            <w:sdtContent>
                              <w:r>
                                <w:rPr>
                                  <w:rFonts w:eastAsia="Calibri"/>
                                  <w:bCs/>
                                  <w:szCs w:val="24"/>
                                </w:rPr>
                                <w:t>9.8.1</w:t>
                              </w:r>
                            </w:sdtContent>
                          </w:sdt>
                          <w:r>
                            <w:rPr>
                              <w:rFonts w:eastAsia="Calibri"/>
                              <w:bCs/>
                              <w:szCs w:val="24"/>
                            </w:rPr>
                            <w:t>.</w:t>
                            <w:tab/>
                            <w:t>pažymima „Pervesti į nurodytą sąskaitą“;</w:t>
                          </w:r>
                        </w:p>
                      </w:sdtContent>
                    </w:sdt>
                    <w:sdt>
                      <w:sdtPr>
                        <w:alias w:val="9.8.2 pp."/>
                        <w:tag w:val="part_caeedfdf21fb4b638e271d6c81f56b92"/>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caeedfdf21fb4b638e271d6c81f56b92"/>
                              <w:lock w:val="sdtLocked"/>
                              <w:richText/>
                            </w:sdtPr>
                            <w:sdtContent>
                              <w:r>
                                <w:rPr>
                                  <w:rFonts w:eastAsia="Calibri"/>
                                  <w:bCs/>
                                  <w:szCs w:val="24"/>
                                </w:rPr>
                                <w:t>9.8.2</w:t>
                              </w:r>
                            </w:sdtContent>
                          </w:sdt>
                          <w:r>
                            <w:rPr>
                              <w:rFonts w:eastAsia="Calibri"/>
                              <w:bCs/>
                              <w:szCs w:val="24"/>
                            </w:rPr>
                            <w:t>.</w:t>
                            <w:tab/>
                            <w:t>laukelyje „Prašoma grąžinti suma“ nurodoma pageidaujama grąžinti akcizų suma;</w:t>
                          </w:r>
                        </w:p>
                      </w:sdtContent>
                    </w:sdt>
                    <w:sdt>
                      <w:sdtPr>
                        <w:alias w:val="9.8.3 pp."/>
                        <w:tag w:val="part_8f5064ce0b1540db9bf15fcbff1eee48"/>
                        <w:lock w:val="sdtLocked"/>
                        <w:richText/>
                      </w:sdtPr>
                      <w:sdtContent>
                        <w:p>
                          <w:pPr>
                            <w:tabs>
                              <w:tab w:val="left" w:pos="142"/>
                              <w:tab w:val="left" w:pos="284"/>
                              <w:tab w:val="left" w:pos="426"/>
                              <w:tab w:val="left" w:pos="567"/>
                              <w:tab w:val="left" w:pos="851"/>
                              <w:tab w:val="left" w:pos="1134"/>
                            </w:tabs>
                            <w:ind w:firstLine="709"/>
                            <w:jc w:val="both"/>
                            <w:rPr>
                              <w:rFonts w:eastAsia="Calibri"/>
                              <w:bCs/>
                              <w:szCs w:val="24"/>
                            </w:rPr>
                          </w:pPr>
                          <w:sdt>
                            <w:sdtPr>
                              <w:alias w:val="Numeris"/>
                              <w:tag w:val="nr_8f5064ce0b1540db9bf15fcbff1eee48"/>
                              <w:lock w:val="sdtLocked"/>
                              <w:richText/>
                            </w:sdtPr>
                            <w:sdtContent>
                              <w:r>
                                <w:rPr>
                                  <w:rFonts w:eastAsia="Calibri"/>
                                  <w:bCs/>
                                  <w:szCs w:val="24"/>
                                </w:rPr>
                                <w:t>9.8.3</w:t>
                              </w:r>
                            </w:sdtContent>
                          </w:sdt>
                          <w:r>
                            <w:rPr>
                              <w:rFonts w:eastAsia="Calibri"/>
                              <w:bCs/>
                              <w:szCs w:val="24"/>
                            </w:rPr>
                            <w:t>.</w:t>
                            <w:tab/>
                            <w:t>laukelyje „Kredito, mokėjimo ar elektroninių pinigų įstaigos sąskaitos numeris“ nurodomas sąskaitos, į kurią pageidaujama pervesti grąžintiną akcizų sumą, numeris IBAN formatu.</w:t>
                          </w:r>
                        </w:p>
                      </w:sdtContent>
                    </w:sdt>
                  </w:sdtContent>
                </w:sdt>
              </w:sdtContent>
            </w:sdt>
            <w:sdt>
              <w:sdtPr>
                <w:alias w:val="10 p."/>
                <w:tag w:val="part_cee8573e7d144d76ad59b262e3cd70de"/>
                <w:lock w:val="sdtLocked"/>
                <w:richText/>
              </w:sdtPr>
              <w:sdtContent>
                <w:p>
                  <w:pPr>
                    <w:tabs>
                      <w:tab w:val="left" w:pos="426"/>
                      <w:tab w:val="left" w:pos="567"/>
                      <w:tab w:val="left" w:pos="993"/>
                      <w:tab w:val="left" w:pos="1134"/>
                      <w:tab w:val="left" w:pos="1560"/>
                    </w:tabs>
                    <w:ind w:firstLine="709"/>
                    <w:jc w:val="both"/>
                    <w:rPr>
                      <w:rFonts w:eastAsia="Calibri"/>
                      <w:bCs/>
                      <w:szCs w:val="24"/>
                    </w:rPr>
                  </w:pPr>
                  <w:sdt>
                    <w:sdtPr>
                      <w:alias w:val="Numeris"/>
                      <w:tag w:val="nr_cee8573e7d144d76ad59b262e3cd70de"/>
                      <w:lock w:val="sdtLocked"/>
                      <w:richText/>
                    </w:sdtPr>
                    <w:sdtContent>
                      <w:r>
                        <w:rPr>
                          <w:rFonts w:eastAsia="Calibri"/>
                          <w:bCs/>
                          <w:szCs w:val="24"/>
                        </w:rPr>
                        <w:t>10</w:t>
                      </w:r>
                    </w:sdtContent>
                  </w:sdt>
                  <w:r>
                    <w:rPr>
                      <w:rFonts w:eastAsia="Calibri"/>
                      <w:bCs/>
                      <w:szCs w:val="24"/>
                    </w:rPr>
                    <w:t>.</w:t>
                    <w:tab/>
                    <w:t>Kartu su prašymu turi būti pateikti:</w:t>
                  </w:r>
                </w:p>
                <w:sdt>
                  <w:sdtPr>
                    <w:alias w:val="10.1 pp."/>
                    <w:tag w:val="part_cd03f2dec2d045208749db0137d4e075"/>
                    <w:lock w:val="sdtLocked"/>
                    <w:richText/>
                  </w:sdtPr>
                  <w:sdtContent>
                    <w:p>
                      <w:pPr>
                        <w:tabs>
                          <w:tab w:val="left" w:pos="426"/>
                          <w:tab w:val="left" w:pos="567"/>
                          <w:tab w:val="left" w:pos="709"/>
                          <w:tab w:val="left" w:pos="1276"/>
                          <w:tab w:val="left" w:pos="1560"/>
                        </w:tabs>
                        <w:ind w:firstLine="709"/>
                        <w:jc w:val="both"/>
                        <w:rPr>
                          <w:rFonts w:eastAsia="Calibri"/>
                          <w:bCs/>
                          <w:szCs w:val="24"/>
                        </w:rPr>
                      </w:pPr>
                      <w:sdt>
                        <w:sdtPr>
                          <w:alias w:val="Numeris"/>
                          <w:tag w:val="nr_cd03f2dec2d045208749db0137d4e075"/>
                          <w:lock w:val="sdtLocked"/>
                          <w:richText/>
                        </w:sdtPr>
                        <w:sdtContent>
                          <w:r>
                            <w:rPr>
                              <w:rFonts w:eastAsia="Calibri"/>
                              <w:bCs/>
                              <w:szCs w:val="24"/>
                            </w:rPr>
                            <w:t>10.1</w:t>
                          </w:r>
                        </w:sdtContent>
                      </w:sdt>
                      <w:r>
                        <w:rPr>
                          <w:rFonts w:eastAsia="Calibri"/>
                          <w:bCs/>
                          <w:szCs w:val="24"/>
                        </w:rPr>
                        <w:t>.</w:t>
                        <w:tab/>
                        <w:t>akcizų sumokėjimą įrodantys dokumentai (gautų sąskaitų faktūrų (Pridėtinės vertės mokesčio sąskaitų faktūrų), kuriose nurodyta akcizų suma, kopijos arba kiti įrodymai, kuriais patvirtinamas akcizų sumokėjimas Lietuvos Respublikoje);</w:t>
                      </w:r>
                    </w:p>
                  </w:sdtContent>
                </w:sdt>
                <w:sdt>
                  <w:sdtPr>
                    <w:alias w:val="10.2 pp."/>
                    <w:tag w:val="part_ab83c4533b3649ccbe4a691149224c16"/>
                    <w:lock w:val="sdtLocked"/>
                    <w:richText/>
                  </w:sdtPr>
                  <w:sdtContent>
                    <w:p>
                      <w:pPr>
                        <w:tabs>
                          <w:tab w:val="left" w:pos="426"/>
                          <w:tab w:val="left" w:pos="567"/>
                          <w:tab w:val="left" w:pos="709"/>
                          <w:tab w:val="left" w:pos="1276"/>
                          <w:tab w:val="left" w:pos="1560"/>
                        </w:tabs>
                        <w:ind w:firstLine="709"/>
                        <w:jc w:val="both"/>
                        <w:rPr>
                          <w:rFonts w:eastAsia="Calibri"/>
                          <w:bCs/>
                          <w:szCs w:val="24"/>
                        </w:rPr>
                      </w:pPr>
                      <w:sdt>
                        <w:sdtPr>
                          <w:alias w:val="Numeris"/>
                          <w:tag w:val="nr_ab83c4533b3649ccbe4a691149224c16"/>
                          <w:lock w:val="sdtLocked"/>
                          <w:richText/>
                        </w:sdtPr>
                        <w:sdtContent>
                          <w:r>
                            <w:rPr>
                              <w:rFonts w:eastAsia="Calibri"/>
                              <w:bCs/>
                              <w:szCs w:val="24"/>
                            </w:rPr>
                            <w:t>10.2</w:t>
                          </w:r>
                        </w:sdtContent>
                      </w:sdt>
                      <w:r>
                        <w:rPr>
                          <w:rFonts w:eastAsia="Calibri"/>
                          <w:bCs/>
                          <w:szCs w:val="24"/>
                        </w:rPr>
                        <w:t>.</w:t>
                        <w:tab/>
                        <w:t>įrodymai, pagrindžiantys teisę susigrąžinti akcizus:</w:t>
                      </w:r>
                    </w:p>
                    <w:sdt>
                      <w:sdtPr>
                        <w:alias w:val="10.2.1 pp."/>
                        <w:tag w:val="part_31e936a7648542fe8a340818ac7b654b"/>
                        <w:lock w:val="sdtLocked"/>
                        <w:richText/>
                      </w:sdtPr>
                      <w:sdtContent>
                        <w:p>
                          <w:pPr>
                            <w:tabs>
                              <w:tab w:val="left" w:pos="993"/>
                              <w:tab w:val="left" w:pos="1134"/>
                              <w:tab w:val="left" w:pos="1418"/>
                            </w:tabs>
                            <w:ind w:firstLine="709"/>
                            <w:jc w:val="both"/>
                            <w:rPr>
                              <w:rFonts w:eastAsia="Calibri"/>
                              <w:bCs/>
                              <w:szCs w:val="24"/>
                            </w:rPr>
                          </w:pPr>
                          <w:sdt>
                            <w:sdtPr>
                              <w:alias w:val="Numeris"/>
                              <w:tag w:val="nr_31e936a7648542fe8a340818ac7b654b"/>
                              <w:lock w:val="sdtLocked"/>
                              <w:richText/>
                            </w:sdtPr>
                            <w:sdtContent>
                              <w:r>
                                <w:rPr>
                                  <w:rFonts w:eastAsia="Calibri"/>
                                  <w:bCs/>
                                  <w:szCs w:val="24"/>
                                </w:rPr>
                                <w:t>10.2.1</w:t>
                              </w:r>
                            </w:sdtContent>
                          </w:sdt>
                          <w:r>
                            <w:rPr>
                              <w:rFonts w:eastAsia="Calibri"/>
                              <w:bCs/>
                              <w:szCs w:val="24"/>
                            </w:rPr>
                            <w:t>.</w:t>
                            <w:tab/>
                            <w:t xml:space="preserve">eksporto faktą įrodantys dokumentai, prekių įsigijimo / gavimo dokumentai, kai kreipiamasi taisyklių 1.1 papunktyje nurodytu atveju; </w:t>
                          </w:r>
                        </w:p>
                      </w:sdtContent>
                    </w:sdt>
                    <w:sdt>
                      <w:sdtPr>
                        <w:alias w:val="10.2.2 pp."/>
                        <w:tag w:val="part_5156ceb07a0840c2871d00ce264df18d"/>
                        <w:lock w:val="sdtLocked"/>
                        <w:richText/>
                      </w:sdtPr>
                      <w:sdtContent>
                        <w:p>
                          <w:pPr>
                            <w:tabs>
                              <w:tab w:val="left" w:pos="993"/>
                              <w:tab w:val="left" w:pos="1134"/>
                              <w:tab w:val="left" w:pos="1418"/>
                            </w:tabs>
                            <w:ind w:firstLine="709"/>
                            <w:jc w:val="both"/>
                            <w:rPr>
                              <w:rFonts w:eastAsia="Calibri"/>
                              <w:bCs/>
                              <w:szCs w:val="24"/>
                            </w:rPr>
                          </w:pPr>
                          <w:sdt>
                            <w:sdtPr>
                              <w:alias w:val="Numeris"/>
                              <w:tag w:val="nr_5156ceb07a0840c2871d00ce264df18d"/>
                              <w:lock w:val="sdtLocked"/>
                              <w:richText/>
                            </w:sdtPr>
                            <w:sdtContent>
                              <w:r>
                                <w:rPr>
                                  <w:rFonts w:eastAsia="Calibri"/>
                                  <w:bCs/>
                                  <w:szCs w:val="24"/>
                                </w:rPr>
                                <w:t>10.2.2</w:t>
                              </w:r>
                            </w:sdtContent>
                          </w:sdt>
                          <w:r>
                            <w:rPr>
                              <w:rFonts w:eastAsia="Calibri"/>
                              <w:bCs/>
                              <w:szCs w:val="24"/>
                            </w:rPr>
                            <w:t>.</w:t>
                            <w:tab/>
                            <w:t>dokumentai, patvirtinantys, kad KN 2710 19 91–2710 19 99 subpozicijose klasifikuojami energiniai produktai, išgabenti į kitą valstybę narę, ir įrodymai, kad už šiuos energinius produktus toje valstybėje narėje akcizai sumokėti, jų sumokėjimas garantuotas arba šie energiniai produktai toje valstybėje narėje gali būti atleidžiami nuo akcizų ar neapmokestinami akcizais, kai kreipiamasi taisyklių 1.2 papunktyje nurodytu atveju. Tais atvejais, kai asmuo su ankstesniu prašymu jau yra pateikęs įrodymų apie šių energinių produktų atleidimą nuo akcizų ar neapmokestinimą akcizais toje valstybėje narėje, šie įrodymai papildomai teikiami, tik Valstybinei mokesčių inspekcijai paprašius;</w:t>
                          </w:r>
                        </w:p>
                      </w:sdtContent>
                    </w:sdt>
                    <w:sdt>
                      <w:sdtPr>
                        <w:alias w:val="10.2.3 pp."/>
                        <w:tag w:val="part_4827aed6176841caa8f45fe6a330aec8"/>
                        <w:lock w:val="sdtLocked"/>
                        <w:richText/>
                      </w:sdtPr>
                      <w:sdtContent>
                        <w:p>
                          <w:pPr>
                            <w:tabs>
                              <w:tab w:val="left" w:pos="993"/>
                              <w:tab w:val="left" w:pos="1134"/>
                              <w:tab w:val="left" w:pos="1418"/>
                            </w:tabs>
                            <w:ind w:firstLine="709"/>
                            <w:jc w:val="both"/>
                            <w:rPr>
                              <w:rFonts w:eastAsia="Calibri"/>
                              <w:bCs/>
                              <w:szCs w:val="24"/>
                            </w:rPr>
                          </w:pPr>
                          <w:sdt>
                            <w:sdtPr>
                              <w:alias w:val="Numeris"/>
                              <w:tag w:val="nr_4827aed6176841caa8f45fe6a330aec8"/>
                              <w:lock w:val="sdtLocked"/>
                              <w:richText/>
                            </w:sdtPr>
                            <w:sdtContent>
                              <w:r>
                                <w:rPr>
                                  <w:rFonts w:eastAsia="Calibri"/>
                                  <w:bCs/>
                                  <w:szCs w:val="24"/>
                                </w:rPr>
                                <w:t>10.2.3</w:t>
                              </w:r>
                            </w:sdtContent>
                          </w:sdt>
                          <w:r>
                            <w:rPr>
                              <w:rFonts w:eastAsia="Calibri"/>
                              <w:bCs/>
                              <w:szCs w:val="24"/>
                            </w:rPr>
                            <w:t>.</w:t>
                            <w:tab/>
                          </w:r>
                          <w:r>
                            <w:rPr>
                              <w:rFonts w:eastAsia="Calibri"/>
                              <w:color w:val="000000"/>
                              <w:szCs w:val="24"/>
                              <w:shd w:val="clear" w:color="auto" w:fill="FFFFFF"/>
                            </w:rPr>
                            <w:t xml:space="preserve">dokumentai, patvirtinantys prekių pristatymą į paskirties vietą, jeigu Valstybinės mokesčių inspekcijos Akcizų informacinėje sistemoje nėra Akcizų įstatymo 15 straipsnio 11 dalyje nurodyto pranešimo apie prekių gavimą paskirties vietoje, </w:t>
                          </w:r>
                          <w:r>
                            <w:rPr>
                              <w:rFonts w:eastAsia="Calibri"/>
                              <w:bCs/>
                              <w:szCs w:val="24"/>
                            </w:rPr>
                            <w:t>kai kreipiamasi taisyklių 1.3 papunktyje nurodytu atveju;</w:t>
                          </w:r>
                        </w:p>
                      </w:sdtContent>
                    </w:sdt>
                    <w:sdt>
                      <w:sdtPr>
                        <w:alias w:val="10.2.4 pp."/>
                        <w:tag w:val="part_c589dbd9058b49dd84f065d0620f2b25"/>
                        <w:lock w:val="sdtLocked"/>
                        <w:richText/>
                      </w:sdtPr>
                      <w:sdtContent>
                        <w:p>
                          <w:pPr>
                            <w:tabs>
                              <w:tab w:val="left" w:pos="993"/>
                              <w:tab w:val="left" w:pos="1134"/>
                              <w:tab w:val="left" w:pos="1418"/>
                            </w:tabs>
                            <w:ind w:firstLine="709"/>
                            <w:jc w:val="both"/>
                            <w:rPr>
                              <w:rFonts w:eastAsia="Calibri"/>
                              <w:bCs/>
                              <w:szCs w:val="24"/>
                            </w:rPr>
                          </w:pPr>
                          <w:sdt>
                            <w:sdtPr>
                              <w:alias w:val="Numeris"/>
                              <w:tag w:val="nr_c589dbd9058b49dd84f065d0620f2b25"/>
                              <w:lock w:val="sdtLocked"/>
                              <w:richText/>
                            </w:sdtPr>
                            <w:sdtContent>
                              <w:r>
                                <w:rPr>
                                  <w:rFonts w:eastAsia="Calibri"/>
                                  <w:bCs/>
                                  <w:szCs w:val="24"/>
                                </w:rPr>
                                <w:t>10.2.4</w:t>
                              </w:r>
                            </w:sdtContent>
                          </w:sdt>
                          <w:r>
                            <w:rPr>
                              <w:rFonts w:eastAsia="Calibri"/>
                              <w:bCs/>
                              <w:szCs w:val="24"/>
                            </w:rPr>
                            <w:t>.</w:t>
                            <w:tab/>
                            <w:t>dokumentai, patvirtinantys, kad prekės, ekonominę veiklą vykdančio prekių siuntėjo</w:t>
                          </w:r>
                          <w:r>
                            <w:rPr>
                              <w:rFonts w:eastAsia="Calibri"/>
                              <w:b/>
                              <w:bCs/>
                              <w:szCs w:val="24"/>
                            </w:rPr>
                            <w:t xml:space="preserve"> </w:t>
                          </w:r>
                          <w:r>
                            <w:rPr>
                              <w:rFonts w:eastAsia="Calibri"/>
                              <w:bCs/>
                              <w:szCs w:val="24"/>
                            </w:rPr>
                            <w:t>ar jo užsakymu kito asmens išgabentos iš Lietuvos Respublikos į kitą valstybę narę asmeniui, kuris nėra registruotas gavėjas ar patvirtintas gavėjas</w:t>
                          </w:r>
                          <w:r>
                            <w:rPr>
                              <w:rFonts w:eastAsia="Calibri"/>
                              <w:b/>
                              <w:bCs/>
                              <w:szCs w:val="24"/>
                            </w:rPr>
                            <w:t xml:space="preserve"> </w:t>
                          </w:r>
                          <w:r>
                            <w:rPr>
                              <w:rFonts w:eastAsia="Calibri"/>
                              <w:bCs/>
                              <w:szCs w:val="24"/>
                            </w:rPr>
                            <w:t>ir nevykdo ekonominės veiklos, kaip ji apibrėžta Pridėtinės vertės mokesčio įstatyme, arba ne į sandėlį, ir kitos valstybės narės kompetentingos institucijos patvirtinimas ar kitokie įrodymai, kad už šias prekes toje valstybėje narėje akcizai sumokėti arba šios prekės toje valstybėje narėje gali būti atleidžiamos nuo akcizų, kai kreipiamasi taisyklių 1.4 papunktyje nurodytu atveju;</w:t>
                          </w:r>
                        </w:p>
                      </w:sdtContent>
                    </w:sdt>
                    <w:sdt>
                      <w:sdtPr>
                        <w:alias w:val="10.2.5 pp."/>
                        <w:tag w:val="part_3f927759c3eb4254aa1c34c32032915b"/>
                        <w:lock w:val="sdtLocked"/>
                        <w:richText/>
                      </w:sdtPr>
                      <w:sdtContent>
                        <w:p>
                          <w:pPr>
                            <w:tabs>
                              <w:tab w:val="left" w:pos="993"/>
                              <w:tab w:val="left" w:pos="1134"/>
                              <w:tab w:val="left" w:pos="1418"/>
                            </w:tabs>
                            <w:ind w:firstLine="709"/>
                            <w:jc w:val="both"/>
                            <w:rPr>
                              <w:rFonts w:eastAsia="Calibri"/>
                              <w:bCs/>
                              <w:szCs w:val="24"/>
                            </w:rPr>
                          </w:pPr>
                          <w:sdt>
                            <w:sdtPr>
                              <w:alias w:val="Numeris"/>
                              <w:tag w:val="nr_3f927759c3eb4254aa1c34c32032915b"/>
                              <w:lock w:val="sdtLocked"/>
                              <w:richText/>
                            </w:sdtPr>
                            <w:sdtContent>
                              <w:r>
                                <w:rPr>
                                  <w:rFonts w:eastAsia="Calibri"/>
                                  <w:bCs/>
                                  <w:szCs w:val="24"/>
                                </w:rPr>
                                <w:t>10.2.5</w:t>
                              </w:r>
                            </w:sdtContent>
                          </w:sdt>
                          <w:r>
                            <w:rPr>
                              <w:rFonts w:eastAsia="Calibri"/>
                              <w:bCs/>
                              <w:szCs w:val="24"/>
                            </w:rPr>
                            <w:t>.</w:t>
                            <w:tab/>
                            <w:t>dokumentai, patvirtinantys</w:t>
                          </w:r>
                          <w:r>
                            <w:rPr>
                              <w:rFonts w:eastAsia="Calibri"/>
                              <w:szCs w:val="24"/>
                            </w:rPr>
                            <w:t xml:space="preserve">, kad </w:t>
                          </w:r>
                          <w:r>
                            <w:rPr>
                              <w:rFonts w:eastAsia="Calibri"/>
                              <w:bCs/>
                              <w:szCs w:val="24"/>
                            </w:rPr>
                            <w:t xml:space="preserve">Akcizų įstatymo 27 straipsnio 1 dalies 5–7 punktuose nurodytų produktų gamybai kvapiųjų medžiagų sunaudota ne daugiau nei nurodyta Akcizų įstatymo 27 straipsnio 1 dalies 5–7 punktuose arba kvapiosios medžiagos yra sunaudotos / skirtos alkoholinių gėrimų ar kitų produktų gamybai sandėlyje, arba kvapiosios medžiagos yra skirtos didmeninei prekybai, arba </w:t>
                          </w:r>
                          <w:r>
                            <w:rPr>
                              <w:rFonts w:eastAsia="Calibri"/>
                              <w:szCs w:val="24"/>
                            </w:rPr>
                            <w:t>kvapiosios medžiagos yra supilstytos į ne didesnę negu 20 mililitrų vienkartinę tarą</w:t>
                          </w:r>
                          <w:r>
                            <w:rPr>
                              <w:rFonts w:eastAsia="Calibri"/>
                              <w:bCs/>
                              <w:szCs w:val="24"/>
                            </w:rPr>
                            <w:t>, kai kreipiamasi taisyklių 1.5 papunktyje nurodytais atvejais;</w:t>
                          </w:r>
                        </w:p>
                      </w:sdtContent>
                    </w:sdt>
                    <w:sdt>
                      <w:sdtPr>
                        <w:alias w:val="10.2.6 pp."/>
                        <w:tag w:val="part_5bbce1527f404338bb70083f2700c18c"/>
                        <w:lock w:val="sdtLocked"/>
                        <w:richText/>
                      </w:sdtPr>
                      <w:sdtContent>
                        <w:p>
                          <w:pPr>
                            <w:tabs>
                              <w:tab w:val="left" w:pos="1134"/>
                              <w:tab w:val="left" w:pos="1276"/>
                              <w:tab w:val="left" w:pos="1985"/>
                            </w:tabs>
                            <w:ind w:firstLine="709"/>
                            <w:jc w:val="both"/>
                            <w:rPr>
                              <w:rFonts w:eastAsia="Calibri"/>
                              <w:bCs/>
                              <w:szCs w:val="24"/>
                            </w:rPr>
                          </w:pPr>
                          <w:sdt>
                            <w:sdtPr>
                              <w:alias w:val="Numeris"/>
                              <w:tag w:val="nr_5bbce1527f404338bb70083f2700c18c"/>
                              <w:lock w:val="sdtLocked"/>
                              <w:richText/>
                            </w:sdtPr>
                            <w:sdtContent>
                              <w:r>
                                <w:rPr>
                                  <w:szCs w:val="24"/>
                                  <w:lang w:eastAsia="lt-LT"/>
                                </w:rPr>
                                <w:t>10.2.6</w:t>
                              </w:r>
                            </w:sdtContent>
                          </w:sdt>
                          <w:r>
                            <w:rPr>
                              <w:szCs w:val="24"/>
                              <w:lang w:eastAsia="lt-LT"/>
                            </w:rPr>
                            <w:t>. dokumentai, kuriais įrodomas energinių produktų panaudojimas Akcizų įstatymo 43 straipsnio 1 dalies 3–4 punktuose nurodytais tikslais ir (arba) buvo tenkinamos visos 43 straipsnio 1</w:t>
                          </w:r>
                          <w:r>
                            <w:rPr>
                              <w:szCs w:val="24"/>
                              <w:vertAlign w:val="superscript"/>
                              <w:lang w:eastAsia="lt-LT"/>
                            </w:rPr>
                            <w:t>1</w:t>
                          </w:r>
                          <w:r>
                            <w:rPr>
                              <w:szCs w:val="24"/>
                              <w:lang w:eastAsia="lt-LT"/>
                            </w:rPr>
                            <w:t xml:space="preserve"> dalyje nurodytos sąlygos, ir kita informacija, pagal kurią būtų galima nustatyti, koks energinių produktų kiekis šiems tikslams buvo sunaudotas, kai kreipiamasi taisyklių 1.6–1.7 ir (arba) 1.9 papunkčiuose nurodytais atvejais;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2aa71dfb211ef84c3a3cb4f439b27">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2025-01-31,
paskelbta TAR 2025-01-31, i. k. 2025-01476            </w:t>
                          </w:r>
                        </w:p>
                        <w:p/>
                      </w:sdtContent>
                    </w:sdt>
                    <w:sdt>
                      <w:sdtPr>
                        <w:alias w:val="10.2.7 pp."/>
                        <w:tag w:val="part_1441b875c53b4c1d9ddbf05ea88cccf5"/>
                        <w:lock w:val="sdtLocked"/>
                        <w:richText/>
                      </w:sdtPr>
                      <w:sdtContent>
                        <w:p>
                          <w:pPr>
                            <w:tabs>
                              <w:tab w:val="left" w:pos="993"/>
                              <w:tab w:val="left" w:pos="1134"/>
                              <w:tab w:val="left" w:pos="1418"/>
                              <w:tab w:val="left" w:pos="1560"/>
                            </w:tabs>
                            <w:ind w:firstLine="709"/>
                            <w:jc w:val="both"/>
                            <w:rPr>
                              <w:rFonts w:eastAsia="Calibri"/>
                              <w:bCs/>
                              <w:szCs w:val="24"/>
                            </w:rPr>
                          </w:pPr>
                          <w:sdt>
                            <w:sdtPr>
                              <w:alias w:val="Numeris"/>
                              <w:tag w:val="nr_1441b875c53b4c1d9ddbf05ea88cccf5"/>
                              <w:lock w:val="sdtLocked"/>
                              <w:richText/>
                            </w:sdtPr>
                            <w:sdtContent>
                              <w:r>
                                <w:rPr>
                                  <w:rFonts w:eastAsia="Calibri"/>
                                  <w:bCs/>
                                  <w:szCs w:val="24"/>
                                </w:rPr>
                                <w:t>10.2.7</w:t>
                              </w:r>
                            </w:sdtContent>
                          </w:sdt>
                          <w:r>
                            <w:rPr>
                              <w:rFonts w:eastAsia="Calibri"/>
                              <w:bCs/>
                              <w:szCs w:val="24"/>
                            </w:rPr>
                            <w:t>.</w:t>
                            <w:tab/>
                            <w:t>elektros generatoriaus (-ių) techniniai duomenys bei informacija, pagal kurią būtų galima apskaičiuoti faktiškai sunaudotą energinių produktų kiekį ir pagamintą elektros energijos kiekį (elektros skaitiklio arba generatoriaus moto valandų skaitiklio rodmenys), kai kreipiamasi taisyklių 1.7 papunktyje nurodytu atveju;</w:t>
                          </w:r>
                        </w:p>
                      </w:sdtContent>
                    </w:sdt>
                    <w:sdt>
                      <w:sdtPr>
                        <w:alias w:val="10.2.8 pp."/>
                        <w:tag w:val="part_0f0e615e5fbd46a19b64c648a08d5779"/>
                        <w:lock w:val="sdtLocked"/>
                        <w:richText/>
                      </w:sdtPr>
                      <w:sdtContent>
                        <w:p>
                          <w:pPr>
                            <w:tabs>
                              <w:tab w:val="left" w:pos="993"/>
                              <w:tab w:val="left" w:pos="1134"/>
                              <w:tab w:val="left" w:pos="1418"/>
                              <w:tab w:val="left" w:pos="1560"/>
                            </w:tabs>
                            <w:ind w:firstLine="709"/>
                            <w:jc w:val="both"/>
                            <w:rPr>
                              <w:rFonts w:eastAsia="Calibri"/>
                              <w:bCs/>
                              <w:szCs w:val="24"/>
                            </w:rPr>
                          </w:pPr>
                          <w:sdt>
                            <w:sdtPr>
                              <w:alias w:val="Numeris"/>
                              <w:tag w:val="nr_0f0e615e5fbd46a19b64c648a08d5779"/>
                              <w:lock w:val="sdtLocked"/>
                              <w:richText/>
                            </w:sdtPr>
                            <w:sdtContent>
                              <w:r>
                                <w:rPr>
                                  <w:rFonts w:eastAsia="Calibri"/>
                                  <w:bCs/>
                                  <w:szCs w:val="24"/>
                                </w:rPr>
                                <w:t>10.2.8</w:t>
                              </w:r>
                            </w:sdtContent>
                          </w:sdt>
                          <w:r>
                            <w:rPr>
                              <w:rFonts w:eastAsia="Calibri"/>
                              <w:bCs/>
                              <w:szCs w:val="24"/>
                            </w:rPr>
                            <w:t>.</w:t>
                            <w:tab/>
                            <w:t xml:space="preserve">kiti </w:t>
                          </w:r>
                          <w:r>
                            <w:rPr>
                              <w:rFonts w:eastAsia="Calibri"/>
                              <w:color w:val="000000"/>
                              <w:szCs w:val="24"/>
                              <w:shd w:val="clear" w:color="auto" w:fill="FFFFFF"/>
                            </w:rPr>
                            <w:t>dokumentai ar duomenys, pagrindžiantys grąžintinos akcizų sumos susidarymą.</w:t>
                          </w:r>
                        </w:p>
                      </w:sdtContent>
                    </w:sdt>
                  </w:sdtContent>
                </w:sdt>
              </w:sdtContent>
            </w:sdt>
            <w:sdt>
              <w:sdtPr>
                <w:alias w:val="11 p."/>
                <w:tag w:val="part_da086d692a2d48cbb5e7f1609e72e3cc"/>
                <w:lock w:val="sdtLocked"/>
                <w:richText/>
              </w:sdtPr>
              <w:sdtContent>
                <w:p>
                  <w:pPr>
                    <w:tabs>
                      <w:tab w:val="left" w:pos="426"/>
                      <w:tab w:val="left" w:pos="567"/>
                      <w:tab w:val="left" w:pos="851"/>
                      <w:tab w:val="left" w:pos="1134"/>
                      <w:tab w:val="left" w:pos="1276"/>
                    </w:tabs>
                    <w:ind w:firstLine="709"/>
                    <w:jc w:val="both"/>
                    <w:rPr>
                      <w:rFonts w:eastAsia="Calibri"/>
                      <w:bCs/>
                      <w:szCs w:val="24"/>
                    </w:rPr>
                  </w:pPr>
                  <w:sdt>
                    <w:sdtPr>
                      <w:alias w:val="Numeris"/>
                      <w:tag w:val="nr_da086d692a2d48cbb5e7f1609e72e3cc"/>
                      <w:lock w:val="sdtLocked"/>
                      <w:richText/>
                    </w:sdtPr>
                    <w:sdtContent>
                      <w:r>
                        <w:rPr>
                          <w:rFonts w:eastAsia="Calibri"/>
                          <w:bCs/>
                          <w:szCs w:val="24"/>
                        </w:rPr>
                        <w:t>11</w:t>
                      </w:r>
                    </w:sdtContent>
                  </w:sdt>
                  <w:r>
                    <w:rPr>
                      <w:rFonts w:eastAsia="Calibri"/>
                      <w:bCs/>
                      <w:szCs w:val="24"/>
                    </w:rPr>
                    <w:t>.</w:t>
                    <w:tab/>
                    <w:t>Šių taisyklių 1.8 papunktyje nurodytu atveju kartu su prašymu turi būti pateikta:</w:t>
                  </w:r>
                </w:p>
                <w:sdt>
                  <w:sdtPr>
                    <w:alias w:val="11.1 pp."/>
                    <w:tag w:val="part_219e7bfe12294338bb5f318da23a9d98"/>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219e7bfe12294338bb5f318da23a9d98"/>
                          <w:lock w:val="sdtLocked"/>
                          <w:richText/>
                        </w:sdtPr>
                        <w:sdtContent>
                          <w:r>
                            <w:rPr>
                              <w:rFonts w:eastAsia="Calibri"/>
                              <w:bCs/>
                              <w:szCs w:val="24"/>
                            </w:rPr>
                            <w:t>11.1</w:t>
                          </w:r>
                        </w:sdtContent>
                      </w:sdt>
                      <w:r>
                        <w:rPr>
                          <w:rFonts w:eastAsia="Calibri"/>
                          <w:bCs/>
                          <w:szCs w:val="24"/>
                        </w:rPr>
                        <w:t>.</w:t>
                        <w:tab/>
                        <w:t>produktų gamybos receptūros išeigos ir (arba) kita informacija, pagal kurią būtų galima nustatyti, koks etilo alkoholio ir (arba) alkoholinių gėrimų kiekis buvo sunaudotas, kai kreipiamasi Akcizų įstatymo 27 straipsnio 1 dalies 4–9 punktuose nurodytais atvejais;</w:t>
                      </w:r>
                    </w:p>
                  </w:sdtContent>
                </w:sdt>
                <w:sdt>
                  <w:sdtPr>
                    <w:alias w:val="11.2 pp."/>
                    <w:tag w:val="part_2e35635e2d4d4d2ca1837b2523dbe4a6"/>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2e35635e2d4d4d2ca1837b2523dbe4a6"/>
                          <w:lock w:val="sdtLocked"/>
                          <w:richText/>
                        </w:sdtPr>
                        <w:sdtContent>
                          <w:r>
                            <w:rPr>
                              <w:rFonts w:eastAsia="Calibri"/>
                              <w:bCs/>
                              <w:szCs w:val="24"/>
                            </w:rPr>
                            <w:t>11.2</w:t>
                          </w:r>
                        </w:sdtContent>
                      </w:sdt>
                      <w:r>
                        <w:rPr>
                          <w:rFonts w:eastAsia="Calibri"/>
                          <w:bCs/>
                          <w:szCs w:val="24"/>
                        </w:rPr>
                        <w:t>.</w:t>
                        <w:tab/>
                      </w:r>
                      <w:r>
                        <w:rPr>
                          <w:rFonts w:eastAsia="Calibri"/>
                          <w:szCs w:val="24"/>
                        </w:rPr>
                        <w:t>dokumentai, patvirtinantys, kad etilo alkoholis yra sunaudotas medicinos priemonių gamybos procesams ir galutiniame produkte nėra etilo alkoholio;</w:t>
                      </w:r>
                    </w:p>
                  </w:sdtContent>
                </w:sdt>
                <w:sdt>
                  <w:sdtPr>
                    <w:alias w:val="11.3 pp."/>
                    <w:tag w:val="part_7b329017eea64a0ca49fd6e3c1d6c009"/>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7b329017eea64a0ca49fd6e3c1d6c009"/>
                          <w:lock w:val="sdtLocked"/>
                          <w:richText/>
                        </w:sdtPr>
                        <w:sdtContent>
                          <w:r>
                            <w:rPr>
                              <w:rFonts w:eastAsia="Calibri"/>
                              <w:bCs/>
                              <w:szCs w:val="24"/>
                            </w:rPr>
                            <w:t>11.3</w:t>
                          </w:r>
                        </w:sdtContent>
                      </w:sdt>
                      <w:r>
                        <w:rPr>
                          <w:rFonts w:eastAsia="Calibri"/>
                          <w:bCs/>
                          <w:szCs w:val="24"/>
                        </w:rPr>
                        <w:t>.</w:t>
                        <w:tab/>
                        <w:t>dokumentai, iš kurių įmanoma nustatyti, kad konkretus elektros energijos kiekis patiektas į kitą valstybę narę, kad panaudotas / patiektas Akcizų įstatymo 48 straipsnio 1 dalies 1, 3 ir 5 punktuose nurodytais tikslais; kad atitinkamas elektros energijos kiekis pagamintas, naudojant atsinaujinančius energijos išteklius, kai kreipiamasi Akcizų įstatymo 48 straipsnio 4 dalyje nurodytais atvejais;</w:t>
                      </w:r>
                    </w:p>
                  </w:sdtContent>
                </w:sdt>
                <w:sdt>
                  <w:sdtPr>
                    <w:alias w:val="11.4 pp."/>
                    <w:tag w:val="part_8fdc98682c064e649a063097b63b5d52"/>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8fdc98682c064e649a063097b63b5d52"/>
                          <w:lock w:val="sdtLocked"/>
                          <w:richText/>
                        </w:sdtPr>
                        <w:sdtContent>
                          <w:r>
                            <w:rPr>
                              <w:rFonts w:eastAsia="Calibri"/>
                              <w:bCs/>
                              <w:szCs w:val="24"/>
                            </w:rPr>
                            <w:t>11.4</w:t>
                          </w:r>
                        </w:sdtContent>
                      </w:sdt>
                      <w:r>
                        <w:rPr>
                          <w:rFonts w:eastAsia="Calibri"/>
                          <w:bCs/>
                          <w:szCs w:val="24"/>
                        </w:rPr>
                        <w:t>.</w:t>
                        <w:tab/>
                        <w:t>dokumentai, patvirtinantys, kad kaitinamojo tabako produktai išgabenti į kitą valstybę narę, arba dokumentai, kuriais įrodomas atitinkamo kaitinamojo tabako produktų, apdoroto tabako produktų, neapdoroto tabako kiekio panaudojimas Akcizų įstatymo 64 straipsnio 1 dalies 2 punkte arba Akcizų įstatymo 33 straipsnio 2 dalyje arba 72 straipsnio 5 dalyje nurodytais tikslais, kai kreipiamasi Akcizų įstatymo 64 straipsnio 2 dalyje, 33 straipsnio 2 dalyje arba 72 straipsnio 6 dalyje nurodytais atvejais</w:t>
                      </w:r>
                      <w:r>
                        <w:rPr>
                          <w:rFonts w:eastAsia="Calibri"/>
                          <w:szCs w:val="24"/>
                        </w:rPr>
                        <w:t xml:space="preserve"> (pavyzdžiui, sutarčių su būtinuosius bandymus atliekančiomis institucijomis, dokumentų, kurių pagrindu produktai paimami įgaliotojų institucijų, kopijas, sutarčių su mokslinius tyrimus atliekančiomis institucijomis kopijas ir kitus dokumentus, įrodančius produktų panaudojimą Tvarkos aprašo 1 punkte nurodytiems tikslams);</w:t>
                      </w:r>
                    </w:p>
                  </w:sdtContent>
                </w:sdt>
                <w:sdt>
                  <w:sdtPr>
                    <w:alias w:val="11.5 pp."/>
                    <w:tag w:val="part_ba67890046a3429aa4c548204eead47f"/>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ba67890046a3429aa4c548204eead47f"/>
                          <w:lock w:val="sdtLocked"/>
                          <w:richText/>
                        </w:sdtPr>
                        <w:sdtContent>
                          <w:r>
                            <w:rPr>
                              <w:rFonts w:eastAsia="Calibri"/>
                              <w:bCs/>
                              <w:szCs w:val="24"/>
                            </w:rPr>
                            <w:t>11.5</w:t>
                          </w:r>
                        </w:sdtContent>
                      </w:sdt>
                      <w:r>
                        <w:rPr>
                          <w:rFonts w:eastAsia="Calibri"/>
                          <w:bCs/>
                          <w:szCs w:val="24"/>
                        </w:rPr>
                        <w:t>.</w:t>
                        <w:tab/>
                        <w:t>įrodymai, kad prekės yra panaudotos Akcizų įstatymo 19 straipsnio 1 dalies 5 punkte arba 43 straipsnio 1 dalies 1–4 punktuose nurodytais tikslais, kai kreipiamasi Akcizų įstatymo 19 straipsnio 4 dalyje arba Lengvatų taikymo taisyklių 14 punkte nurodytais atvejais;</w:t>
                      </w:r>
                    </w:p>
                  </w:sdtContent>
                </w:sdt>
                <w:sdt>
                  <w:sdtPr>
                    <w:alias w:val="11.6 pp."/>
                    <w:tag w:val="part_e6aaf1d20c594225bfc3696a8366c20f"/>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e6aaf1d20c594225bfc3696a8366c20f"/>
                          <w:lock w:val="sdtLocked"/>
                          <w:richText/>
                        </w:sdtPr>
                        <w:sdtContent>
                          <w:r>
                            <w:rPr>
                              <w:rFonts w:eastAsia="Calibri"/>
                              <w:bCs/>
                              <w:szCs w:val="24"/>
                            </w:rPr>
                            <w:t>11.6</w:t>
                          </w:r>
                        </w:sdtContent>
                      </w:sdt>
                      <w:r>
                        <w:rPr>
                          <w:rFonts w:eastAsia="Calibri"/>
                          <w:bCs/>
                          <w:szCs w:val="24"/>
                        </w:rPr>
                        <w:t>.</w:t>
                        <w:tab/>
                      </w:r>
                      <w:r>
                        <w:rPr>
                          <w:rFonts w:eastAsia="Calibri"/>
                          <w:color w:val="000000"/>
                          <w:szCs w:val="24"/>
                          <w:shd w:val="clear" w:color="auto" w:fill="FFFFFF"/>
                        </w:rPr>
                        <w:t xml:space="preserve">įrodymai, patvirtinantys, kad prekės, kurių akcizai buvo sumokėti Lietuvos Respublikoje, buvo prarastos kitoje valstybėje narėje ir joje akcizai yra sumokėti, kai kreipiamasi Akcizų įstatymo </w:t>
                      </w:r>
                      <w:r>
                        <w:rPr>
                          <w:rFonts w:eastAsia="Calibri"/>
                          <w:iCs/>
                          <w:color w:val="000000"/>
                          <w:szCs w:val="24"/>
                        </w:rPr>
                        <w:t>15 straipsnio 9 dalyje, 16 straipsnio 3–4 dalyse arba 8 dalyje nurodytais atvejais;</w:t>
                      </w:r>
                    </w:p>
                  </w:sdtContent>
                </w:sdt>
                <w:sdt>
                  <w:sdtPr>
                    <w:alias w:val="11.7 pp."/>
                    <w:tag w:val="part_7bd1868298b140b594ff450b187800be"/>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7bd1868298b140b594ff450b187800be"/>
                          <w:lock w:val="sdtLocked"/>
                          <w:richText/>
                        </w:sdtPr>
                        <w:sdtContent>
                          <w:r>
                            <w:rPr>
                              <w:rFonts w:eastAsia="Calibri"/>
                              <w:bCs/>
                              <w:szCs w:val="24"/>
                            </w:rPr>
                            <w:t>11.7</w:t>
                          </w:r>
                        </w:sdtContent>
                      </w:sdt>
                      <w:r>
                        <w:rPr>
                          <w:rFonts w:eastAsia="Calibri"/>
                          <w:bCs/>
                          <w:szCs w:val="24"/>
                        </w:rPr>
                        <w:t>.</w:t>
                        <w:tab/>
                      </w:r>
                      <w:r>
                        <w:rPr>
                          <w:rFonts w:eastAsia="Calibri"/>
                          <w:iCs/>
                          <w:color w:val="000000"/>
                          <w:szCs w:val="24"/>
                        </w:rPr>
                        <w:t>įrodymai, patvirtinantys, kad prekės, už kurias akcizai buvo sumokėti, gautos sandėlyje, kai kreipiamasi Akcizų įstatymo 14 straipsnio 4 dalyje nurodytais atvejais;</w:t>
                      </w:r>
                    </w:p>
                  </w:sdtContent>
                </w:sdt>
                <w:sdt>
                  <w:sdtPr>
                    <w:alias w:val="11.8 pp."/>
                    <w:tag w:val="part_1525569273414de0937c2889bbb75500"/>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1525569273414de0937c2889bbb75500"/>
                          <w:lock w:val="sdtLocked"/>
                          <w:richText/>
                        </w:sdtPr>
                        <w:sdtContent>
                          <w:r>
                            <w:rPr>
                              <w:rFonts w:eastAsia="Calibri"/>
                              <w:bCs/>
                              <w:szCs w:val="24"/>
                            </w:rPr>
                            <w:t>11.8</w:t>
                          </w:r>
                        </w:sdtContent>
                      </w:sdt>
                      <w:r>
                        <w:rPr>
                          <w:rFonts w:eastAsia="Calibri"/>
                          <w:bCs/>
                          <w:szCs w:val="24"/>
                        </w:rPr>
                        <w:t>.</w:t>
                        <w:tab/>
                        <w:t xml:space="preserve">dokumentai, iš kurių įmanoma nustatyti, kad konkretus gamtinių dujų kiekis patiektas į kitą valstybę narę, kad panaudotas / patiektas Akcizų įstatymo </w:t>
                      </w:r>
                      <w:r>
                        <w:rPr>
                          <w:rFonts w:eastAsia="Calibri"/>
                          <w:bCs/>
                          <w:color w:val="000000"/>
                          <w:szCs w:val="24"/>
                        </w:rPr>
                        <w:t>58</w:t>
                      </w:r>
                      <w:r>
                        <w:rPr>
                          <w:rFonts w:eastAsia="Calibri"/>
                          <w:bCs/>
                          <w:color w:val="000000"/>
                          <w:szCs w:val="24"/>
                          <w:vertAlign w:val="superscript"/>
                        </w:rPr>
                        <w:t>1</w:t>
                      </w:r>
                      <w:r>
                        <w:rPr>
                          <w:rFonts w:eastAsia="Calibri"/>
                          <w:bCs/>
                          <w:color w:val="000000"/>
                          <w:szCs w:val="24"/>
                        </w:rPr>
                        <w:t xml:space="preserve"> straipsnio 1 dalies 2–6 pu</w:t>
                      </w:r>
                      <w:r>
                        <w:rPr>
                          <w:rFonts w:eastAsia="Calibri"/>
                          <w:bCs/>
                          <w:szCs w:val="24"/>
                        </w:rPr>
                        <w:t xml:space="preserve">nktuose nurodytais tikslais, kai kreipiamasi Akcizų įstatymo </w:t>
                      </w:r>
                      <w:r>
                        <w:rPr>
                          <w:rFonts w:eastAsia="Calibri"/>
                          <w:bCs/>
                          <w:color w:val="000000"/>
                          <w:szCs w:val="24"/>
                        </w:rPr>
                        <w:t>58</w:t>
                      </w:r>
                      <w:r>
                        <w:rPr>
                          <w:rFonts w:eastAsia="Calibri"/>
                          <w:bCs/>
                          <w:color w:val="000000"/>
                          <w:szCs w:val="24"/>
                          <w:vertAlign w:val="superscript"/>
                        </w:rPr>
                        <w:t>1</w:t>
                      </w:r>
                      <w:r>
                        <w:rPr>
                          <w:rFonts w:eastAsia="Calibri"/>
                          <w:bCs/>
                          <w:color w:val="000000"/>
                          <w:szCs w:val="24"/>
                        </w:rPr>
                        <w:t xml:space="preserve"> straipsnio 1 dalies 1–6 pu</w:t>
                      </w:r>
                      <w:r>
                        <w:rPr>
                          <w:rFonts w:eastAsia="Calibri"/>
                          <w:bCs/>
                          <w:szCs w:val="24"/>
                        </w:rPr>
                        <w:t>nktuose nurodytais atvejais;</w:t>
                      </w:r>
                    </w:p>
                  </w:sdtContent>
                </w:sdt>
                <w:sdt>
                  <w:sdtPr>
                    <w:alias w:val="11.9 pp."/>
                    <w:tag w:val="part_dc7dfc93ca7e495199056dcfa8287251"/>
                    <w:lock w:val="sdtLocked"/>
                    <w:richText/>
                  </w:sdtPr>
                  <w:sdtContent>
                    <w:p>
                      <w:pPr>
                        <w:tabs>
                          <w:tab w:val="left" w:pos="426"/>
                          <w:tab w:val="left" w:pos="567"/>
                          <w:tab w:val="left" w:pos="851"/>
                          <w:tab w:val="left" w:pos="993"/>
                          <w:tab w:val="left" w:pos="1418"/>
                        </w:tabs>
                        <w:ind w:firstLine="709"/>
                        <w:jc w:val="both"/>
                        <w:rPr>
                          <w:rFonts w:eastAsia="Calibri"/>
                          <w:bCs/>
                          <w:szCs w:val="24"/>
                        </w:rPr>
                      </w:pPr>
                      <w:sdt>
                        <w:sdtPr>
                          <w:alias w:val="Numeris"/>
                          <w:tag w:val="nr_dc7dfc93ca7e495199056dcfa8287251"/>
                          <w:lock w:val="sdtLocked"/>
                          <w:richText/>
                        </w:sdtPr>
                        <w:sdtContent>
                          <w:r>
                            <w:rPr>
                              <w:rFonts w:eastAsia="Calibri"/>
                              <w:bCs/>
                              <w:szCs w:val="24"/>
                            </w:rPr>
                            <w:t>11.9</w:t>
                          </w:r>
                        </w:sdtContent>
                      </w:sdt>
                      <w:r>
                        <w:rPr>
                          <w:rFonts w:eastAsia="Calibri"/>
                          <w:bCs/>
                          <w:szCs w:val="24"/>
                        </w:rPr>
                        <w:t>.</w:t>
                        <w:tab/>
                        <w:t xml:space="preserve">kiti </w:t>
                      </w:r>
                      <w:r>
                        <w:rPr>
                          <w:rFonts w:eastAsia="Calibri"/>
                          <w:color w:val="000000"/>
                          <w:szCs w:val="24"/>
                          <w:shd w:val="clear" w:color="auto" w:fill="FFFFFF"/>
                        </w:rPr>
                        <w:t>dokumentai ar duomenys, pagrindžiantys grąžintinos akcizų sumos susidarymą.</w:t>
                      </w:r>
                    </w:p>
                  </w:sdtContent>
                </w:sdt>
              </w:sdtContent>
            </w:sdt>
            <w:sdt>
              <w:sdtPr>
                <w:alias w:val="12 p."/>
                <w:tag w:val="part_096a3c158ad446fe9cf3b9824888bc4d"/>
                <w:lock w:val="sdtLocked"/>
                <w:richText/>
              </w:sdtPr>
              <w:sdtContent>
                <w:p>
                  <w:pPr>
                    <w:ind w:firstLine="709"/>
                    <w:jc w:val="both"/>
                    <w:rPr>
                      <w:rFonts w:eastAsia="Calibri"/>
                      <w:color w:val="000000"/>
                      <w:szCs w:val="24"/>
                      <w:lang w:eastAsia="lt-LT"/>
                    </w:rPr>
                  </w:pPr>
                  <w:sdt>
                    <w:sdtPr>
                      <w:alias w:val="Numeris"/>
                      <w:tag w:val="nr_096a3c158ad446fe9cf3b9824888bc4d"/>
                      <w:lock w:val="sdtLocked"/>
                      <w:richText/>
                    </w:sdtPr>
                    <w:sdtContent>
                      <w:r>
                        <w:rPr>
                          <w:rFonts w:eastAsia="Calibri"/>
                          <w:color w:val="000000"/>
                          <w:szCs w:val="24"/>
                          <w:lang w:eastAsia="lt-LT"/>
                        </w:rPr>
                        <w:t>12</w:t>
                      </w:r>
                    </w:sdtContent>
                  </w:sdt>
                  <w:r>
                    <w:rPr>
                      <w:rFonts w:eastAsia="Calibri"/>
                      <w:color w:val="000000"/>
                      <w:szCs w:val="24"/>
                      <w:lang w:eastAsia="lt-LT"/>
                    </w:rPr>
                    <w:t>.</w:t>
                    <w:tab/>
                    <w:t>J</w:t>
                  </w:r>
                  <w:r>
                    <w:rPr>
                      <w:rFonts w:eastAsia="Calibri"/>
                      <w:bCs/>
                      <w:szCs w:val="24"/>
                      <w:lang w:eastAsia="lt-LT"/>
                    </w:rPr>
                    <w:t>eigu akcizų sumokėjimą arba grąžintinos akcizų sumos susidarymą patvirtinantys dokumentai ar jų duomenys yra pateikti į Valstybinės mokesčių inspekcijos duomenų bazes, tai tokie duomenys ir dokumentai neteikiami, tačiau pateikiamas paaiškinimas, kuriame turi būti nurodyta tokių dokumentų (duomenų) pateikimo data ir numeris (jeigu yra), mokestinis laikotarpis.</w:t>
                  </w:r>
                </w:p>
                <w:p>
                  <w:pPr>
                    <w:tabs>
                      <w:tab w:val="left" w:pos="426"/>
                      <w:tab w:val="left" w:pos="567"/>
                      <w:tab w:val="left" w:pos="993"/>
                      <w:tab w:val="left" w:pos="1134"/>
                    </w:tabs>
                    <w:ind w:firstLine="709"/>
                    <w:jc w:val="both"/>
                    <w:rPr>
                      <w:rFonts w:eastAsia="Calibri"/>
                      <w:bCs/>
                      <w:szCs w:val="24"/>
                    </w:rPr>
                  </w:pPr>
                </w:p>
              </w:sdtContent>
            </w:sdt>
          </w:sdtContent>
        </w:sdt>
        <w:sdt>
          <w:sdtPr>
            <w:alias w:val="skyrius"/>
            <w:tag w:val="part_313e0879fa7340afbe9a354b2afeab82"/>
            <w:lock w:val="sdtLocked"/>
            <w:richText/>
          </w:sdtPr>
          <w:sdtContent>
            <w:p>
              <w:pPr>
                <w:tabs>
                  <w:tab w:val="left" w:pos="426"/>
                  <w:tab w:val="left" w:pos="567"/>
                  <w:tab w:val="left" w:pos="709"/>
                </w:tabs>
                <w:jc w:val="center"/>
                <w:rPr>
                  <w:rFonts w:eastAsia="Calibri"/>
                  <w:b/>
                  <w:bCs/>
                  <w:szCs w:val="24"/>
                </w:rPr>
              </w:pPr>
              <w:sdt>
                <w:sdtPr>
                  <w:alias w:val="Numeris"/>
                  <w:tag w:val="nr_313e0879fa7340afbe9a354b2afeab82"/>
                  <w:lock w:val="sdtLocked"/>
                  <w:richText/>
                </w:sdtPr>
                <w:sdtContent>
                  <w:r>
                    <w:rPr>
                      <w:rFonts w:eastAsia="Calibri"/>
                      <w:b/>
                      <w:bCs/>
                      <w:szCs w:val="24"/>
                    </w:rPr>
                    <w:t>III</w:t>
                  </w:r>
                </w:sdtContent>
              </w:sdt>
              <w:r>
                <w:rPr>
                  <w:rFonts w:eastAsia="Calibri"/>
                  <w:b/>
                  <w:bCs/>
                  <w:szCs w:val="24"/>
                </w:rPr>
                <w:t xml:space="preserve"> SKYRIUS</w:t>
              </w:r>
            </w:p>
            <w:p>
              <w:pPr>
                <w:tabs>
                  <w:tab w:val="left" w:pos="426"/>
                  <w:tab w:val="left" w:pos="567"/>
                  <w:tab w:val="left" w:pos="709"/>
                </w:tabs>
                <w:jc w:val="center"/>
                <w:rPr>
                  <w:rFonts w:eastAsia="Calibri"/>
                  <w:b/>
                  <w:bCs/>
                  <w:szCs w:val="24"/>
                </w:rPr>
              </w:pPr>
              <w:sdt>
                <w:sdtPr>
                  <w:alias w:val="Pavadinimas"/>
                  <w:tag w:val="title_313e0879fa7340afbe9a354b2afeab82"/>
                  <w:lock w:val="sdtLocked"/>
                  <w:richText/>
                </w:sdtPr>
                <w:sdtContent>
                  <w:r>
                    <w:rPr>
                      <w:rFonts w:eastAsia="Calibri"/>
                      <w:b/>
                      <w:bCs/>
                      <w:szCs w:val="24"/>
                    </w:rPr>
                    <w:t>PRAŠYMŲ NAGRINĖJIMAS</w:t>
                  </w:r>
                </w:sdtContent>
              </w:sdt>
            </w:p>
            <w:p>
              <w:pPr>
                <w:tabs>
                  <w:tab w:val="left" w:pos="426"/>
                  <w:tab w:val="left" w:pos="567"/>
                  <w:tab w:val="left" w:pos="709"/>
                </w:tabs>
                <w:ind w:firstLine="709"/>
                <w:jc w:val="center"/>
                <w:rPr>
                  <w:rFonts w:eastAsia="Calibri"/>
                  <w:b/>
                  <w:bCs/>
                  <w:szCs w:val="24"/>
                </w:rPr>
              </w:pPr>
            </w:p>
            <w:sdt>
              <w:sdtPr>
                <w:alias w:val="13 p."/>
                <w:tag w:val="part_28268a5f68824dc4b1f5f4296b0b9dc1"/>
                <w:lock w:val="sdtLocked"/>
                <w:richText/>
              </w:sdtPr>
              <w:sdtContent>
                <w:p>
                  <w:pPr>
                    <w:tabs>
                      <w:tab w:val="left" w:pos="567"/>
                      <w:tab w:val="left" w:pos="1276"/>
                      <w:tab w:val="left" w:pos="1560"/>
                    </w:tabs>
                    <w:ind w:firstLine="709"/>
                    <w:jc w:val="both"/>
                    <w:rPr>
                      <w:rFonts w:eastAsia="Calibri"/>
                      <w:bCs/>
                      <w:szCs w:val="24"/>
                    </w:rPr>
                  </w:pPr>
                  <w:sdt>
                    <w:sdtPr>
                      <w:alias w:val="Numeris"/>
                      <w:tag w:val="nr_28268a5f68824dc4b1f5f4296b0b9dc1"/>
                      <w:lock w:val="sdtLocked"/>
                      <w:richText/>
                    </w:sdtPr>
                    <w:sdtContent>
                      <w:r>
                        <w:rPr>
                          <w:rFonts w:eastAsia="Calibri"/>
                          <w:bCs/>
                          <w:szCs w:val="24"/>
                        </w:rPr>
                        <w:t>13</w:t>
                      </w:r>
                    </w:sdtContent>
                  </w:sdt>
                  <w:r>
                    <w:rPr>
                      <w:rFonts w:eastAsia="Calibri"/>
                      <w:bCs/>
                      <w:szCs w:val="24"/>
                    </w:rPr>
                    <w:t>.</w:t>
                    <w:tab/>
                    <w:t>Valstybinė mokesčių inspekcija prašymo nagrinėjimo metu gali pareikalauti pateikti papildomų dokumentų ir (ar) duomenų, jeigu:</w:t>
                  </w:r>
                </w:p>
                <w:sdt>
                  <w:sdtPr>
                    <w:alias w:val="13.1 pp."/>
                    <w:tag w:val="part_144e9f44eee541149d5583356343d050"/>
                    <w:lock w:val="sdtLocked"/>
                    <w:richText/>
                  </w:sdtPr>
                  <w:sdtContent>
                    <w:p>
                      <w:pPr>
                        <w:tabs>
                          <w:tab w:val="left" w:pos="567"/>
                          <w:tab w:val="left" w:pos="709"/>
                          <w:tab w:val="left" w:pos="1058"/>
                          <w:tab w:val="left" w:pos="1418"/>
                          <w:tab w:val="left" w:pos="1560"/>
                        </w:tabs>
                        <w:ind w:left="-142" w:firstLine="851"/>
                        <w:jc w:val="both"/>
                        <w:rPr>
                          <w:rFonts w:eastAsia="Calibri"/>
                          <w:bCs/>
                          <w:szCs w:val="24"/>
                        </w:rPr>
                      </w:pPr>
                      <w:sdt>
                        <w:sdtPr>
                          <w:alias w:val="Numeris"/>
                          <w:tag w:val="nr_144e9f44eee541149d5583356343d050"/>
                          <w:lock w:val="sdtLocked"/>
                          <w:richText/>
                        </w:sdtPr>
                        <w:sdtContent>
                          <w:r>
                            <w:rPr>
                              <w:rFonts w:eastAsia="Calibri"/>
                              <w:bCs/>
                              <w:szCs w:val="24"/>
                            </w:rPr>
                            <w:t>13.1</w:t>
                          </w:r>
                        </w:sdtContent>
                      </w:sdt>
                      <w:r>
                        <w:rPr>
                          <w:rFonts w:eastAsia="Calibri"/>
                          <w:bCs/>
                          <w:szCs w:val="24"/>
                        </w:rPr>
                        <w:t>.</w:t>
                        <w:tab/>
                        <w:t xml:space="preserve"> prašyme nurodyti neteisingi ir (arba) ne visi duomenys;</w:t>
                      </w:r>
                    </w:p>
                  </w:sdtContent>
                </w:sdt>
                <w:sdt>
                  <w:sdtPr>
                    <w:alias w:val="13.2 pp."/>
                    <w:tag w:val="part_801cec115eca4749b62078de5bc6cc82"/>
                    <w:lock w:val="sdtLocked"/>
                    <w:richText/>
                  </w:sdtPr>
                  <w:sdtContent>
                    <w:p>
                      <w:pPr>
                        <w:tabs>
                          <w:tab w:val="left" w:pos="567"/>
                          <w:tab w:val="left" w:pos="709"/>
                          <w:tab w:val="left" w:pos="851"/>
                          <w:tab w:val="left" w:pos="1134"/>
                          <w:tab w:val="left" w:pos="1418"/>
                          <w:tab w:val="left" w:pos="1560"/>
                        </w:tabs>
                        <w:ind w:left="-142" w:firstLine="851"/>
                        <w:jc w:val="both"/>
                        <w:rPr>
                          <w:rFonts w:eastAsia="Calibri"/>
                          <w:bCs/>
                          <w:szCs w:val="24"/>
                        </w:rPr>
                      </w:pPr>
                      <w:sdt>
                        <w:sdtPr>
                          <w:alias w:val="Numeris"/>
                          <w:tag w:val="nr_801cec115eca4749b62078de5bc6cc82"/>
                          <w:lock w:val="sdtLocked"/>
                          <w:richText/>
                        </w:sdtPr>
                        <w:sdtContent>
                          <w:r>
                            <w:rPr>
                              <w:rFonts w:eastAsia="Calibri"/>
                              <w:bCs/>
                              <w:szCs w:val="24"/>
                            </w:rPr>
                            <w:t>13.2</w:t>
                          </w:r>
                        </w:sdtContent>
                      </w:sdt>
                      <w:r>
                        <w:rPr>
                          <w:rFonts w:eastAsia="Calibri"/>
                          <w:bCs/>
                          <w:szCs w:val="24"/>
                        </w:rPr>
                        <w:t>.</w:t>
                        <w:tab/>
                        <w:t>kartu su prašymu pateikti neteisingi ir (arba) ne visi taisyklių 10–12 punktuose nurodyti dokumentai ir (ar) duomenys.</w:t>
                      </w:r>
                    </w:p>
                  </w:sdtContent>
                </w:sdt>
              </w:sdtContent>
            </w:sdt>
            <w:sdt>
              <w:sdtPr>
                <w:alias w:val="14 p."/>
                <w:tag w:val="part_c0a65389a4e24ab0907a736f10821dd0"/>
                <w:lock w:val="sdtLocked"/>
                <w:richText/>
              </w:sdtPr>
              <w:sdtContent>
                <w:p>
                  <w:pPr>
                    <w:tabs>
                      <w:tab w:val="left" w:pos="567"/>
                      <w:tab w:val="left" w:pos="1058"/>
                      <w:tab w:val="left" w:pos="1276"/>
                      <w:tab w:val="left" w:pos="1560"/>
                    </w:tabs>
                    <w:ind w:firstLine="709"/>
                    <w:jc w:val="both"/>
                    <w:rPr>
                      <w:rFonts w:eastAsia="Calibri"/>
                      <w:bCs/>
                      <w:szCs w:val="24"/>
                    </w:rPr>
                  </w:pPr>
                  <w:sdt>
                    <w:sdtPr>
                      <w:alias w:val="Numeris"/>
                      <w:tag w:val="nr_c0a65389a4e24ab0907a736f10821dd0"/>
                      <w:lock w:val="sdtLocked"/>
                      <w:richText/>
                    </w:sdtPr>
                    <w:sdtContent>
                      <w:r>
                        <w:rPr>
                          <w:rFonts w:eastAsia="Calibri"/>
                          <w:bCs/>
                          <w:szCs w:val="24"/>
                        </w:rPr>
                        <w:t>14</w:t>
                      </w:r>
                    </w:sdtContent>
                  </w:sdt>
                  <w:r>
                    <w:rPr>
                      <w:rFonts w:eastAsia="Calibri"/>
                      <w:bCs/>
                      <w:szCs w:val="24"/>
                    </w:rPr>
                    <w:t>.</w:t>
                    <w:tab/>
                    <w:t>Valstybinė mokesčių inspekcija vertina pateiktus, duomenų bazėse turimus ir iš kitų valstybių gautus duomenis ir dokumentus.</w:t>
                  </w:r>
                </w:p>
              </w:sdtContent>
            </w:sdt>
            <w:sdt>
              <w:sdtPr>
                <w:alias w:val="15 p."/>
                <w:tag w:val="part_b8fbf0a5b68b41d89f919ef737e4de87"/>
                <w:lock w:val="sdtLocked"/>
                <w:richText/>
              </w:sdtPr>
              <w:sdtContent>
                <w:p>
                  <w:pPr>
                    <w:tabs>
                      <w:tab w:val="left" w:pos="567"/>
                      <w:tab w:val="left" w:pos="1058"/>
                      <w:tab w:val="left" w:pos="1276"/>
                      <w:tab w:val="left" w:pos="1560"/>
                    </w:tabs>
                    <w:ind w:firstLine="709"/>
                    <w:jc w:val="both"/>
                    <w:rPr>
                      <w:rFonts w:eastAsia="Calibri"/>
                      <w:bCs/>
                      <w:szCs w:val="24"/>
                    </w:rPr>
                  </w:pPr>
                  <w:sdt>
                    <w:sdtPr>
                      <w:alias w:val="Numeris"/>
                      <w:tag w:val="nr_b8fbf0a5b68b41d89f919ef737e4de87"/>
                      <w:lock w:val="sdtLocked"/>
                      <w:richText/>
                    </w:sdtPr>
                    <w:sdtContent>
                      <w:r>
                        <w:rPr>
                          <w:rFonts w:eastAsia="Calibri"/>
                          <w:bCs/>
                          <w:szCs w:val="24"/>
                        </w:rPr>
                        <w:t>15</w:t>
                      </w:r>
                    </w:sdtContent>
                  </w:sdt>
                  <w:r>
                    <w:rPr>
                      <w:rFonts w:eastAsia="Calibri"/>
                      <w:bCs/>
                      <w:szCs w:val="24"/>
                    </w:rPr>
                    <w:t>.</w:t>
                    <w:tab/>
                    <w:t xml:space="preserve">Valstybinė mokesčių inspekcija Sprendimą grąžinti / įskaityti akcizus, kurio pavyzdinė forma patvirtinta taisyklių priede (toliau – sprendimas), priima per 15 darbo dienų: </w:t>
                  </w:r>
                </w:p>
                <w:sdt>
                  <w:sdtPr>
                    <w:alias w:val="15.1 pp."/>
                    <w:tag w:val="part_12ead8bffc09488486168235d7f87bc1"/>
                    <w:lock w:val="sdtLocked"/>
                    <w:richText/>
                  </w:sdtPr>
                  <w:sdtContent>
                    <w:p>
                      <w:pPr>
                        <w:tabs>
                          <w:tab w:val="left" w:pos="567"/>
                          <w:tab w:val="left" w:pos="709"/>
                          <w:tab w:val="left" w:pos="1276"/>
                          <w:tab w:val="left" w:pos="1418"/>
                          <w:tab w:val="left" w:pos="1560"/>
                        </w:tabs>
                        <w:ind w:firstLine="709"/>
                        <w:jc w:val="both"/>
                        <w:rPr>
                          <w:rFonts w:eastAsia="Calibri"/>
                          <w:bCs/>
                          <w:szCs w:val="24"/>
                        </w:rPr>
                      </w:pPr>
                      <w:sdt>
                        <w:sdtPr>
                          <w:alias w:val="Numeris"/>
                          <w:tag w:val="nr_12ead8bffc09488486168235d7f87bc1"/>
                          <w:lock w:val="sdtLocked"/>
                          <w:richText/>
                        </w:sdtPr>
                        <w:sdtContent>
                          <w:r>
                            <w:rPr>
                              <w:rFonts w:eastAsia="Calibri"/>
                              <w:bCs/>
                              <w:szCs w:val="24"/>
                            </w:rPr>
                            <w:t>15.1</w:t>
                          </w:r>
                        </w:sdtContent>
                      </w:sdt>
                      <w:r>
                        <w:rPr>
                          <w:rFonts w:eastAsia="Calibri"/>
                          <w:bCs/>
                          <w:szCs w:val="24"/>
                        </w:rPr>
                        <w:t>.</w:t>
                        <w:tab/>
                        <w:t>nuo prašymo pateikimo dienos ir (arba) papildomų dokumentų ir (ar) duomenų pateikimo dienos;</w:t>
                      </w:r>
                    </w:p>
                  </w:sdtContent>
                </w:sdt>
                <w:sdt>
                  <w:sdtPr>
                    <w:alias w:val="15.2 pp."/>
                    <w:tag w:val="part_e92ccc63e5344da1a2100a6b323321b9"/>
                    <w:lock w:val="sdtLocked"/>
                    <w:richText/>
                  </w:sdtPr>
                  <w:sdtContent>
                    <w:p>
                      <w:pPr>
                        <w:tabs>
                          <w:tab w:val="left" w:pos="567"/>
                          <w:tab w:val="left" w:pos="709"/>
                          <w:tab w:val="left" w:pos="1276"/>
                          <w:tab w:val="left" w:pos="1418"/>
                          <w:tab w:val="left" w:pos="1560"/>
                        </w:tabs>
                        <w:ind w:firstLine="709"/>
                        <w:jc w:val="both"/>
                        <w:rPr>
                          <w:rFonts w:eastAsia="Calibri"/>
                          <w:bCs/>
                          <w:szCs w:val="24"/>
                        </w:rPr>
                      </w:pPr>
                      <w:sdt>
                        <w:sdtPr>
                          <w:alias w:val="Numeris"/>
                          <w:tag w:val="nr_e92ccc63e5344da1a2100a6b323321b9"/>
                          <w:lock w:val="sdtLocked"/>
                          <w:richText/>
                        </w:sdtPr>
                        <w:sdtContent>
                          <w:r>
                            <w:rPr>
                              <w:rFonts w:eastAsia="Calibri"/>
                              <w:bCs/>
                              <w:szCs w:val="24"/>
                            </w:rPr>
                            <w:t>15.2</w:t>
                          </w:r>
                        </w:sdtContent>
                      </w:sdt>
                      <w:r>
                        <w:rPr>
                          <w:rFonts w:eastAsia="Calibri"/>
                          <w:bCs/>
                          <w:szCs w:val="24"/>
                        </w:rPr>
                        <w:t>.</w:t>
                        <w:tab/>
                      </w:r>
                      <w:r>
                        <w:rPr>
                          <w:rFonts w:eastAsia="Calibri"/>
                          <w:color w:val="000000"/>
                          <w:szCs w:val="24"/>
                        </w:rPr>
                        <w:t>po to, kai asmuo gauna mokesčių administratoriaus sprendimą dėl patikrinimo akto tvirtinimo (tuo atveju, kai atliekamas mokestinis patikrinimas);</w:t>
                      </w:r>
                    </w:p>
                  </w:sdtContent>
                </w:sdt>
                <w:sdt>
                  <w:sdtPr>
                    <w:alias w:val="15.3 pp."/>
                    <w:tag w:val="part_3e64a59b7ec14167b9a2c5fd2d3a9d0c"/>
                    <w:lock w:val="sdtLocked"/>
                    <w:richText/>
                  </w:sdtPr>
                  <w:sdtContent>
                    <w:p>
                      <w:pPr>
                        <w:tabs>
                          <w:tab w:val="left" w:pos="567"/>
                          <w:tab w:val="left" w:pos="709"/>
                          <w:tab w:val="left" w:pos="1276"/>
                          <w:tab w:val="left" w:pos="1418"/>
                          <w:tab w:val="left" w:pos="1560"/>
                        </w:tabs>
                        <w:ind w:firstLine="709"/>
                        <w:jc w:val="both"/>
                        <w:rPr>
                          <w:rFonts w:eastAsia="Calibri"/>
                          <w:bCs/>
                          <w:szCs w:val="24"/>
                        </w:rPr>
                      </w:pPr>
                      <w:sdt>
                        <w:sdtPr>
                          <w:alias w:val="Numeris"/>
                          <w:tag w:val="nr_3e64a59b7ec14167b9a2c5fd2d3a9d0c"/>
                          <w:lock w:val="sdtLocked"/>
                          <w:richText/>
                        </w:sdtPr>
                        <w:sdtContent>
                          <w:r>
                            <w:rPr>
                              <w:rFonts w:eastAsia="Calibri"/>
                              <w:bCs/>
                              <w:szCs w:val="24"/>
                            </w:rPr>
                            <w:t>15.3</w:t>
                          </w:r>
                        </w:sdtContent>
                      </w:sdt>
                      <w:r>
                        <w:rPr>
                          <w:rFonts w:eastAsia="Calibri"/>
                          <w:bCs/>
                          <w:szCs w:val="24"/>
                        </w:rPr>
                        <w:t>.</w:t>
                        <w:tab/>
                      </w:r>
                      <w:r>
                        <w:rPr>
                          <w:rFonts w:eastAsia="Calibri"/>
                          <w:color w:val="000000"/>
                          <w:szCs w:val="24"/>
                        </w:rPr>
                        <w:t>po to, kai gaunama informacijos iš kitų valstybių narių mokesčių administratorių (tuo atveju, jei į juos buvo kreiptasi).</w:t>
                      </w:r>
                    </w:p>
                  </w:sdtContent>
                </w:sdt>
              </w:sdtContent>
            </w:sdt>
            <w:sdt>
              <w:sdtPr>
                <w:alias w:val="16 p."/>
                <w:tag w:val="part_9bfcfc8fe2df4a99a7a6c7829df0f4b7"/>
                <w:lock w:val="sdtLocked"/>
                <w:richText/>
              </w:sdtPr>
              <w:sdtContent>
                <w:p>
                  <w:pPr>
                    <w:tabs>
                      <w:tab w:val="left" w:pos="567"/>
                      <w:tab w:val="left" w:pos="1058"/>
                      <w:tab w:val="left" w:pos="1276"/>
                      <w:tab w:val="left" w:pos="1560"/>
                    </w:tabs>
                    <w:ind w:firstLine="709"/>
                    <w:jc w:val="both"/>
                    <w:rPr>
                      <w:rFonts w:eastAsia="Calibri"/>
                      <w:bCs/>
                      <w:szCs w:val="24"/>
                    </w:rPr>
                  </w:pPr>
                  <w:sdt>
                    <w:sdtPr>
                      <w:alias w:val="Numeris"/>
                      <w:tag w:val="nr_9bfcfc8fe2df4a99a7a6c7829df0f4b7"/>
                      <w:lock w:val="sdtLocked"/>
                      <w:richText/>
                    </w:sdtPr>
                    <w:sdtContent>
                      <w:r>
                        <w:rPr>
                          <w:rFonts w:eastAsia="Calibri"/>
                          <w:bCs/>
                          <w:szCs w:val="24"/>
                        </w:rPr>
                        <w:t>16</w:t>
                      </w:r>
                    </w:sdtContent>
                  </w:sdt>
                  <w:r>
                    <w:rPr>
                      <w:rFonts w:eastAsia="Calibri"/>
                      <w:bCs/>
                      <w:szCs w:val="24"/>
                    </w:rPr>
                    <w:t>.</w:t>
                    <w:tab/>
                    <w:t>Priėmus sprendimą, jis ne vėliau kaip per 2 darbo dienas pateikiamas asmeniui Mano VMI.</w:t>
                  </w:r>
                </w:p>
              </w:sdtContent>
            </w:sdt>
            <w:sdt>
              <w:sdtPr>
                <w:alias w:val="17 p."/>
                <w:tag w:val="part_ba77c3e77d134a36a1de1ed2315ad132"/>
                <w:lock w:val="sdtLocked"/>
                <w:richText/>
              </w:sdtPr>
              <w:sdtContent>
                <w:p>
                  <w:pPr>
                    <w:tabs>
                      <w:tab w:val="left" w:pos="567"/>
                      <w:tab w:val="left" w:pos="1058"/>
                      <w:tab w:val="left" w:pos="1276"/>
                      <w:tab w:val="left" w:pos="1560"/>
                    </w:tabs>
                    <w:ind w:firstLine="709"/>
                    <w:jc w:val="both"/>
                    <w:rPr>
                      <w:rFonts w:eastAsia="Calibri"/>
                      <w:bCs/>
                      <w:szCs w:val="24"/>
                    </w:rPr>
                  </w:pPr>
                  <w:sdt>
                    <w:sdtPr>
                      <w:alias w:val="Numeris"/>
                      <w:tag w:val="nr_ba77c3e77d134a36a1de1ed2315ad132"/>
                      <w:lock w:val="sdtLocked"/>
                      <w:richText/>
                    </w:sdtPr>
                    <w:sdtContent>
                      <w:r>
                        <w:rPr>
                          <w:rFonts w:eastAsia="Calibri"/>
                          <w:bCs/>
                          <w:szCs w:val="24"/>
                        </w:rPr>
                        <w:t>17</w:t>
                      </w:r>
                    </w:sdtContent>
                  </w:sdt>
                  <w:r>
                    <w:rPr>
                      <w:rFonts w:eastAsia="Calibri"/>
                      <w:bCs/>
                      <w:szCs w:val="24"/>
                    </w:rPr>
                    <w:t>.</w:t>
                    <w:tab/>
                    <w:t xml:space="preserve"> Sprendimas negrąžinti (neįskaityti) akcizų priimamas, jeigu:</w:t>
                  </w:r>
                </w:p>
                <w:sdt>
                  <w:sdtPr>
                    <w:alias w:val="17.1 pp."/>
                    <w:tag w:val="part_c0b0b6fcafda49e9aef0a7474be2f1b7"/>
                    <w:lock w:val="sdtLocked"/>
                    <w:richText/>
                  </w:sdtPr>
                  <w:sdtContent>
                    <w:p>
                      <w:pPr>
                        <w:tabs>
                          <w:tab w:val="left" w:pos="709"/>
                          <w:tab w:val="left" w:pos="1418"/>
                          <w:tab w:val="left" w:pos="1560"/>
                        </w:tabs>
                        <w:ind w:firstLine="709"/>
                        <w:jc w:val="both"/>
                        <w:rPr>
                          <w:rFonts w:eastAsia="Calibri"/>
                          <w:bCs/>
                          <w:szCs w:val="24"/>
                        </w:rPr>
                      </w:pPr>
                      <w:sdt>
                        <w:sdtPr>
                          <w:alias w:val="Numeris"/>
                          <w:tag w:val="nr_c0b0b6fcafda49e9aef0a7474be2f1b7"/>
                          <w:lock w:val="sdtLocked"/>
                          <w:richText/>
                        </w:sdtPr>
                        <w:sdtContent>
                          <w:r>
                            <w:rPr>
                              <w:rFonts w:eastAsia="Calibri"/>
                              <w:bCs/>
                              <w:szCs w:val="24"/>
                            </w:rPr>
                            <w:t>17.1</w:t>
                          </w:r>
                        </w:sdtContent>
                      </w:sdt>
                      <w:r>
                        <w:rPr>
                          <w:rFonts w:eastAsia="Calibri"/>
                          <w:bCs/>
                          <w:szCs w:val="24"/>
                        </w:rPr>
                        <w:t>.</w:t>
                        <w:tab/>
                        <w:t>pateikti ne visi dokumentai ir (ar) duomenys;</w:t>
                      </w:r>
                    </w:p>
                  </w:sdtContent>
                </w:sdt>
                <w:sdt>
                  <w:sdtPr>
                    <w:alias w:val="17.2 pp."/>
                    <w:tag w:val="part_3f102289865b413bb0e316b55545823d"/>
                    <w:lock w:val="sdtLocked"/>
                    <w:richText/>
                  </w:sdtPr>
                  <w:sdtContent>
                    <w:p>
                      <w:pPr>
                        <w:tabs>
                          <w:tab w:val="left" w:pos="709"/>
                          <w:tab w:val="left" w:pos="1418"/>
                          <w:tab w:val="left" w:pos="1560"/>
                        </w:tabs>
                        <w:ind w:firstLine="709"/>
                        <w:jc w:val="both"/>
                        <w:rPr>
                          <w:rFonts w:eastAsia="Calibri"/>
                          <w:bCs/>
                          <w:szCs w:val="24"/>
                        </w:rPr>
                      </w:pPr>
                      <w:sdt>
                        <w:sdtPr>
                          <w:alias w:val="Numeris"/>
                          <w:tag w:val="nr_3f102289865b413bb0e316b55545823d"/>
                          <w:lock w:val="sdtLocked"/>
                          <w:richText/>
                        </w:sdtPr>
                        <w:sdtContent>
                          <w:r>
                            <w:rPr>
                              <w:rFonts w:eastAsia="Calibri"/>
                              <w:bCs/>
                              <w:szCs w:val="24"/>
                            </w:rPr>
                            <w:t>17.2</w:t>
                          </w:r>
                        </w:sdtContent>
                      </w:sdt>
                      <w:r>
                        <w:rPr>
                          <w:rFonts w:eastAsia="Calibri"/>
                          <w:bCs/>
                          <w:szCs w:val="24"/>
                        </w:rPr>
                        <w:t>.</w:t>
                        <w:tab/>
                        <w:t>pagal Akcizų įstatymą sumokėti akcizai negali būti grąžinti (įskaityti);</w:t>
                      </w:r>
                    </w:p>
                  </w:sdtContent>
                </w:sdt>
                <w:sdt>
                  <w:sdtPr>
                    <w:alias w:val="17.3 pp."/>
                    <w:tag w:val="part_bcde41c058bd463aa6825e56146ceeb7"/>
                    <w:lock w:val="sdtLocked"/>
                    <w:richText/>
                  </w:sdtPr>
                  <w:sdtContent>
                    <w:p>
                      <w:pPr>
                        <w:tabs>
                          <w:tab w:val="left" w:pos="709"/>
                          <w:tab w:val="left" w:pos="1418"/>
                          <w:tab w:val="left" w:pos="1560"/>
                        </w:tabs>
                        <w:ind w:firstLine="709"/>
                        <w:jc w:val="both"/>
                        <w:rPr>
                          <w:rFonts w:eastAsia="Calibri"/>
                          <w:bCs/>
                          <w:szCs w:val="24"/>
                        </w:rPr>
                      </w:pPr>
                      <w:sdt>
                        <w:sdtPr>
                          <w:alias w:val="Numeris"/>
                          <w:tag w:val="nr_bcde41c058bd463aa6825e56146ceeb7"/>
                          <w:lock w:val="sdtLocked"/>
                          <w:richText/>
                        </w:sdtPr>
                        <w:sdtContent>
                          <w:r>
                            <w:rPr>
                              <w:rFonts w:eastAsia="Calibri"/>
                              <w:bCs/>
                              <w:szCs w:val="24"/>
                            </w:rPr>
                            <w:t>17.3</w:t>
                          </w:r>
                        </w:sdtContent>
                      </w:sdt>
                      <w:r>
                        <w:rPr>
                          <w:rFonts w:eastAsia="Calibri"/>
                          <w:bCs/>
                          <w:szCs w:val="24"/>
                        </w:rPr>
                        <w:t>.</w:t>
                        <w:tab/>
                        <w:t>asmuo išregistruojamas iš Mokesčių mokėtojų registro Mokesčių mokėtojų registro nuostatų, patvirtintų Lietuvos Respublikos Vyriausybės 2000 m. rugsėjo 6 d. nutarimu Nr. 1059 „Dėl Mokesčių mokėtojų registro nuostatų patvirtinimo“, nustatyta tvarka;</w:t>
                      </w:r>
                    </w:p>
                  </w:sdtContent>
                </w:sdt>
                <w:sdt>
                  <w:sdtPr>
                    <w:alias w:val="17.4 pp."/>
                    <w:tag w:val="part_dbb6af5755774a219d45dcb724f95851"/>
                    <w:lock w:val="sdtLocked"/>
                    <w:richText/>
                  </w:sdtPr>
                  <w:sdtContent>
                    <w:p>
                      <w:pPr>
                        <w:tabs>
                          <w:tab w:val="left" w:pos="709"/>
                          <w:tab w:val="left" w:pos="1418"/>
                          <w:tab w:val="left" w:pos="1560"/>
                        </w:tabs>
                        <w:ind w:firstLine="709"/>
                        <w:jc w:val="both"/>
                        <w:rPr>
                          <w:rFonts w:eastAsia="Calibri"/>
                          <w:bCs/>
                          <w:szCs w:val="24"/>
                        </w:rPr>
                      </w:pPr>
                      <w:sdt>
                        <w:sdtPr>
                          <w:alias w:val="Numeris"/>
                          <w:tag w:val="nr_dbb6af5755774a219d45dcb724f95851"/>
                          <w:lock w:val="sdtLocked"/>
                          <w:richText/>
                        </w:sdtPr>
                        <w:sdtContent>
                          <w:r>
                            <w:rPr>
                              <w:rFonts w:eastAsia="Calibri"/>
                              <w:bCs/>
                              <w:szCs w:val="24"/>
                            </w:rPr>
                            <w:t>17.4</w:t>
                          </w:r>
                        </w:sdtContent>
                      </w:sdt>
                      <w:r>
                        <w:rPr>
                          <w:rFonts w:eastAsia="Calibri"/>
                          <w:bCs/>
                          <w:szCs w:val="24"/>
                        </w:rPr>
                        <w:t>.</w:t>
                        <w:tab/>
                      </w:r>
                      <w:r>
                        <w:rPr>
                          <w:rFonts w:eastAsia="Calibri"/>
                          <w:iCs/>
                          <w:color w:val="000000"/>
                          <w:szCs w:val="24"/>
                        </w:rPr>
                        <w:t xml:space="preserve">prekės nėra pripažintos </w:t>
                      </w:r>
                      <w:r>
                        <w:rPr>
                          <w:rFonts w:eastAsia="Calibri"/>
                          <w:color w:val="000000"/>
                          <w:szCs w:val="24"/>
                          <w:shd w:val="clear" w:color="auto" w:fill="FFFFFF"/>
                        </w:rPr>
                        <w:t>negrįžtamai prarastomis, visiškai sunaikintomis arba prarastomis dėl nenugalimos jėgos aplinkybių;</w:t>
                      </w:r>
                    </w:p>
                  </w:sdtContent>
                </w:sdt>
                <w:sdt>
                  <w:sdtPr>
                    <w:alias w:val="17.5 pp."/>
                    <w:tag w:val="part_cb2b1b4d363e4bc6b118d30b412b2713"/>
                    <w:lock w:val="sdtLocked"/>
                    <w:richText/>
                  </w:sdtPr>
                  <w:sdtContent>
                    <w:p>
                      <w:pPr>
                        <w:tabs>
                          <w:tab w:val="left" w:pos="709"/>
                          <w:tab w:val="left" w:pos="1418"/>
                          <w:tab w:val="left" w:pos="1560"/>
                        </w:tabs>
                        <w:ind w:firstLine="709"/>
                        <w:jc w:val="both"/>
                        <w:rPr>
                          <w:rFonts w:eastAsia="Calibri"/>
                          <w:bCs/>
                          <w:szCs w:val="24"/>
                        </w:rPr>
                      </w:pPr>
                      <w:sdt>
                        <w:sdtPr>
                          <w:alias w:val="Numeris"/>
                          <w:tag w:val="nr_cb2b1b4d363e4bc6b118d30b412b2713"/>
                          <w:lock w:val="sdtLocked"/>
                          <w:richText/>
                        </w:sdtPr>
                        <w:sdtContent>
                          <w:r>
                            <w:rPr>
                              <w:rFonts w:eastAsia="Calibri"/>
                              <w:bCs/>
                              <w:szCs w:val="24"/>
                            </w:rPr>
                            <w:t>17.5</w:t>
                          </w:r>
                        </w:sdtContent>
                      </w:sdt>
                      <w:r>
                        <w:rPr>
                          <w:rFonts w:eastAsia="Calibri"/>
                          <w:bCs/>
                          <w:szCs w:val="24"/>
                        </w:rPr>
                        <w:t>.</w:t>
                        <w:tab/>
                      </w:r>
                      <w:r>
                        <w:rPr>
                          <w:rFonts w:eastAsia="Calibri"/>
                          <w:color w:val="000000"/>
                          <w:szCs w:val="24"/>
                          <w:shd w:val="clear" w:color="auto" w:fill="FFFFFF"/>
                        </w:rPr>
                        <w:t>asmuo nėra galutinis akcizų mokėtojas.</w:t>
                      </w:r>
                    </w:p>
                  </w:sdtContent>
                </w:sdt>
              </w:sdtContent>
            </w:sdt>
            <w:sdt>
              <w:sdtPr>
                <w:alias w:val="18 p."/>
                <w:tag w:val="part_6b64792d3dd24e9e914ff5f6f6965d9b"/>
                <w:lock w:val="sdtLocked"/>
                <w:richText/>
              </w:sdtPr>
              <w:sdtContent>
                <w:p>
                  <w:pPr>
                    <w:tabs>
                      <w:tab w:val="left" w:pos="426"/>
                      <w:tab w:val="left" w:pos="1276"/>
                      <w:tab w:val="left" w:pos="1560"/>
                    </w:tabs>
                    <w:ind w:firstLine="709"/>
                    <w:jc w:val="both"/>
                    <w:rPr>
                      <w:rFonts w:eastAsia="Calibri"/>
                      <w:bCs/>
                      <w:szCs w:val="24"/>
                    </w:rPr>
                  </w:pPr>
                  <w:sdt>
                    <w:sdtPr>
                      <w:alias w:val="Numeris"/>
                      <w:tag w:val="nr_6b64792d3dd24e9e914ff5f6f6965d9b"/>
                      <w:lock w:val="sdtLocked"/>
                      <w:richText/>
                    </w:sdtPr>
                    <w:sdtContent>
                      <w:r>
                        <w:rPr>
                          <w:rFonts w:eastAsia="Calibri"/>
                          <w:bCs/>
                          <w:szCs w:val="24"/>
                        </w:rPr>
                        <w:t>18</w:t>
                      </w:r>
                    </w:sdtContent>
                  </w:sdt>
                  <w:r>
                    <w:rPr>
                      <w:rFonts w:eastAsia="Calibri"/>
                      <w:bCs/>
                      <w:szCs w:val="24"/>
                    </w:rPr>
                    <w:t>.</w:t>
                    <w:tab/>
                    <w:t>Sprendimas grąžinti (įskaityti) tik dalį akcizų priimamas, jeigu pateikti ne visi dokumentai ir (ar) duomenys, pagrindžiantys prašyme nurodytas sumas.</w:t>
                  </w:r>
                </w:p>
              </w:sdtContent>
            </w:sdt>
            <w:sdt>
              <w:sdtPr>
                <w:alias w:val="19 p."/>
                <w:tag w:val="part_381a423948974313a3e64fcd6260f847"/>
                <w:lock w:val="sdtLocked"/>
                <w:richText/>
              </w:sdtPr>
              <w:sdtContent>
                <w:p>
                  <w:pPr>
                    <w:tabs>
                      <w:tab w:val="left" w:pos="426"/>
                      <w:tab w:val="left" w:pos="1276"/>
                      <w:tab w:val="left" w:pos="1560"/>
                    </w:tabs>
                    <w:ind w:firstLine="709"/>
                    <w:jc w:val="both"/>
                    <w:rPr>
                      <w:rFonts w:eastAsia="Calibri"/>
                      <w:bCs/>
                      <w:szCs w:val="24"/>
                    </w:rPr>
                  </w:pPr>
                  <w:sdt>
                    <w:sdtPr>
                      <w:alias w:val="Numeris"/>
                      <w:tag w:val="nr_381a423948974313a3e64fcd6260f847"/>
                      <w:lock w:val="sdtLocked"/>
                      <w:richText/>
                    </w:sdtPr>
                    <w:sdtContent>
                      <w:r>
                        <w:rPr>
                          <w:rFonts w:eastAsia="Calibri"/>
                          <w:bCs/>
                          <w:szCs w:val="24"/>
                        </w:rPr>
                        <w:t>19</w:t>
                      </w:r>
                    </w:sdtContent>
                  </w:sdt>
                  <w:r>
                    <w:rPr>
                      <w:rFonts w:eastAsia="Calibri"/>
                      <w:bCs/>
                      <w:szCs w:val="24"/>
                    </w:rPr>
                    <w:t>.</w:t>
                    <w:tab/>
                    <w:t>Priėmus sprendimą negrąžinti (neįskaityti) akcizų arba grąžinti (įskaityti) dalį akcizų, ne vėliau kaip per 2 darbo dienas toks sprendimas asmeniui pateikiamas Mano VMI, jame nurodomos akcizų negrąžinimo (neįskaitymo) arba akcizų dalies grąžinimo (įskaitymo) priežastys. Sprendimas negrąžinti (neįskaityti) arba grąžinti (įskaityti) dalį akcizų nepateikiamas, jeigu jis priimamas dėl taisyklių 17.3 papunktyje nurodytos priežasties.</w:t>
                  </w:r>
                </w:p>
              </w:sdtContent>
            </w:sdt>
            <w:sdt>
              <w:sdtPr>
                <w:alias w:val="20 p."/>
                <w:tag w:val="part_50e1849728984cb1baee7c372948ee29"/>
                <w:lock w:val="sdtLocked"/>
                <w:richText/>
              </w:sdtPr>
              <w:sdtContent>
                <w:p>
                  <w:pPr>
                    <w:tabs>
                      <w:tab w:val="left" w:pos="1134"/>
                    </w:tabs>
                    <w:spacing w:line="259" w:lineRule="auto"/>
                    <w:ind w:firstLine="709"/>
                    <w:jc w:val="both"/>
                    <w:rPr>
                      <w:rFonts w:eastAsia="Calibri"/>
                      <w:bCs/>
                      <w:szCs w:val="24"/>
                    </w:rPr>
                  </w:pPr>
                  <w:sdt>
                    <w:sdtPr>
                      <w:alias w:val="Numeris"/>
                      <w:tag w:val="nr_50e1849728984cb1baee7c372948ee29"/>
                      <w:lock w:val="sdtLocked"/>
                      <w:richText/>
                    </w:sdtPr>
                    <w:sdtContent>
                      <w:r>
                        <w:rPr>
                          <w:rFonts w:eastAsia="Calibri"/>
                          <w:bCs/>
                          <w:szCs w:val="24"/>
                        </w:rPr>
                        <w:t>20</w:t>
                      </w:r>
                    </w:sdtContent>
                  </w:sdt>
                  <w:r>
                    <w:rPr>
                      <w:rFonts w:eastAsia="Calibri"/>
                      <w:bCs/>
                      <w:szCs w:val="24"/>
                    </w:rPr>
                    <w:t>.</w:t>
                    <w:tab/>
                    <w:t>Tais atvejais, kai priimamas sprendimas grąžinti sumokėtus akcizus, mokesčių mokėtojo permokėtos akcizų (ar jų dalies) mokesčių sumos, kurios lieka po atlikto įskaitymo Mokesčių administravimo įstatymo 87 straipsnyje nustatyta tvarka, grąžinamos į asmens nurodytą sąskaitą.</w:t>
                  </w:r>
                </w:p>
                <w:p>
                  <w:pPr>
                    <w:tabs>
                      <w:tab w:val="left" w:pos="426"/>
                      <w:tab w:val="left" w:pos="567"/>
                      <w:tab w:val="left" w:pos="709"/>
                    </w:tabs>
                    <w:ind w:firstLine="709"/>
                    <w:rPr>
                      <w:rFonts w:eastAsia="Calibri"/>
                      <w:b/>
                      <w:bCs/>
                      <w:szCs w:val="24"/>
                    </w:rPr>
                  </w:pPr>
                </w:p>
              </w:sdtContent>
            </w:sdt>
          </w:sdtContent>
        </w:sdt>
        <w:sdt>
          <w:sdtPr>
            <w:alias w:val="skyrius"/>
            <w:tag w:val="part_c07e8943b5b7431b8188fdab62eee5ad"/>
            <w:lock w:val="sdtLocked"/>
            <w:richText/>
          </w:sdtPr>
          <w:sdtContent>
            <w:p>
              <w:pPr>
                <w:tabs>
                  <w:tab w:val="left" w:pos="426"/>
                  <w:tab w:val="left" w:pos="567"/>
                  <w:tab w:val="left" w:pos="709"/>
                </w:tabs>
                <w:jc w:val="center"/>
                <w:rPr>
                  <w:rFonts w:eastAsia="Calibri"/>
                  <w:b/>
                  <w:bCs/>
                  <w:szCs w:val="24"/>
                </w:rPr>
              </w:pPr>
              <w:sdt>
                <w:sdtPr>
                  <w:alias w:val="Numeris"/>
                  <w:tag w:val="nr_c07e8943b5b7431b8188fdab62eee5ad"/>
                  <w:lock w:val="sdtLocked"/>
                  <w:richText/>
                </w:sdtPr>
                <w:sdtContent>
                  <w:r>
                    <w:rPr>
                      <w:rFonts w:eastAsia="Calibri"/>
                      <w:b/>
                      <w:bCs/>
                      <w:szCs w:val="24"/>
                    </w:rPr>
                    <w:t>IV</w:t>
                  </w:r>
                </w:sdtContent>
              </w:sdt>
              <w:r>
                <w:rPr>
                  <w:rFonts w:eastAsia="Calibri"/>
                  <w:b/>
                  <w:bCs/>
                  <w:szCs w:val="24"/>
                </w:rPr>
                <w:t xml:space="preserve"> SKYRIUS</w:t>
              </w:r>
            </w:p>
            <w:p>
              <w:pPr>
                <w:tabs>
                  <w:tab w:val="left" w:pos="426"/>
                  <w:tab w:val="left" w:pos="567"/>
                  <w:tab w:val="left" w:pos="709"/>
                </w:tabs>
                <w:jc w:val="center"/>
                <w:rPr>
                  <w:rFonts w:eastAsia="Calibri"/>
                  <w:b/>
                  <w:bCs/>
                  <w:szCs w:val="24"/>
                </w:rPr>
              </w:pPr>
              <w:sdt>
                <w:sdtPr>
                  <w:alias w:val="Pavadinimas"/>
                  <w:tag w:val="title_c07e8943b5b7431b8188fdab62eee5ad"/>
                  <w:lock w:val="sdtLocked"/>
                  <w:richText/>
                </w:sdtPr>
                <w:sdtContent>
                  <w:r>
                    <w:rPr>
                      <w:rFonts w:eastAsia="Calibri"/>
                      <w:b/>
                      <w:bCs/>
                      <w:szCs w:val="24"/>
                    </w:rPr>
                    <w:t>BAIGIAMOSIOS NUOSTATOS</w:t>
                  </w:r>
                </w:sdtContent>
              </w:sdt>
            </w:p>
            <w:p>
              <w:pPr>
                <w:tabs>
                  <w:tab w:val="left" w:pos="993"/>
                  <w:tab w:val="left" w:pos="1134"/>
                  <w:tab w:val="left" w:pos="1560"/>
                </w:tabs>
                <w:ind w:firstLine="709"/>
                <w:jc w:val="both"/>
                <w:rPr>
                  <w:rFonts w:eastAsia="Calibri"/>
                  <w:bCs/>
                  <w:szCs w:val="24"/>
                </w:rPr>
              </w:pPr>
            </w:p>
            <w:sdt>
              <w:sdtPr>
                <w:alias w:val="21 p."/>
                <w:tag w:val="part_f622d5d2ad7145c98bd6d9a5906a37ed"/>
                <w:lock w:val="sdtLocked"/>
                <w:richText/>
              </w:sdtPr>
              <w:sdtContent>
                <w:p>
                  <w:pPr>
                    <w:tabs>
                      <w:tab w:val="left" w:pos="360"/>
                      <w:tab w:val="left" w:pos="1134"/>
                      <w:tab w:val="left" w:pos="1276"/>
                      <w:tab w:val="left" w:pos="1560"/>
                    </w:tabs>
                    <w:ind w:firstLine="709"/>
                    <w:jc w:val="both"/>
                    <w:rPr>
                      <w:rFonts w:eastAsia="Calibri"/>
                      <w:bCs/>
                      <w:szCs w:val="24"/>
                    </w:rPr>
                  </w:pPr>
                  <w:sdt>
                    <w:sdtPr>
                      <w:alias w:val="Numeris"/>
                      <w:tag w:val="nr_f622d5d2ad7145c98bd6d9a5906a37ed"/>
                      <w:lock w:val="sdtLocked"/>
                      <w:richText/>
                    </w:sdtPr>
                    <w:sdtContent>
                      <w:r>
                        <w:rPr>
                          <w:rFonts w:eastAsia="Calibri"/>
                          <w:bCs/>
                          <w:szCs w:val="24"/>
                        </w:rPr>
                        <w:t>21</w:t>
                      </w:r>
                    </w:sdtContent>
                  </w:sdt>
                  <w:r>
                    <w:rPr>
                      <w:rFonts w:eastAsia="Calibri"/>
                      <w:bCs/>
                      <w:szCs w:val="24"/>
                    </w:rPr>
                    <w:t>.</w:t>
                    <w:tab/>
                    <w:t>Jeigu pageidaujama grąžintinus akcizus įskaityti prievolėms Lietuvos Respublikos muitinėje padengti, tai kartu su prašymu turi būti pateiktas Prašymas grąžinti (įskaityti) permoką (skirtumą) ar nepagrįstai išieškotas sumas (FR0781 forma), patvirtintas Nr. VA-186 įsakymu.</w:t>
                  </w:r>
                </w:p>
              </w:sdtContent>
            </w:sdt>
            <w:sdt>
              <w:sdtPr>
                <w:alias w:val="22 p."/>
                <w:tag w:val="part_17c03216c73948c9a85472f36ea1ea11"/>
                <w:lock w:val="sdtLocked"/>
                <w:richText/>
              </w:sdtPr>
              <w:sdtContent>
                <w:p>
                  <w:pPr>
                    <w:tabs>
                      <w:tab w:val="left" w:pos="1134"/>
                    </w:tabs>
                    <w:spacing w:line="259" w:lineRule="auto"/>
                    <w:ind w:firstLine="709"/>
                    <w:jc w:val="both"/>
                    <w:rPr>
                      <w:rFonts w:eastAsia="Calibri"/>
                      <w:bCs/>
                      <w:szCs w:val="24"/>
                    </w:rPr>
                  </w:pPr>
                  <w:sdt>
                    <w:sdtPr>
                      <w:alias w:val="Numeris"/>
                      <w:tag w:val="nr_17c03216c73948c9a85472f36ea1ea11"/>
                      <w:lock w:val="sdtLocked"/>
                      <w:richText/>
                    </w:sdtPr>
                    <w:sdtContent>
                      <w:r>
                        <w:rPr>
                          <w:rFonts w:eastAsia="Calibri"/>
                          <w:bCs/>
                          <w:szCs w:val="24"/>
                        </w:rPr>
                        <w:t>22</w:t>
                      </w:r>
                    </w:sdtContent>
                  </w:sdt>
                  <w:r>
                    <w:rPr>
                      <w:rFonts w:eastAsia="Calibri"/>
                      <w:bCs/>
                      <w:szCs w:val="24"/>
                    </w:rPr>
                    <w:t>.</w:t>
                    <w:tab/>
                    <w:t>Už taisyklių nevykdymą ar netinkamą vykdymą taikoma atsakomybė Lietuvos Respublikos teisės aktų nustatyta tvarka.</w:t>
                  </w:r>
                </w:p>
              </w:sdtContent>
            </w:sdt>
          </w:sdtContent>
        </w:sdt>
        <w:sdt>
          <w:sdtPr>
            <w:alias w:val="pabaiga"/>
            <w:tag w:val="part_031130bb2ff041ba9d16553b134da9eb"/>
            <w:lock w:val="sdtLocked"/>
            <w:richText/>
          </w:sdtPr>
          <w:sdtContent>
            <w:p>
              <w:pPr>
                <w:tabs>
                  <w:tab w:val="left" w:pos="360"/>
                  <w:tab w:val="left" w:pos="1134"/>
                  <w:tab w:val="left" w:pos="1276"/>
                  <w:tab w:val="left" w:pos="1560"/>
                </w:tabs>
                <w:ind w:firstLine="709"/>
                <w:jc w:val="center"/>
              </w:pPr>
              <w:r>
                <w:rPr>
                  <w:rFonts w:eastAsia="Calibri"/>
                  <w:bCs/>
                  <w:szCs w:val="24"/>
                </w:rPr>
                <w:t>____________________</w:t>
              </w:r>
            </w:p>
          </w:sdtContent>
        </w:sdt>
      </w:sdtContent>
    </w:sdt>
    <w:sdt>
      <w:sdtPr>
        <w:alias w:val="pr."/>
        <w:tag w:val="part_226fe7fac70240b1a35011869b540415"/>
        <w:lock w:val="sdtLocked"/>
        <w:richText/>
      </w:sdtPr>
      <w:sdtContent>
        <w:p>
          <w:pPr>
            <w:tabs>
              <w:tab w:val="left" w:pos="4803"/>
            </w:tabs>
            <w:ind w:left="6946"/>
            <w:sectPr>
              <w:pgSz w:w="11906" w:h="16838"/>
              <w:pgMar w:top="1134" w:right="567" w:bottom="1134" w:left="1701" w:header="567" w:footer="567" w:gutter="0"/>
              <w:pgNumType w:start="1"/>
              <w:cols w:space="1296"/>
              <w:titlePg/>
              <w:docGrid w:linePitch="360"/>
            </w:sectPr>
          </w:pPr>
        </w:p>
        <w:p>
          <w:pPr>
            <w:tabs>
              <w:tab w:val="left" w:pos="4803"/>
            </w:tabs>
            <w:ind w:left="6946"/>
            <w:rPr>
              <w:szCs w:val="24"/>
            </w:rPr>
          </w:pPr>
          <w:r>
            <w:rPr>
              <w:szCs w:val="24"/>
            </w:rPr>
            <w:t xml:space="preserve">Akcizų grąžinimo taisyklių </w:t>
          </w:r>
        </w:p>
        <w:p>
          <w:pPr>
            <w:tabs>
              <w:tab w:val="left" w:pos="4803"/>
            </w:tabs>
            <w:ind w:left="6946"/>
            <w:rPr>
              <w:szCs w:val="24"/>
            </w:rPr>
          </w:pPr>
          <w:r>
            <w:rPr>
              <w:szCs w:val="24"/>
            </w:rPr>
            <w:t>priedas</w:t>
          </w:r>
        </w:p>
        <w:p>
          <w:pPr>
            <w:ind w:left="5102"/>
            <w:rPr>
              <w:rFonts w:ascii="Arial" w:eastAsia="Calibri" w:hAnsi="Arial" w:cs="Arial"/>
              <w:i/>
              <w:sz w:val="20"/>
            </w:rPr>
          </w:pPr>
        </w:p>
        <w:p>
          <w:pPr>
            <w:ind w:left="5102"/>
            <w:jc w:val="both"/>
            <w:rPr>
              <w:rFonts w:eastAsia="Calibri"/>
              <w:i/>
              <w:sz w:val="20"/>
            </w:rPr>
          </w:pPr>
        </w:p>
        <w:p>
          <w:pPr>
            <w:jc w:val="center"/>
            <w:rPr>
              <w:b/>
              <w:bCs/>
              <w:color w:val="000000"/>
              <w:szCs w:val="24"/>
              <w:lang w:eastAsia="lt-LT"/>
            </w:rPr>
          </w:pPr>
          <w:sdt>
            <w:sdtPr>
              <w:alias w:val="Pavadinimas"/>
              <w:tag w:val="title_226fe7fac70240b1a35011869b540415"/>
              <w:lock w:val="sdtLocked"/>
              <w:richText/>
            </w:sdtPr>
            <w:sdtContent>
              <w:r>
                <w:rPr>
                  <w:b/>
                  <w:bCs/>
                  <w:color w:val="000000"/>
                  <w:szCs w:val="24"/>
                  <w:lang w:eastAsia="lt-LT"/>
                </w:rPr>
                <w:t xml:space="preserve">(Sprendimo grąžinti / įskaityti akcizus formos pavyzdys) </w:t>
              </w:r>
            </w:sdtContent>
          </w:sdt>
        </w:p>
        <w:p>
          <w:pPr>
            <w:jc w:val="center"/>
            <w:rPr>
              <w:b/>
              <w:bCs/>
              <w:color w:val="000000"/>
              <w:szCs w:val="24"/>
              <w:lang w:eastAsia="lt-LT"/>
            </w:rPr>
          </w:pPr>
        </w:p>
        <w:p>
          <w:pPr>
            <w:jc w:val="center"/>
            <w:rPr>
              <w:color w:val="000000"/>
              <w:szCs w:val="24"/>
              <w:lang w:eastAsia="lt-LT"/>
            </w:rPr>
          </w:pPr>
          <w:r>
            <w:rPr>
              <w:b/>
              <w:bCs/>
              <w:color w:val="000000"/>
              <w:szCs w:val="24"/>
              <w:lang w:eastAsia="lt-LT"/>
            </w:rPr>
            <w:t>VALSTYBINĖS MOKESČIŲ INSPEKCIJOS PRIE</w:t>
          </w:r>
        </w:p>
        <w:p>
          <w:pPr>
            <w:jc w:val="center"/>
            <w:rPr>
              <w:color w:val="000000"/>
              <w:szCs w:val="24"/>
              <w:lang w:eastAsia="lt-LT"/>
            </w:rPr>
          </w:pPr>
          <w:r>
            <w:rPr>
              <w:b/>
              <w:bCs/>
              <w:color w:val="000000"/>
              <w:szCs w:val="24"/>
              <w:lang w:eastAsia="lt-LT"/>
            </w:rPr>
            <w:t>LIETUVOS RESPUBLIKOS FINANSŲ MINISTERIJOS</w:t>
          </w:r>
        </w:p>
        <w:p>
          <w:pPr>
            <w:jc w:val="center"/>
            <w:rPr>
              <w:color w:val="000000"/>
              <w:szCs w:val="24"/>
              <w:lang w:eastAsia="lt-LT"/>
            </w:rPr>
          </w:pPr>
          <w:r>
            <w:rPr>
              <w:b/>
              <w:bCs/>
              <w:color w:val="000000"/>
              <w:szCs w:val="24"/>
              <w:lang w:eastAsia="lt-LT"/>
            </w:rPr>
            <w:t>VIRŠININKAS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SPRENDIMAS</w:t>
          </w:r>
        </w:p>
        <w:p>
          <w:pPr>
            <w:jc w:val="center"/>
            <w:rPr>
              <w:color w:val="000000"/>
              <w:szCs w:val="24"/>
              <w:lang w:eastAsia="lt-LT"/>
            </w:rPr>
          </w:pPr>
          <w:r>
            <w:rPr>
              <w:b/>
              <w:bCs/>
              <w:color w:val="000000"/>
              <w:szCs w:val="24"/>
              <w:lang w:eastAsia="lt-LT"/>
            </w:rPr>
            <w:t>GRĄŽINTI / ĮSKAITYTI AKCIZUS</w:t>
          </w:r>
        </w:p>
        <w:p>
          <w:pPr>
            <w:ind w:firstLine="62"/>
            <w:jc w:val="center"/>
            <w:rPr>
              <w:color w:val="000000"/>
              <w:szCs w:val="24"/>
              <w:lang w:eastAsia="lt-LT"/>
            </w:rPr>
          </w:pPr>
        </w:p>
        <w:tbl>
          <w:tblPr>
            <w:tblW w:w="4335" w:type="dxa"/>
            <w:jc w:val="center"/>
            <w:tblCellMar>
              <w:left w:w="0" w:type="dxa"/>
              <w:right w:w="0" w:type="dxa"/>
            </w:tblCellMar>
            <w:tblLook w:val="04A0" w:firstRow="1" w:lastRow="0" w:firstColumn="1" w:lastColumn="0" w:noHBand="0" w:noVBand="1"/>
          </w:tblPr>
          <w:tblGrid>
            <w:gridCol w:w="1744"/>
            <w:gridCol w:w="530"/>
            <w:gridCol w:w="2061"/>
          </w:tblGrid>
          <w:tr>
            <w:trPr>
              <w:trHeight w:val="595"/>
              <w:jc w:val="center"/>
            </w:trPr>
            <w:tc>
              <w:tcPr>
                <w:tcW w:w="1757" w:type="dxa"/>
                <w:shd w:val="clear" w:color="auto" w:fill="auto"/>
                <w:tcMar>
                  <w:top w:w="0" w:type="dxa"/>
                  <w:left w:w="108" w:type="dxa"/>
                  <w:bottom w:w="0" w:type="dxa"/>
                  <w:right w:w="108" w:type="dxa"/>
                </w:tcMar>
                <w:hideMark/>
              </w:tcPr>
              <w:p>
                <w:pPr>
                  <w:jc w:val="center"/>
                  <w:rPr>
                    <w:szCs w:val="24"/>
                    <w:lang w:eastAsia="lt-LT"/>
                  </w:rPr>
                </w:pPr>
                <w:r>
                  <w:rPr>
                    <w:szCs w:val="24"/>
                    <w:lang w:eastAsia="lt-LT"/>
                  </w:rPr>
                  <w:t>___________</w:t>
                </w:r>
              </w:p>
              <w:p>
                <w:pPr>
                  <w:jc w:val="center"/>
                  <w:rPr>
                    <w:szCs w:val="24"/>
                    <w:lang w:eastAsia="lt-LT"/>
                  </w:rPr>
                </w:pPr>
                <w:r>
                  <w:rPr>
                    <w:szCs w:val="24"/>
                    <w:vertAlign w:val="superscript"/>
                    <w:lang w:eastAsia="lt-LT"/>
                  </w:rPr>
                  <w:t>(data)</w:t>
                </w:r>
              </w:p>
            </w:tc>
            <w:tc>
              <w:tcPr>
                <w:tcW w:w="483" w:type="dxa"/>
                <w:shd w:val="clear" w:color="auto" w:fill="auto"/>
                <w:tcMar>
                  <w:top w:w="0" w:type="dxa"/>
                  <w:left w:w="108" w:type="dxa"/>
                  <w:bottom w:w="0" w:type="dxa"/>
                  <w:right w:w="108" w:type="dxa"/>
                </w:tcMar>
                <w:hideMark/>
              </w:tcPr>
              <w:p>
                <w:pPr>
                  <w:jc w:val="both"/>
                  <w:rPr>
                    <w:szCs w:val="24"/>
                    <w:lang w:eastAsia="lt-LT"/>
                  </w:rPr>
                </w:pPr>
                <w:r>
                  <w:rPr>
                    <w:szCs w:val="24"/>
                    <w:lang w:eastAsia="lt-LT"/>
                  </w:rPr>
                  <w:t>Nr.</w:t>
                </w:r>
              </w:p>
            </w:tc>
            <w:tc>
              <w:tcPr>
                <w:tcW w:w="2095" w:type="dxa"/>
                <w:shd w:val="clear" w:color="auto" w:fill="auto"/>
                <w:tcMar>
                  <w:top w:w="0" w:type="dxa"/>
                  <w:left w:w="108" w:type="dxa"/>
                  <w:bottom w:w="0" w:type="dxa"/>
                  <w:right w:w="108" w:type="dxa"/>
                </w:tcMar>
                <w:hideMark/>
              </w:tcPr>
              <w:p>
                <w:pPr>
                  <w:jc w:val="center"/>
                  <w:rPr>
                    <w:szCs w:val="24"/>
                    <w:lang w:eastAsia="lt-LT"/>
                  </w:rPr>
                </w:pPr>
                <w:r>
                  <w:rPr>
                    <w:szCs w:val="24"/>
                    <w:lang w:eastAsia="lt-LT"/>
                  </w:rPr>
                  <w:t>___________</w:t>
                </w:r>
              </w:p>
              <w:p>
                <w:pPr>
                  <w:jc w:val="center"/>
                  <w:rPr>
                    <w:szCs w:val="24"/>
                    <w:lang w:eastAsia="lt-LT"/>
                  </w:rPr>
                </w:pPr>
                <w:r>
                  <w:rPr>
                    <w:szCs w:val="24"/>
                    <w:vertAlign w:val="superscript"/>
                    <w:lang w:eastAsia="lt-LT"/>
                  </w:rPr>
                  <w:t>(registracijos numeris)</w:t>
                </w:r>
              </w:p>
            </w:tc>
          </w:tr>
          <w:tr>
            <w:trPr>
              <w:trHeight w:val="595"/>
              <w:jc w:val="center"/>
            </w:trPr>
            <w:tc>
              <w:tcPr>
                <w:tcW w:w="4335" w:type="dxa"/>
                <w:gridSpan w:val="3"/>
                <w:shd w:val="clear" w:color="auto" w:fill="auto"/>
                <w:tcMar>
                  <w:top w:w="0" w:type="dxa"/>
                  <w:left w:w="108" w:type="dxa"/>
                  <w:bottom w:w="0" w:type="dxa"/>
                  <w:right w:w="108" w:type="dxa"/>
                </w:tcMar>
                <w:hideMark/>
              </w:tcPr>
              <w:p>
                <w:pPr>
                  <w:jc w:val="center"/>
                  <w:rPr>
                    <w:szCs w:val="24"/>
                    <w:lang w:eastAsia="lt-LT"/>
                  </w:rPr>
                </w:pPr>
                <w:r>
                  <w:rPr>
                    <w:szCs w:val="24"/>
                    <w:lang w:eastAsia="lt-LT"/>
                  </w:rPr>
                  <w:t>___________</w:t>
                </w:r>
              </w:p>
              <w:p>
                <w:pPr>
                  <w:jc w:val="center"/>
                  <w:rPr>
                    <w:szCs w:val="24"/>
                    <w:lang w:eastAsia="lt-LT"/>
                  </w:rPr>
                </w:pPr>
                <w:r>
                  <w:rPr>
                    <w:szCs w:val="24"/>
                    <w:vertAlign w:val="superscript"/>
                    <w:lang w:eastAsia="lt-LT"/>
                  </w:rPr>
                  <w:t>(sudarymo vieta)</w:t>
                </w:r>
              </w:p>
            </w:tc>
          </w:tr>
        </w:tbl>
        <w:p>
          <w:pPr>
            <w:ind w:firstLine="720"/>
            <w:rPr>
              <w:rFonts w:ascii="Arial" w:hAnsi="Arial" w:cs="Arial"/>
              <w:sz w:val="20"/>
              <w:szCs w:val="24"/>
            </w:rPr>
          </w:pPr>
        </w:p>
        <w:tbl>
          <w:tblPr>
            <w:tblW w:w="9630" w:type="dxa"/>
            <w:shd w:val="clear" w:color="auto" w:fill="FFFFFF"/>
            <w:tblCellMar>
              <w:left w:w="0" w:type="dxa"/>
              <w:right w:w="0" w:type="dxa"/>
            </w:tblCellMar>
            <w:tblLook w:val="04A0" w:firstRow="1" w:lastRow="0" w:firstColumn="1" w:lastColumn="0" w:noHBand="0" w:noVBand="1"/>
          </w:tblPr>
          <w:tblGrid>
            <w:gridCol w:w="9630"/>
          </w:tblGrid>
          <w:tr>
            <w:tc>
              <w:tcPr>
                <w:tcW w:w="9540" w:type="dxa"/>
                <w:shd w:val="clear" w:color="auto" w:fill="FFFFFF"/>
                <w:hideMark/>
              </w:tcPr>
              <w:p>
                <w:pPr>
                  <w:ind w:firstLine="720"/>
                  <w:jc w:val="both"/>
                  <w:rPr>
                    <w:color w:val="000000"/>
                    <w:szCs w:val="24"/>
                    <w:lang w:eastAsia="lt-LT"/>
                  </w:rPr>
                </w:pPr>
                <w:r>
                  <w:rPr>
                    <w:color w:val="000000"/>
                    <w:szCs w:val="24"/>
                    <w:lang w:eastAsia="lt-LT"/>
                  </w:rPr>
                  <w:t>Vadovaudamasis (-si) Lietuvos Respublikos akcizų įstatymo _____ straipsnio _____dalies _____ punktu,</w:t>
                </w:r>
                <w:r>
                  <w:rPr>
                    <w:rFonts w:eastAsia="Calibri"/>
                    <w:bCs/>
                    <w:szCs w:val="24"/>
                  </w:rPr>
                  <w:t xml:space="preserve"> </w:t>
                </w:r>
                <w:r>
                  <w:rPr>
                    <w:bCs/>
                    <w:color w:val="000000"/>
                    <w:szCs w:val="24"/>
                    <w:lang w:eastAsia="lt-LT"/>
                  </w:rPr>
                  <w:t>Akcizų grąžinimo taisyklėmis</w:t>
                </w:r>
                <w:r>
                  <w:rPr>
                    <w:color w:val="000000"/>
                    <w:szCs w:val="24"/>
                    <w:lang w:eastAsia="lt-LT"/>
                  </w:rPr>
                  <w:t>, patvirtintomis Valstybinės mokesčių inspekcijos prie Lietuvos Respublikos finansų ministerijos viršininko 2002 m. rugpjūčio 30 d. įsakymu Nr. 255 „</w:t>
                </w:r>
                <w:r>
                  <w:rPr>
                    <w:bCs/>
                    <w:color w:val="000000"/>
                    <w:szCs w:val="24"/>
                    <w:lang w:eastAsia="lt-LT"/>
                  </w:rPr>
                  <w:t>Dėl akcizų grąžinimo</w:t>
                </w:r>
                <w:r>
                  <w:rPr>
                    <w:color w:val="000000"/>
                    <w:szCs w:val="24"/>
                    <w:lang w:eastAsia="lt-LT"/>
                  </w:rPr>
                  <w:t>“, ir išnagrinėjęs (-usi)________________________________________________</w:t>
                </w:r>
              </w:p>
              <w:p>
                <w:pPr>
                  <w:jc w:val="center"/>
                  <w:rPr>
                    <w:color w:val="000000"/>
                    <w:sz w:val="20"/>
                    <w:lang w:eastAsia="lt-LT"/>
                  </w:rPr>
                </w:pPr>
                <w:r>
                  <w:rPr>
                    <w:color w:val="000000"/>
                    <w:szCs w:val="24"/>
                    <w:lang w:eastAsia="lt-LT"/>
                  </w:rPr>
                  <w:t xml:space="preserve">________________________________________________________________________________ </w:t>
                </w:r>
                <w:r>
                  <w:rPr>
                    <w:color w:val="000000"/>
                    <w:sz w:val="20"/>
                    <w:lang w:eastAsia="lt-LT"/>
                  </w:rPr>
                  <w:t>(mokesčių mokėtojo pavadinimas arba vardas, pavardė, identifikacinis numeris (kodas))</w:t>
                </w:r>
              </w:p>
              <w:p>
                <w:pPr>
                  <w:jc w:val="both"/>
                  <w:rPr>
                    <w:color w:val="000000"/>
                    <w:szCs w:val="24"/>
                    <w:lang w:eastAsia="lt-LT"/>
                  </w:rPr>
                </w:pPr>
                <w:r>
                  <w:rPr>
                    <w:color w:val="000000"/>
                    <w:szCs w:val="24"/>
                    <w:lang w:eastAsia="lt-LT"/>
                  </w:rPr>
                  <w:t>20__ m. _____________________ d. prašymą Nr. _______________________________________,</w:t>
                </w:r>
              </w:p>
              <w:p>
                <w:pPr>
                  <w:ind w:firstLine="720"/>
                  <w:jc w:val="both"/>
                  <w:rPr>
                    <w:color w:val="000000"/>
                    <w:szCs w:val="24"/>
                    <w:lang w:eastAsia="lt-LT"/>
                  </w:rPr>
                </w:pPr>
              </w:p>
            </w:tc>
          </w:tr>
        </w:tbl>
        <w:p>
          <w:pPr>
            <w:ind w:firstLine="782"/>
            <w:jc w:val="both"/>
            <w:rPr>
              <w:color w:val="000000"/>
              <w:szCs w:val="24"/>
              <w:lang w:eastAsia="lt-LT"/>
            </w:rPr>
          </w:pPr>
        </w:p>
        <w:p>
          <w:pPr>
            <w:ind w:firstLine="720"/>
            <w:jc w:val="both"/>
            <w:rPr>
              <w:color w:val="000000"/>
              <w:szCs w:val="24"/>
              <w:lang w:eastAsia="lt-LT"/>
            </w:rPr>
          </w:pPr>
          <w:r>
            <w:rPr>
              <w:b/>
              <w:bCs/>
              <w:color w:val="000000"/>
              <w:szCs w:val="24"/>
              <w:lang w:eastAsia="lt-LT"/>
            </w:rPr>
            <w:t>nusprendžiu:</w:t>
          </w:r>
          <w:r>
            <w:rPr>
              <w:color w:val="000000"/>
              <w:szCs w:val="24"/>
              <w:lang w:eastAsia="lt-LT"/>
            </w:rPr>
            <w:t> ______________________________________________________________</w:t>
          </w:r>
        </w:p>
        <w:p>
          <w:pPr>
            <w:ind w:firstLine="1296"/>
            <w:jc w:val="center"/>
            <w:rPr>
              <w:color w:val="000000"/>
              <w:sz w:val="20"/>
              <w:lang w:eastAsia="lt-LT"/>
            </w:rPr>
          </w:pPr>
          <w:r>
            <w:rPr>
              <w:color w:val="000000"/>
              <w:sz w:val="20"/>
              <w:lang w:eastAsia="lt-LT"/>
            </w:rPr>
            <w:t>(mokesčių mokėtojo pavadinimas arba vardas, pavardė, identifikacinis numeris)</w:t>
          </w:r>
        </w:p>
        <w:p>
          <w:pPr>
            <w:ind w:firstLine="720"/>
            <w:jc w:val="both"/>
            <w:rPr>
              <w:color w:val="000000"/>
              <w:szCs w:val="24"/>
              <w:lang w:eastAsia="lt-LT"/>
            </w:rPr>
          </w:pPr>
          <w:r>
            <w:rPr>
              <w:color w:val="000000"/>
              <w:szCs w:val="24"/>
              <w:lang w:eastAsia="lt-LT"/>
            </w:rPr>
            <w:t>akcizų permoka (skirtumu)</w:t>
          </w:r>
        </w:p>
        <w:p>
          <w:pPr>
            <w:ind w:firstLine="782"/>
            <w:jc w:val="both"/>
            <w:rPr>
              <w:color w:val="000000"/>
              <w:szCs w:val="24"/>
              <w:lang w:eastAsia="lt-LT"/>
            </w:rPr>
          </w:pPr>
        </w:p>
        <w:tbl>
          <w:tblPr>
            <w:tblW w:w="9630" w:type="dxa"/>
            <w:shd w:val="clear" w:color="auto" w:fill="FFFFFF"/>
            <w:tblCellMar>
              <w:left w:w="0" w:type="dxa"/>
              <w:right w:w="0" w:type="dxa"/>
            </w:tblCellMar>
            <w:tblLook w:val="04A0" w:firstRow="1" w:lastRow="0" w:firstColumn="1" w:lastColumn="0" w:noHBand="0" w:noVBand="1"/>
          </w:tblPr>
          <w:tblGrid>
            <w:gridCol w:w="492"/>
            <w:gridCol w:w="983"/>
            <w:gridCol w:w="4717"/>
            <w:gridCol w:w="1572"/>
            <w:gridCol w:w="1866"/>
          </w:tblGrid>
          <w:tr>
            <w:tc>
              <w:tcPr>
                <w:tcW w:w="255" w:type="pct"/>
                <w:tcBorders>
                  <w:top w:val="single" w:sz="8" w:space="0" w:color="auto"/>
                  <w:left w:val="single" w:sz="8" w:space="0" w:color="auto"/>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Eil. Nr.</w:t>
                </w:r>
              </w:p>
            </w:tc>
            <w:tc>
              <w:tcPr>
                <w:tcW w:w="510"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Įmokos kodas</w:t>
                </w:r>
              </w:p>
            </w:tc>
            <w:tc>
              <w:tcPr>
                <w:tcW w:w="2449" w:type="pct"/>
                <w:tcBorders>
                  <w:top w:val="single" w:sz="8" w:space="0" w:color="auto"/>
                  <w:left w:val="nil"/>
                  <w:bottom w:val="single" w:sz="8" w:space="0" w:color="auto"/>
                  <w:right w:val="single" w:sz="8" w:space="0" w:color="auto"/>
                </w:tcBorders>
                <w:shd w:val="clear" w:color="auto" w:fill="FFFFFF"/>
                <w:hideMark/>
              </w:tcPr>
              <w:p>
                <w:pPr>
                  <w:ind w:firstLine="720"/>
                  <w:jc w:val="both"/>
                  <w:rPr>
                    <w:color w:val="000000"/>
                    <w:szCs w:val="24"/>
                    <w:lang w:eastAsia="lt-LT"/>
                  </w:rPr>
                </w:pPr>
                <w:r>
                  <w:rPr>
                    <w:color w:val="000000"/>
                    <w:szCs w:val="24"/>
                    <w:lang w:eastAsia="lt-LT"/>
                  </w:rPr>
                  <w:t>Akcizai (prievolės tipas)</w:t>
                </w:r>
              </w:p>
            </w:tc>
            <w:tc>
              <w:tcPr>
                <w:tcW w:w="816"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Permokos (skirtumo) susidarymo data</w:t>
                </w:r>
              </w:p>
            </w:tc>
            <w:tc>
              <w:tcPr>
                <w:tcW w:w="969"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Permokos (skirtumo) suma, Eur</w:t>
                </w:r>
              </w:p>
            </w:tc>
          </w:tr>
          <w:tr>
            <w:tc>
              <w:tcPr>
                <w:tcW w:w="255"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51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2449" w:type="pct"/>
                <w:tcBorders>
                  <w:top w:val="single" w:sz="8" w:space="0" w:color="auto"/>
                  <w:left w:val="nil"/>
                  <w:bottom w:val="single" w:sz="8" w:space="0" w:color="auto"/>
                  <w:right w:val="single" w:sz="8" w:space="0" w:color="auto"/>
                </w:tcBorders>
                <w:shd w:val="clear" w:color="auto" w:fill="FFFFFF"/>
              </w:tcPr>
              <w:p>
                <w:pPr>
                  <w:ind w:firstLine="720"/>
                  <w:jc w:val="both"/>
                  <w:rPr>
                    <w:color w:val="000000"/>
                    <w:szCs w:val="24"/>
                    <w:lang w:eastAsia="lt-LT"/>
                  </w:rPr>
                </w:pPr>
              </w:p>
            </w:tc>
            <w:tc>
              <w:tcPr>
                <w:tcW w:w="81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96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255"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51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2449" w:type="pct"/>
                <w:tcBorders>
                  <w:top w:val="single" w:sz="8" w:space="0" w:color="auto"/>
                  <w:left w:val="nil"/>
                  <w:bottom w:val="single" w:sz="8" w:space="0" w:color="auto"/>
                  <w:right w:val="single" w:sz="8" w:space="0" w:color="auto"/>
                </w:tcBorders>
                <w:shd w:val="clear" w:color="auto" w:fill="FFFFFF"/>
              </w:tcPr>
              <w:p>
                <w:pPr>
                  <w:ind w:firstLine="720"/>
                  <w:jc w:val="both"/>
                  <w:rPr>
                    <w:color w:val="000000"/>
                    <w:szCs w:val="24"/>
                    <w:lang w:eastAsia="lt-LT"/>
                  </w:rPr>
                </w:pPr>
              </w:p>
            </w:tc>
            <w:tc>
              <w:tcPr>
                <w:tcW w:w="81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96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255"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51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2449" w:type="pct"/>
                <w:tcBorders>
                  <w:top w:val="single" w:sz="8" w:space="0" w:color="auto"/>
                  <w:left w:val="nil"/>
                  <w:bottom w:val="single" w:sz="8" w:space="0" w:color="auto"/>
                  <w:right w:val="single" w:sz="8" w:space="0" w:color="auto"/>
                </w:tcBorders>
                <w:shd w:val="clear" w:color="auto" w:fill="FFFFFF"/>
              </w:tcPr>
              <w:p>
                <w:pPr>
                  <w:ind w:firstLine="720"/>
                  <w:jc w:val="both"/>
                  <w:rPr>
                    <w:color w:val="000000"/>
                    <w:szCs w:val="24"/>
                    <w:lang w:eastAsia="lt-LT"/>
                  </w:rPr>
                </w:pPr>
              </w:p>
            </w:tc>
            <w:tc>
              <w:tcPr>
                <w:tcW w:w="81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96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255"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51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2449" w:type="pct"/>
                <w:tcBorders>
                  <w:top w:val="single" w:sz="8" w:space="0" w:color="auto"/>
                  <w:left w:val="nil"/>
                  <w:bottom w:val="single" w:sz="8" w:space="0" w:color="auto"/>
                  <w:right w:val="single" w:sz="8" w:space="0" w:color="auto"/>
                </w:tcBorders>
                <w:shd w:val="clear" w:color="auto" w:fill="FFFFFF"/>
              </w:tcPr>
              <w:p>
                <w:pPr>
                  <w:ind w:firstLine="720"/>
                  <w:jc w:val="both"/>
                  <w:rPr>
                    <w:color w:val="000000"/>
                    <w:szCs w:val="24"/>
                    <w:lang w:eastAsia="lt-LT"/>
                  </w:rPr>
                </w:pPr>
              </w:p>
            </w:tc>
            <w:tc>
              <w:tcPr>
                <w:tcW w:w="81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96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255"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51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2449" w:type="pct"/>
                <w:tcBorders>
                  <w:top w:val="single" w:sz="8" w:space="0" w:color="auto"/>
                  <w:left w:val="nil"/>
                  <w:bottom w:val="single" w:sz="8" w:space="0" w:color="auto"/>
                  <w:right w:val="single" w:sz="8" w:space="0" w:color="auto"/>
                </w:tcBorders>
                <w:shd w:val="clear" w:color="auto" w:fill="FFFFFF"/>
              </w:tcPr>
              <w:p>
                <w:pPr>
                  <w:ind w:firstLine="720"/>
                  <w:jc w:val="both"/>
                  <w:rPr>
                    <w:color w:val="000000"/>
                    <w:szCs w:val="24"/>
                    <w:lang w:eastAsia="lt-LT"/>
                  </w:rPr>
                </w:pPr>
              </w:p>
            </w:tc>
            <w:tc>
              <w:tcPr>
                <w:tcW w:w="81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96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255" w:type="pct"/>
                <w:tcBorders>
                  <w:top w:val="nil"/>
                  <w:left w:val="single" w:sz="8" w:space="0" w:color="auto"/>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510"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2449" w:type="pct"/>
                <w:tcBorders>
                  <w:top w:val="nil"/>
                  <w:left w:val="nil"/>
                  <w:bottom w:val="single" w:sz="8" w:space="0" w:color="auto"/>
                  <w:right w:val="single" w:sz="8" w:space="0" w:color="auto"/>
                </w:tcBorders>
                <w:shd w:val="clear" w:color="auto" w:fill="FFFFFF"/>
                <w:hideMark/>
              </w:tcPr>
              <w:p>
                <w:pPr>
                  <w:ind w:firstLine="720"/>
                  <w:jc w:val="right"/>
                  <w:rPr>
                    <w:color w:val="000000"/>
                    <w:szCs w:val="24"/>
                    <w:lang w:eastAsia="lt-LT"/>
                  </w:rPr>
                </w:pPr>
                <w:r>
                  <w:rPr>
                    <w:color w:val="000000"/>
                    <w:szCs w:val="24"/>
                    <w:lang w:eastAsia="lt-LT"/>
                  </w:rPr>
                  <w:t>Iš viso:</w:t>
                </w:r>
              </w:p>
            </w:tc>
            <w:tc>
              <w:tcPr>
                <w:tcW w:w="816"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969"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r>
        </w:tbl>
        <w:p>
          <w:pPr>
            <w:ind w:firstLine="782"/>
            <w:jc w:val="both"/>
            <w:rPr>
              <w:color w:val="000000"/>
              <w:szCs w:val="24"/>
              <w:lang w:eastAsia="lt-LT"/>
            </w:rPr>
          </w:pPr>
        </w:p>
        <w:tbl>
          <w:tblPr>
            <w:tblW w:w="9630" w:type="dxa"/>
            <w:shd w:val="clear" w:color="auto" w:fill="FFFFFF"/>
            <w:tblCellMar>
              <w:left w:w="0" w:type="dxa"/>
              <w:right w:w="0" w:type="dxa"/>
            </w:tblCellMar>
            <w:tblLook w:val="04A0" w:firstRow="1" w:lastRow="0" w:firstColumn="1" w:lastColumn="0" w:noHBand="0" w:noVBand="1"/>
          </w:tblPr>
          <w:tblGrid>
            <w:gridCol w:w="3210"/>
            <w:gridCol w:w="3210"/>
            <w:gridCol w:w="3210"/>
          </w:tblGrid>
          <w:tr>
            <w:tc>
              <w:tcPr>
                <w:tcW w:w="3210" w:type="dxa"/>
                <w:tcBorders>
                  <w:top w:val="single" w:sz="8" w:space="0" w:color="auto"/>
                  <w:left w:val="single" w:sz="8" w:space="0" w:color="auto"/>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Tarifinės grupės kodas</w:t>
                </w:r>
              </w:p>
            </w:tc>
            <w:tc>
              <w:tcPr>
                <w:tcW w:w="3210" w:type="dxa"/>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Tarifinės grupės pavadinimas</w:t>
                </w:r>
              </w:p>
            </w:tc>
            <w:tc>
              <w:tcPr>
                <w:tcW w:w="3210" w:type="dxa"/>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Akcizų suma</w:t>
                </w:r>
              </w:p>
            </w:tc>
          </w:tr>
          <w:tr>
            <w:tc>
              <w:tcPr>
                <w:tcW w:w="3210" w:type="dxa"/>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3210" w:type="dxa"/>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3210" w:type="dxa"/>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3210" w:type="dxa"/>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3210" w:type="dxa"/>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3210" w:type="dxa"/>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3210" w:type="dxa"/>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3210" w:type="dxa"/>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3210" w:type="dxa"/>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bl>
        <w:p>
          <w:pPr>
            <w:ind w:firstLine="782"/>
            <w:jc w:val="both"/>
            <w:rPr>
              <w:color w:val="000000"/>
              <w:szCs w:val="24"/>
              <w:lang w:eastAsia="lt-LT"/>
            </w:rPr>
          </w:pPr>
        </w:p>
        <w:p>
          <w:pPr>
            <w:ind w:firstLine="720"/>
            <w:jc w:val="both"/>
            <w:rPr>
              <w:color w:val="000000"/>
              <w:szCs w:val="24"/>
              <w:lang w:eastAsia="lt-LT"/>
            </w:rPr>
          </w:pPr>
          <w:r>
            <w:rPr>
              <w:b/>
              <w:bCs/>
              <w:color w:val="000000"/>
              <w:szCs w:val="24"/>
              <w:lang w:eastAsia="lt-LT"/>
            </w:rPr>
            <w:t>įskaityti</w:t>
          </w:r>
          <w:r>
            <w:rPr>
              <w:color w:val="000000"/>
              <w:szCs w:val="24"/>
              <w:lang w:eastAsia="lt-LT"/>
            </w:rPr>
            <w:t>:</w:t>
          </w:r>
        </w:p>
        <w:p>
          <w:pPr>
            <w:ind w:firstLine="782"/>
            <w:jc w:val="both"/>
            <w:rPr>
              <w:color w:val="000000"/>
              <w:szCs w:val="24"/>
              <w:lang w:eastAsia="lt-LT"/>
            </w:rPr>
          </w:pPr>
        </w:p>
        <w:tbl>
          <w:tblPr>
            <w:tblW w:w="9442" w:type="dxa"/>
            <w:shd w:val="clear" w:color="auto" w:fill="FFFFFF"/>
            <w:tblCellMar>
              <w:left w:w="0" w:type="dxa"/>
              <w:right w:w="0" w:type="dxa"/>
            </w:tblCellMar>
            <w:tblLook w:val="04A0" w:firstRow="1" w:lastRow="0" w:firstColumn="1" w:lastColumn="0" w:noHBand="0" w:noVBand="1"/>
          </w:tblPr>
          <w:tblGrid>
            <w:gridCol w:w="890"/>
            <w:gridCol w:w="1398"/>
            <w:gridCol w:w="1911"/>
            <w:gridCol w:w="1209"/>
            <w:gridCol w:w="1513"/>
            <w:gridCol w:w="1409"/>
            <w:gridCol w:w="1112"/>
          </w:tblGrid>
          <w:tr>
            <w:trPr>
              <w:trHeight w:val="1931"/>
            </w:trPr>
            <w:tc>
              <w:tcPr>
                <w:tcW w:w="471" w:type="pct"/>
                <w:tcBorders>
                  <w:top w:val="single" w:sz="8" w:space="0" w:color="auto"/>
                  <w:left w:val="single" w:sz="8" w:space="0" w:color="auto"/>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Eil. Nr.</w:t>
                </w:r>
              </w:p>
            </w:tc>
            <w:tc>
              <w:tcPr>
                <w:tcW w:w="740"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Mokesčių mokėtojo identifikacinis numeris</w:t>
                </w:r>
              </w:p>
            </w:tc>
            <w:tc>
              <w:tcPr>
                <w:tcW w:w="1012"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Administracinio nusižengimo identifikacinis numeris</w:t>
                </w:r>
              </w:p>
            </w:tc>
            <w:tc>
              <w:tcPr>
                <w:tcW w:w="640"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Įmokos kodas</w:t>
                </w:r>
              </w:p>
            </w:tc>
            <w:tc>
              <w:tcPr>
                <w:tcW w:w="801"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Mokestis ir (arba) Lietuvos Respublikos administracinių nusižengimų kodekso bauda</w:t>
                </w:r>
              </w:p>
              <w:p>
                <w:pPr>
                  <w:jc w:val="center"/>
                  <w:rPr>
                    <w:color w:val="000000"/>
                    <w:szCs w:val="24"/>
                    <w:lang w:eastAsia="lt-LT"/>
                  </w:rPr>
                </w:pPr>
                <w:r>
                  <w:rPr>
                    <w:color w:val="000000"/>
                    <w:szCs w:val="24"/>
                    <w:lang w:eastAsia="lt-LT"/>
                  </w:rPr>
                  <w:t>(prievolės tipas)</w:t>
                </w:r>
              </w:p>
            </w:tc>
            <w:tc>
              <w:tcPr>
                <w:tcW w:w="746"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Įskaitymo data</w:t>
                </w:r>
              </w:p>
            </w:tc>
            <w:tc>
              <w:tcPr>
                <w:tcW w:w="589"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Suma,</w:t>
                </w:r>
              </w:p>
              <w:p>
                <w:pPr>
                  <w:jc w:val="center"/>
                  <w:rPr>
                    <w:color w:val="000000"/>
                    <w:szCs w:val="24"/>
                    <w:lang w:eastAsia="lt-LT"/>
                  </w:rPr>
                </w:pPr>
                <w:r>
                  <w:rPr>
                    <w:color w:val="000000"/>
                    <w:szCs w:val="24"/>
                    <w:lang w:eastAsia="lt-LT"/>
                  </w:rPr>
                  <w:t>Eur.</w:t>
                </w:r>
              </w:p>
            </w:tc>
          </w:tr>
          <w:tr>
            <w:trPr>
              <w:trHeight w:val="397"/>
            </w:trPr>
            <w:tc>
              <w:tcPr>
                <w:tcW w:w="471"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74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1012"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64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801"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74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58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rPr>
              <w:trHeight w:val="393"/>
            </w:trPr>
            <w:tc>
              <w:tcPr>
                <w:tcW w:w="471"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74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1012"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64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801"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74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58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rPr>
              <w:trHeight w:val="409"/>
            </w:trPr>
            <w:tc>
              <w:tcPr>
                <w:tcW w:w="471"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74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1012"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640"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801"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746"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589"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rPr>
              <w:trHeight w:val="248"/>
            </w:trPr>
            <w:tc>
              <w:tcPr>
                <w:tcW w:w="471" w:type="pct"/>
                <w:tcBorders>
                  <w:top w:val="nil"/>
                  <w:left w:val="single" w:sz="8" w:space="0" w:color="auto"/>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740"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1012"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640"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801" w:type="pct"/>
                <w:tcBorders>
                  <w:top w:val="nil"/>
                  <w:left w:val="nil"/>
                  <w:bottom w:val="single" w:sz="8" w:space="0" w:color="auto"/>
                  <w:right w:val="single" w:sz="8" w:space="0" w:color="auto"/>
                </w:tcBorders>
                <w:shd w:val="clear" w:color="auto" w:fill="FFFFFF"/>
                <w:hideMark/>
              </w:tcPr>
              <w:p>
                <w:pPr>
                  <w:ind w:firstLine="720"/>
                  <w:jc w:val="both"/>
                  <w:rPr>
                    <w:color w:val="000000"/>
                    <w:szCs w:val="24"/>
                    <w:lang w:eastAsia="lt-LT"/>
                  </w:rPr>
                </w:pPr>
                <w:r>
                  <w:rPr>
                    <w:color w:val="000000"/>
                    <w:szCs w:val="24"/>
                    <w:lang w:eastAsia="lt-LT"/>
                  </w:rPr>
                  <w:t>Iš viso:</w:t>
                </w:r>
              </w:p>
            </w:tc>
            <w:tc>
              <w:tcPr>
                <w:tcW w:w="746"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589"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r>
        </w:tbl>
        <w:p>
          <w:pPr>
            <w:ind w:firstLine="782"/>
            <w:jc w:val="both"/>
            <w:rPr>
              <w:color w:val="000000"/>
              <w:szCs w:val="24"/>
              <w:lang w:eastAsia="lt-LT"/>
            </w:rPr>
          </w:pPr>
        </w:p>
        <w:p>
          <w:pPr>
            <w:ind w:firstLine="720"/>
            <w:jc w:val="both"/>
            <w:rPr>
              <w:color w:val="000000"/>
              <w:szCs w:val="24"/>
              <w:lang w:eastAsia="lt-LT"/>
            </w:rPr>
          </w:pPr>
          <w:r>
            <w:rPr>
              <w:b/>
              <w:bCs/>
              <w:color w:val="000000"/>
              <w:szCs w:val="24"/>
              <w:lang w:eastAsia="lt-LT"/>
            </w:rPr>
            <w:t>negrąžinti (neįskaityti):</w:t>
          </w:r>
        </w:p>
        <w:p>
          <w:pPr>
            <w:ind w:firstLine="782"/>
            <w:jc w:val="both"/>
            <w:rPr>
              <w:color w:val="000000"/>
              <w:szCs w:val="24"/>
              <w:lang w:eastAsia="lt-LT"/>
            </w:rPr>
          </w:pPr>
        </w:p>
        <w:tbl>
          <w:tblPr>
            <w:tblW w:w="9630" w:type="dxa"/>
            <w:shd w:val="clear" w:color="auto" w:fill="FFFFFF"/>
            <w:tblCellMar>
              <w:left w:w="0" w:type="dxa"/>
              <w:right w:w="0" w:type="dxa"/>
            </w:tblCellMar>
            <w:tblLook w:val="04A0" w:firstRow="1" w:lastRow="0" w:firstColumn="1" w:lastColumn="0" w:noHBand="0" w:noVBand="1"/>
          </w:tblPr>
          <w:tblGrid>
            <w:gridCol w:w="589"/>
            <w:gridCol w:w="7371"/>
            <w:gridCol w:w="1670"/>
          </w:tblGrid>
          <w:tr>
            <w:tc>
              <w:tcPr>
                <w:tcW w:w="306" w:type="pct"/>
                <w:tcBorders>
                  <w:top w:val="single" w:sz="8" w:space="0" w:color="auto"/>
                  <w:left w:val="single" w:sz="8" w:space="0" w:color="auto"/>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Eil. Nr.</w:t>
                </w:r>
              </w:p>
            </w:tc>
            <w:tc>
              <w:tcPr>
                <w:tcW w:w="3827"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Negrąžinimo (neįskaitymo) priežastis ir teisinis pagrindas</w:t>
                </w:r>
              </w:p>
            </w:tc>
            <w:tc>
              <w:tcPr>
                <w:tcW w:w="867"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Negrąžinta (neįskaityta) suma, Eur</w:t>
                </w:r>
              </w:p>
            </w:tc>
          </w:tr>
          <w:tr>
            <w:tc>
              <w:tcPr>
                <w:tcW w:w="306"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3827"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867"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306" w:type="pct"/>
                <w:tcBorders>
                  <w:top w:val="single" w:sz="8" w:space="0" w:color="auto"/>
                  <w:left w:val="single" w:sz="8" w:space="0" w:color="auto"/>
                  <w:bottom w:val="single" w:sz="8" w:space="0" w:color="auto"/>
                  <w:right w:val="single" w:sz="8" w:space="0" w:color="auto"/>
                </w:tcBorders>
                <w:shd w:val="clear" w:color="auto" w:fill="FFFFFF"/>
              </w:tcPr>
              <w:p>
                <w:pPr>
                  <w:jc w:val="center"/>
                  <w:rPr>
                    <w:color w:val="000000"/>
                    <w:szCs w:val="24"/>
                    <w:lang w:eastAsia="lt-LT"/>
                  </w:rPr>
                </w:pPr>
              </w:p>
            </w:tc>
            <w:tc>
              <w:tcPr>
                <w:tcW w:w="3827"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c>
              <w:tcPr>
                <w:tcW w:w="867" w:type="pct"/>
                <w:tcBorders>
                  <w:top w:val="single" w:sz="8" w:space="0" w:color="auto"/>
                  <w:left w:val="nil"/>
                  <w:bottom w:val="single" w:sz="8" w:space="0" w:color="auto"/>
                  <w:right w:val="single" w:sz="8" w:space="0" w:color="auto"/>
                </w:tcBorders>
                <w:shd w:val="clear" w:color="auto" w:fill="FFFFFF"/>
              </w:tcPr>
              <w:p>
                <w:pPr>
                  <w:jc w:val="center"/>
                  <w:rPr>
                    <w:color w:val="000000"/>
                    <w:szCs w:val="24"/>
                    <w:lang w:eastAsia="lt-LT"/>
                  </w:rPr>
                </w:pPr>
              </w:p>
            </w:tc>
          </w:tr>
          <w:tr>
            <w:tc>
              <w:tcPr>
                <w:tcW w:w="306" w:type="pct"/>
                <w:tcBorders>
                  <w:top w:val="nil"/>
                  <w:left w:val="single" w:sz="8" w:space="0" w:color="auto"/>
                  <w:bottom w:val="single" w:sz="8" w:space="0" w:color="auto"/>
                  <w:right w:val="single" w:sz="8" w:space="0" w:color="auto"/>
                </w:tcBorders>
                <w:shd w:val="clear" w:color="auto" w:fill="FFFFFF"/>
                <w:hideMark/>
              </w:tcPr>
              <w:p>
                <w:pPr>
                  <w:ind w:firstLine="782"/>
                  <w:jc w:val="both"/>
                  <w:rPr>
                    <w:color w:val="000000"/>
                    <w:szCs w:val="24"/>
                    <w:lang w:eastAsia="lt-LT"/>
                  </w:rPr>
                </w:pPr>
              </w:p>
            </w:tc>
            <w:tc>
              <w:tcPr>
                <w:tcW w:w="3827" w:type="pct"/>
                <w:tcBorders>
                  <w:top w:val="nil"/>
                  <w:left w:val="nil"/>
                  <w:bottom w:val="single" w:sz="8" w:space="0" w:color="auto"/>
                  <w:right w:val="single" w:sz="8" w:space="0" w:color="auto"/>
                </w:tcBorders>
                <w:shd w:val="clear" w:color="auto" w:fill="FFFFFF"/>
                <w:hideMark/>
              </w:tcPr>
              <w:p>
                <w:pPr>
                  <w:ind w:firstLine="720"/>
                  <w:jc w:val="right"/>
                  <w:rPr>
                    <w:color w:val="000000"/>
                    <w:szCs w:val="24"/>
                    <w:lang w:eastAsia="lt-LT"/>
                  </w:rPr>
                </w:pPr>
                <w:r>
                  <w:rPr>
                    <w:color w:val="000000"/>
                    <w:szCs w:val="24"/>
                    <w:lang w:eastAsia="lt-LT"/>
                  </w:rPr>
                  <w:t>Iš viso:</w:t>
                </w:r>
              </w:p>
            </w:tc>
            <w:tc>
              <w:tcPr>
                <w:tcW w:w="867" w:type="pct"/>
                <w:tcBorders>
                  <w:top w:val="nil"/>
                  <w:left w:val="nil"/>
                  <w:bottom w:val="single" w:sz="8" w:space="0" w:color="auto"/>
                  <w:right w:val="single" w:sz="8" w:space="0" w:color="auto"/>
                </w:tcBorders>
                <w:shd w:val="clear" w:color="auto" w:fill="FFFFFF"/>
                <w:hideMark/>
              </w:tcPr>
              <w:p>
                <w:pPr>
                  <w:ind w:firstLine="782"/>
                  <w:jc w:val="both"/>
                  <w:rPr>
                    <w:color w:val="000000"/>
                    <w:szCs w:val="24"/>
                    <w:lang w:eastAsia="lt-LT"/>
                  </w:rPr>
                </w:pPr>
              </w:p>
            </w:tc>
          </w:tr>
        </w:tbl>
        <w:p>
          <w:pPr>
            <w:ind w:firstLine="782"/>
            <w:jc w:val="both"/>
            <w:rPr>
              <w:color w:val="000000"/>
              <w:szCs w:val="24"/>
              <w:lang w:eastAsia="lt-LT"/>
            </w:rPr>
          </w:pPr>
        </w:p>
        <w:p>
          <w:pPr>
            <w:ind w:firstLine="720"/>
            <w:jc w:val="both"/>
            <w:rPr>
              <w:color w:val="000000"/>
              <w:szCs w:val="24"/>
              <w:lang w:eastAsia="lt-LT"/>
            </w:rPr>
          </w:pPr>
          <w:r>
            <w:rPr>
              <w:color w:val="000000"/>
              <w:szCs w:val="24"/>
              <w:lang w:eastAsia="lt-LT"/>
            </w:rPr>
            <w:t>Sprendimo negrąžinti (neįskaityti) dalies ar visos prašomos sumos priėmimo papildomi motyvai: ________________________________________________________________________,</w:t>
          </w:r>
        </w:p>
        <w:p>
          <w:pPr>
            <w:ind w:firstLine="782"/>
            <w:jc w:val="both"/>
            <w:rPr>
              <w:color w:val="000000"/>
              <w:szCs w:val="24"/>
              <w:lang w:eastAsia="lt-LT"/>
            </w:rPr>
          </w:pPr>
        </w:p>
        <w:p>
          <w:pPr>
            <w:tabs>
              <w:tab w:val="left" w:pos="0"/>
              <w:tab w:val="right" w:leader="underscore" w:pos="9638"/>
            </w:tabs>
            <w:ind w:firstLine="720"/>
            <w:jc w:val="both"/>
            <w:rPr>
              <w:rFonts w:eastAsia="Calibri"/>
              <w:szCs w:val="24"/>
              <w:lang w:eastAsia="lt-LT"/>
            </w:rPr>
          </w:pPr>
          <w:r>
            <w:rPr>
              <w:rFonts w:eastAsia="Calibri"/>
              <w:b/>
              <w:szCs w:val="24"/>
              <w:lang w:eastAsia="lt-LT"/>
            </w:rPr>
            <w:t>grąžinti</w:t>
          </w:r>
          <w:r>
            <w:rPr>
              <w:rFonts w:eastAsia="Calibri"/>
              <w:szCs w:val="24"/>
              <w:lang w:eastAsia="lt-LT"/>
            </w:rPr>
            <w:t xml:space="preserve"> neįskaitytą prašomos grąžinti sumos permokos (skirtumo) likutį </w:t>
            <w:tab/>
            <w:t xml:space="preserve"> Eur</w:t>
          </w:r>
        </w:p>
        <w:p>
          <w:pPr>
            <w:tabs>
              <w:tab w:val="left" w:pos="0"/>
              <w:tab w:val="left" w:pos="426"/>
              <w:tab w:val="right" w:leader="underscore" w:pos="9638"/>
            </w:tabs>
            <w:jc w:val="both"/>
            <w:rPr>
              <w:rFonts w:eastAsia="Calibri"/>
              <w:szCs w:val="24"/>
              <w:lang w:eastAsia="lt-LT"/>
            </w:rPr>
          </w:pPr>
          <w:r>
            <w:rPr>
              <w:rFonts w:eastAsia="Calibri"/>
              <w:szCs w:val="24"/>
              <w:lang w:eastAsia="lt-LT"/>
            </w:rPr>
            <w:t xml:space="preserve">į sąskaitą Nr. </w:t>
            <w:tab/>
          </w:r>
        </w:p>
        <w:p>
          <w:pPr>
            <w:tabs>
              <w:tab w:val="left" w:pos="0"/>
              <w:tab w:val="right" w:leader="underscore" w:pos="9638"/>
            </w:tabs>
            <w:jc w:val="both"/>
            <w:rPr>
              <w:rFonts w:eastAsia="Calibri"/>
              <w:szCs w:val="24"/>
              <w:lang w:eastAsia="lt-LT"/>
            </w:rPr>
          </w:pPr>
          <w:r>
            <w:rPr>
              <w:rFonts w:eastAsia="Calibri"/>
              <w:szCs w:val="24"/>
              <w:lang w:eastAsia="lt-LT"/>
            </w:rPr>
            <w:tab/>
            <w:t xml:space="preserve"> </w:t>
          </w:r>
        </w:p>
        <w:p>
          <w:pPr>
            <w:tabs>
              <w:tab w:val="center" w:pos="4962"/>
            </w:tabs>
            <w:ind w:firstLine="720"/>
            <w:jc w:val="both"/>
            <w:rPr>
              <w:rFonts w:eastAsia="Calibri"/>
              <w:sz w:val="20"/>
              <w:lang w:eastAsia="lt-LT"/>
            </w:rPr>
          </w:pPr>
          <w:r>
            <w:rPr>
              <w:rFonts w:eastAsia="Calibri"/>
              <w:szCs w:val="24"/>
              <w:vertAlign w:val="superscript"/>
              <w:lang w:eastAsia="lt-LT"/>
            </w:rPr>
            <w:tab/>
          </w:r>
          <w:r>
            <w:rPr>
              <w:rFonts w:eastAsia="Calibri"/>
              <w:sz w:val="20"/>
              <w:lang w:eastAsia="lt-LT"/>
            </w:rPr>
            <w:t xml:space="preserve">(kredito, </w:t>
          </w:r>
          <w:r>
            <w:rPr>
              <w:rFonts w:eastAsia="Calibri"/>
              <w:bCs/>
              <w:sz w:val="20"/>
              <w:lang w:eastAsia="lt-LT"/>
            </w:rPr>
            <w:t>mokėjimo ar elektroninių pinigų įstaigos</w:t>
          </w:r>
          <w:r>
            <w:rPr>
              <w:rFonts w:eastAsia="Calibri"/>
              <w:sz w:val="20"/>
              <w:lang w:eastAsia="lt-LT"/>
            </w:rPr>
            <w:t xml:space="preserve"> pavadinimas)</w:t>
          </w:r>
        </w:p>
        <w:p>
          <w:pPr>
            <w:tabs>
              <w:tab w:val="left" w:pos="0"/>
              <w:tab w:val="right" w:leader="underscore" w:pos="9638"/>
            </w:tabs>
            <w:jc w:val="both"/>
            <w:rPr>
              <w:rFonts w:eastAsia="Calibri"/>
              <w:szCs w:val="24"/>
              <w:lang w:eastAsia="lt-LT"/>
            </w:rPr>
          </w:pPr>
          <w:r>
            <w:rPr>
              <w:rFonts w:eastAsia="Calibri"/>
              <w:szCs w:val="24"/>
              <w:lang w:eastAsia="lt-LT"/>
            </w:rPr>
            <w:tab/>
            <w:t xml:space="preserve">. </w:t>
          </w:r>
        </w:p>
        <w:p>
          <w:pPr>
            <w:tabs>
              <w:tab w:val="center" w:pos="4820"/>
            </w:tabs>
            <w:ind w:firstLine="720"/>
            <w:jc w:val="both"/>
            <w:rPr>
              <w:rFonts w:eastAsia="Calibri"/>
              <w:sz w:val="20"/>
              <w:lang w:eastAsia="lt-LT"/>
            </w:rPr>
          </w:pPr>
          <w:r>
            <w:rPr>
              <w:rFonts w:eastAsia="Calibri"/>
              <w:szCs w:val="24"/>
              <w:vertAlign w:val="superscript"/>
              <w:lang w:eastAsia="lt-LT"/>
            </w:rPr>
            <w:tab/>
          </w:r>
          <w:r>
            <w:rPr>
              <w:rFonts w:eastAsia="Calibri"/>
              <w:sz w:val="20"/>
              <w:lang w:eastAsia="lt-LT"/>
            </w:rPr>
            <w:t>(gavėjas)</w:t>
          </w:r>
        </w:p>
        <w:p>
          <w:pPr>
            <w:tabs>
              <w:tab w:val="left" w:pos="993"/>
              <w:tab w:val="left" w:pos="1134"/>
              <w:tab w:val="left" w:pos="1560"/>
            </w:tabs>
            <w:ind w:left="709"/>
            <w:jc w:val="both"/>
            <w:rPr>
              <w:rFonts w:eastAsia="Calibri"/>
              <w:bCs/>
              <w:szCs w:val="24"/>
            </w:rPr>
          </w:pPr>
        </w:p>
        <w:p>
          <w:pPr>
            <w:ind w:firstLine="720"/>
            <w:jc w:val="both"/>
            <w:rPr>
              <w:color w:val="000000"/>
              <w:szCs w:val="24"/>
              <w:lang w:eastAsia="lt-LT"/>
            </w:rPr>
          </w:pPr>
          <w:r>
            <w:rPr>
              <w:color w:val="000000"/>
              <w:szCs w:val="24"/>
              <w:lang w:eastAsia="lt-LT"/>
            </w:rPr>
            <w:t>Sprendimas gali būti skundžiamas Lietuvos Respublikos </w:t>
          </w:r>
          <w:r>
            <w:rPr>
              <w:iCs/>
              <w:color w:val="000000"/>
              <w:szCs w:val="24"/>
              <w:lang w:eastAsia="lt-LT"/>
            </w:rPr>
            <w:t>mokesčių administravimo įstatymo</w:t>
          </w:r>
          <w:r>
            <w:rPr>
              <w:color w:val="000000"/>
              <w:szCs w:val="24"/>
              <w:lang w:eastAsia="lt-LT"/>
            </w:rPr>
            <w:t> IX skyriuje nustatyta tvarka Mokestinių ginčų komisijai prie Lietuvos Respublikos Vyriausybės (Vilniaus g. 27, 01402 Vilnius), skundą paduodant per Valstybinę mokesčių inspekciją prie Lietuvos Respublikos finansų ministerijos (Vasario 16-osios g. 14, 01107 Vilnius) per 20 (dvidešimt) dienų nuo šio sprendimo įteikimo mokesčių mokėtojui dienos.</w:t>
          </w:r>
        </w:p>
        <w:p>
          <w:pPr>
            <w:widowControl w:val="0"/>
            <w:tabs>
              <w:tab w:val="left" w:pos="5245"/>
              <w:tab w:val="right" w:leader="underscore" w:pos="9072"/>
            </w:tabs>
            <w:ind w:firstLine="782"/>
            <w:jc w:val="both"/>
            <w:rPr>
              <w:szCs w:val="24"/>
            </w:rPr>
          </w:pPr>
        </w:p>
        <w:p>
          <w:pPr>
            <w:widowControl w:val="0"/>
            <w:tabs>
              <w:tab w:val="left" w:pos="5245"/>
            </w:tabs>
            <w:ind w:firstLine="720"/>
            <w:jc w:val="both"/>
            <w:rPr>
              <w:color w:val="000000"/>
              <w:szCs w:val="24"/>
              <w:lang w:eastAsia="lt-LT"/>
            </w:rPr>
          </w:pPr>
          <w:r>
            <w:rPr>
              <w:szCs w:val="24"/>
            </w:rPr>
            <w:t>Sprendimas</w:t>
          </w:r>
          <w:r>
            <w:rPr>
              <w:color w:val="000000"/>
              <w:szCs w:val="24"/>
              <w:lang w:eastAsia="lt-LT"/>
            </w:rPr>
            <w:t xml:space="preserve"> pasirašomas Valstybinės mokesčių inspekcijos prie Lietuvos Respublikos finansų ministerijos viršininko arba jo įgalioto Valstybinės mokesčių inspekcijos prie Lietuvos Respublikos finansų ministerijos valstybės tarnautojo kvalifikuotu elektroniniu parašu</w:t>
          </w:r>
          <w:r>
            <w:rPr>
              <w:bCs/>
              <w:color w:val="000000"/>
              <w:szCs w:val="24"/>
              <w:lang w:eastAsia="lt-LT"/>
            </w:rPr>
            <w:t>.</w:t>
          </w:r>
        </w:p>
        <w:p>
          <w:pPr>
            <w:widowControl w:val="0"/>
            <w:tabs>
              <w:tab w:val="left" w:pos="5245"/>
            </w:tabs>
            <w:ind w:firstLine="720"/>
            <w:jc w:val="both"/>
            <w:rPr>
              <w:szCs w:val="24"/>
            </w:rPr>
          </w:pPr>
        </w:p>
        <w:p>
          <w:pPr>
            <w:widowControl w:val="0"/>
            <w:tabs>
              <w:tab w:val="center" w:pos="4560"/>
              <w:tab w:val="center" w:pos="7680"/>
            </w:tabs>
            <w:jc w:val="center"/>
            <w:rPr>
              <w:szCs w:val="24"/>
            </w:rPr>
          </w:pPr>
          <w:r>
            <w:rPr>
              <w:szCs w:val="24"/>
            </w:rPr>
            <w:t>________________________</w:t>
            <w:tab/>
            <w:tab/>
            <w:t>__________________________</w:t>
          </w:r>
        </w:p>
        <w:p>
          <w:pPr>
            <w:widowControl w:val="0"/>
            <w:tabs>
              <w:tab w:val="center" w:pos="4560"/>
              <w:tab w:val="center" w:pos="7680"/>
            </w:tabs>
            <w:ind w:firstLine="620"/>
            <w:rPr>
              <w:sz w:val="20"/>
            </w:rPr>
          </w:pPr>
          <w:r>
            <w:rPr>
              <w:sz w:val="20"/>
            </w:rPr>
            <w:t>(pareigų pavadinimas)</w:t>
          </w:r>
          <w:r>
            <w:rPr>
              <w:szCs w:val="24"/>
            </w:rPr>
            <w:tab/>
            <w:tab/>
          </w:r>
          <w:r>
            <w:rPr>
              <w:sz w:val="20"/>
            </w:rPr>
            <w:t>(vardas, pavardė)</w:t>
          </w:r>
        </w:p>
        <w:p>
          <w:pPr>
            <w:widowControl w:val="0"/>
            <w:tabs>
              <w:tab w:val="center" w:pos="4560"/>
              <w:tab w:val="center" w:pos="7680"/>
            </w:tabs>
            <w:ind w:firstLine="720"/>
            <w:jc w:val="both"/>
            <w:rPr>
              <w:szCs w:val="24"/>
            </w:rPr>
          </w:pPr>
        </w:p>
        <w:p>
          <w:pPr>
            <w:widowControl w:val="0"/>
            <w:ind w:left="2880" w:firstLine="720"/>
            <w:jc w:val="both"/>
            <w:rPr>
              <w:strike/>
              <w:szCs w:val="24"/>
            </w:rPr>
          </w:pPr>
        </w:p>
        <w:sdt>
          <w:sdtPr>
            <w:alias w:val="pabaiga"/>
            <w:tag w:val="part_10e24bca1b45459493ff403620ad2020"/>
            <w:lock w:val="sdtLocked"/>
            <w:richText/>
          </w:sdtPr>
          <w:sdtContent>
            <w:p>
              <w:pPr>
                <w:widowControl w:val="0"/>
                <w:jc w:val="center"/>
                <w:rPr>
                  <w:caps/>
                </w:rPr>
              </w:pPr>
              <w:r>
                <w:rPr>
                  <w:szCs w:val="24"/>
                </w:rPr>
                <w:t>______________</w:t>
              </w:r>
            </w:p>
          </w:sdtContent>
        </w:sdt>
      </w:sdtContent>
    </w:sdt>
    <w:sdt>
      <w:sdtPr>
        <w:alias w:val=""/>
        <w:tag w:val="part_811f8f78be8e4c5481b06c1e834e32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2011-08-13</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D49B983BAC7">
            <w:r w:rsidRPr="00532B9F">
              <w:rPr>
                <w:rFonts w:ascii="Times New Roman" w:eastAsia="MS Mincho" w:hAnsi="Times New Roman"/>
                <w:sz w:val="20"/>
                <w:i/>
                <w:iCs/>
                <w:color w:val="0000FF" w:themeColor="hyperlink"/>
                <w:u w:val="single"/>
              </w:rPr>
              <w:t>VA-94</w:t>
            </w:r>
          </w:fldSimple>
          <w:r>
            <w:rPr>
              <w:rFonts w:ascii="Times New Roman" w:eastAsia="MS Mincho" w:hAnsi="Times New Roman"/>
              <w:sz w:val="20"/>
              <w:i/>
              <w:iCs/>
            </w:rPr>
            <w:t>,
2011-08-11,
Žin. 2011,
Nr.
102-4830 (2011-08-12), i. k. 1112055ISAK000VA-94        </w:t>
          </w:r>
        </w:p>
        <w:p/>
      </w:sdtContent>
    </w:sdt>
    <w:sdt>
      <w:sdtPr>
        <w:alias w:val=""/>
        <w:tag w:val="part_39f2169d9ff34432b8172abdb45089d5"/>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13FEBA017F2">
            <w:r w:rsidRPr="00532B9F">
              <w:rPr>
                <w:rFonts w:ascii="Times New Roman" w:eastAsia="MS Mincho" w:hAnsi="Times New Roman"/>
                <w:sz w:val="20"/>
                <w:iCs/>
                <w:color w:val="0000FF" w:themeColor="hyperlink"/>
                <w:u w:val="single"/>
              </w:rPr>
              <w:t>VA-126</w:t>
            </w:r>
          </w:fldSimple>
          <w:r>
            <w:rPr>
              <w:rFonts w:ascii="Times New Roman" w:eastAsia="MS Mincho" w:hAnsi="Times New Roman"/>
              <w:sz w:val="20"/>
              <w:iCs/>
            </w:rPr>
            <w:t>,
2004-07-05,
Žin., 2004, Nr.
105-3922 (2004-07-06), i. k. 1042055ISAK00VA-126                </w:t>
          </w:r>
        </w:p>
        <w:p>
          <w:pPr>
            <w:jc w:val="both"/>
            <w:rPr>
              <w:rFonts w:ascii="Times New Roman" w:hAnsi="Times New Roman"/>
            </w:rPr>
          </w:pPr>
          <w:r>
            <w:rPr>
              <w:rFonts w:ascii="Times New Roman" w:hAnsi="Times New Roman"/>
              <w:sz w:val="20"/>
            </w:rPr>
            <w:t>Dėl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FCC1105ED5">
            <w:r w:rsidRPr="00532B9F">
              <w:rPr>
                <w:rFonts w:ascii="Times New Roman" w:eastAsia="MS Mincho" w:hAnsi="Times New Roman"/>
                <w:sz w:val="20"/>
                <w:iCs/>
                <w:color w:val="0000FF" w:themeColor="hyperlink"/>
                <w:u w:val="single"/>
              </w:rPr>
              <w:t>VA-184</w:t>
            </w:r>
          </w:fldSimple>
          <w:r>
            <w:rPr>
              <w:rFonts w:ascii="Times New Roman" w:eastAsia="MS Mincho" w:hAnsi="Times New Roman"/>
              <w:sz w:val="20"/>
              <w:iCs/>
            </w:rPr>
            <w:t>,
2004-11-30,
Žin., 2004, Nr.
179-6655 (2004-12-14), i. k. 1042055ISAK00VA-184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43932A47C8">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2006-04-11,
Žin., 2006, Nr.
47-1694 (2006-04-28), i. k. 1062055ISAK000VA-38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D49B983BAC7">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2011-08-11,
Žin., 2011, Nr.
102-4830 (2011-08-12), i. k. 1112055ISAK000VA-94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9A9BFAA8C0">
            <w:r w:rsidRPr="00532B9F">
              <w:rPr>
                <w:rFonts w:ascii="Times New Roman" w:eastAsia="MS Mincho" w:hAnsi="Times New Roman"/>
                <w:sz w:val="20"/>
                <w:iCs/>
                <w:color w:val="0000FF" w:themeColor="hyperlink"/>
                <w:u w:val="single"/>
              </w:rPr>
              <w:t>VA-28</w:t>
            </w:r>
          </w:fldSimple>
          <w:r>
            <w:rPr>
              <w:rFonts w:ascii="Times New Roman" w:eastAsia="MS Mincho" w:hAnsi="Times New Roman"/>
              <w:sz w:val="20"/>
              <w:iCs/>
            </w:rPr>
            <w:t>,
2012-02-29,
Žin., 2012, Nr.
27-1254 (2012-03-03), i. k. 1122055ISAK000VA-28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6ea2e052c811e4a698d921e3e46801">
            <w:r w:rsidRPr="00532B9F">
              <w:rPr>
                <w:rFonts w:ascii="Times New Roman" w:eastAsia="MS Mincho" w:hAnsi="Times New Roman"/>
                <w:sz w:val="20"/>
                <w:iCs/>
                <w:color w:val="0000FF" w:themeColor="hyperlink"/>
                <w:u w:val="single"/>
              </w:rPr>
              <w:t>VA-96</w:t>
            </w:r>
          </w:fldSimple>
          <w:r>
            <w:rPr>
              <w:rFonts w:ascii="Times New Roman" w:eastAsia="MS Mincho" w:hAnsi="Times New Roman"/>
              <w:sz w:val="20"/>
              <w:iCs/>
            </w:rPr>
            <w:t>,
2014-10-10,
paskelbta TAR 2014-10-13, i. k. 2014-14010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2647a0ad3211e5b12fbb7dc920ee2c">
            <w:r w:rsidRPr="00532B9F">
              <w:rPr>
                <w:rFonts w:ascii="Times New Roman" w:eastAsia="MS Mincho" w:hAnsi="Times New Roman"/>
                <w:sz w:val="20"/>
                <w:iCs/>
                <w:color w:val="0000FF" w:themeColor="hyperlink"/>
                <w:u w:val="single"/>
              </w:rPr>
              <w:t>VA-119</w:t>
            </w:r>
          </w:fldSimple>
          <w:r>
            <w:rPr>
              <w:rFonts w:ascii="Times New Roman" w:eastAsia="MS Mincho" w:hAnsi="Times New Roman"/>
              <w:sz w:val="20"/>
              <w:iCs/>
            </w:rPr>
            <w:t>,
2015-12-23,
paskelbta TAR 2015-12-28, i. k. 2015-20593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48bc00a3cf11e9b474d97de297fe08">
            <w:r w:rsidRPr="00532B9F">
              <w:rPr>
                <w:rFonts w:ascii="Times New Roman" w:eastAsia="MS Mincho" w:hAnsi="Times New Roman"/>
                <w:sz w:val="20"/>
                <w:iCs/>
                <w:color w:val="0000FF" w:themeColor="hyperlink"/>
                <w:u w:val="single"/>
              </w:rPr>
              <w:t>VA-59</w:t>
            </w:r>
          </w:fldSimple>
          <w:r>
            <w:rPr>
              <w:rFonts w:ascii="Times New Roman" w:eastAsia="MS Mincho" w:hAnsi="Times New Roman"/>
              <w:sz w:val="20"/>
              <w:iCs/>
            </w:rPr>
            <w:t>,
2019-07-11,
paskelbta TAR 2019-07-11, i. k. 2019-11481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7d383020f611eca51399bc661f78e7">
            <w:r w:rsidRPr="00532B9F">
              <w:rPr>
                <w:rFonts w:ascii="Times New Roman" w:eastAsia="MS Mincho" w:hAnsi="Times New Roman"/>
                <w:sz w:val="20"/>
                <w:iCs/>
                <w:color w:val="0000FF" w:themeColor="hyperlink"/>
                <w:u w:val="single"/>
              </w:rPr>
              <w:t>VA-56</w:t>
            </w:r>
          </w:fldSimple>
          <w:r>
            <w:rPr>
              <w:rFonts w:ascii="Times New Roman" w:eastAsia="MS Mincho" w:hAnsi="Times New Roman"/>
              <w:sz w:val="20"/>
              <w:iCs/>
            </w:rPr>
            <w:t>,
2021-09-29,
paskelbta TAR 2021-09-29, i. k. 2021-20307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4827c0933111eea5a28c81c82193a8">
            <w:r w:rsidRPr="00532B9F">
              <w:rPr>
                <w:rFonts w:ascii="Times New Roman" w:eastAsia="MS Mincho" w:hAnsi="Times New Roman"/>
                <w:sz w:val="20"/>
                <w:iCs/>
                <w:color w:val="0000FF" w:themeColor="hyperlink"/>
                <w:u w:val="single"/>
              </w:rPr>
              <w:t>VA-90</w:t>
            </w:r>
          </w:fldSimple>
          <w:r>
            <w:rPr>
              <w:rFonts w:ascii="Times New Roman" w:eastAsia="MS Mincho" w:hAnsi="Times New Roman"/>
              <w:sz w:val="20"/>
              <w:iCs/>
            </w:rPr>
            <w:t>,
2023-12-05,
paskelbta TAR 2023-12-05, i. k. 2023-23488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22aa71dfb211ef84c3a3cb4f439b27">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2025-01-31,
paskelbta TAR 2025-01-31, i. k. 2025-01476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rugpjūčio 30 d. įsakymo Nr. 255 „Dėl akcizų grąžinimo“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6</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26"/>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CE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2BA18"/>
  <w15:docId w15:val="{9C1950B5-D261-478C-B28D-83920E0166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58d0105a45f4d2095460da3276cbf4c" PartId="03654d0a075643189e7fe48069af33e7">
    <Part Type="preambule" DocPartId="bea4fe5758ae400689ea80dade7b6202" PartId="d216a5fe876c49b2b0e1663bfb48ea01"/>
    <Part Type="pastraipa" DocPartId="3739e7f651f44588872e6c8bb3aa957f" PartId="c1bd13d5ecc146ffbfd3fa70cc4813a3"/>
    <Part Type="signatura" DocPartId="866ffdf7bf384328968289527b952cad" PartId="842552b4597940999ec793a550c445d6"/>
  </Part>
  <Part Type="patvirtinta" Title="AKCIZŲ GRĄŽINIMO UŽSIENIO ŠALIŲ DIPLOMATINĖMS ATSTOVYBĖMS IR KONSULINĖMS ĮSTAIGOMS TAISYKLĖS" DocPartId="185677bea2064ad9a393083bfad6c9a3" PartId="d844c4bfa16b4764aa8d813bcb3eb373"/>
  <Part Type="patvirtinta" Title="PARAIŠKOS FR0399 FORMOS PILDYMO TAISYKLĖS" DocPartId="b6c0fc165c3548b8a6e43d8daa6e959f" PartId="bd2923d11a8b4c38a0966e53ca7fb40a"/>
  <Part Type="forma" Nr="" Abbr="" Title="" DocPartId="b3ba101108f644a78fe4d13abf4b1f45" PartId="4fa5839de43f49a2bc18816c770df4fe"/>
  <Part Type="patvirtinta" Title="AKCIZŲ GRĄŽINIMO TAISYKLĖS" DocPartId="6acc565ada1f4592b5e4628ec1c47ae5" PartId="76e58437b1924d699b51fc14cb1842d8">
    <Part Type="skyrius" Nr="1" Title="BENDROSIOS NUOSTATOS" DocPartId="65c68df41cb4430c9807c043500ad564" PartId="c937ac85216343298e5c38df36393c32">
      <Part Type="punktas" Nr="1" Abbr="1 p." DocPartId="ed5d564d2bfa47e2b64cb21d92efba79" PartId="c5616fbad60a4f4f8a56c439f31f5eb6">
        <Part Type="papunktis" Nr="1.1" Abbr="1.1 pp." DocPartId="ea41add656db4064b990eb9335fdbed5" PartId="b88d86af6cc849dd82977c42e721df75"/>
        <Part Type="papunktis" Nr="1.2" Abbr="1.2 pp." DocPartId="af29c51d5b5a460eb4730cef2df1cc56" PartId="605785537ea54e7781ac66e79bef86f6"/>
        <Part Type="papunktis" Nr="1.3" Abbr="1.3 pp." DocPartId="1aaad5ce4e0c4f2ebc62fcf6cb837e59" PartId="3f59cbb7ea774331825da89ec03a0032"/>
        <Part Type="papunktis" Nr="1.4" Abbr="1.4 pp." DocPartId="eef25f4cf9d643699bb06f930ac341a7" PartId="09466492064c4545974b29af77be3428"/>
        <Part Type="papunktis" Nr="1.5" Abbr="1.5 pp." DocPartId="868b45e2e9c34884893c676baf3dec51" PartId="323c233f9cda46d7abc5e3b3170142b6"/>
        <Part Type="papunktis" Nr="1.6" Abbr="1.6 pp." DocPartId="02aae31094b74b94a304de94363cb4f1" PartId="98cedaccbde7462587dc268855b3e6f1"/>
        <Part Type="papunktis" Nr="1.7" Abbr="1.7 pp." DocPartId="9911139bf76f440fab375e2fb34adc94" PartId="892664d7d508481bac454209d2e66a56"/>
        <Part Type="papunktis" Nr="1.8" Abbr="1.8 pp." DocPartId="323bc53574904f94927adef9faa60e5f" PartId="0c7e3fbe10a64008a3036d19f98d929e"/>
        <Part Type="papunktis" Nr="1.9" Abbr="1.9 pp." DocPartId="371a0f90408f42ff986494dd6fd26168" PartId="188d558e54894fcf9887a388201689ed"/>
      </Part>
      <Part Type="punktas" Nr="1-1" Abbr="1-1 p." DocPartId="8ff5c2d121594f1d97d07876a14b80c3" PartId="940558745ac34e2f926d7e56bd621afb"/>
      <Part Type="punktas" Nr="2" Abbr="2 p." DocPartId="c032c494df4941e381f47b9a931dd7a7" PartId="b0f6cd90deb9409f920bc379b472ca83">
        <Part Type="papunktis" Nr="2.1" Abbr="2.1 pp." DocPartId="9c9ccfba9f2f4df7873884baa29fae7d" PartId="ab99e773a7614af89e25835062fff5ba"/>
        <Part Type="papunktis" Nr="2.2" Abbr="2.2 pp." DocPartId="d96f6e5d288749b383bdb78b28505b0f" PartId="2bcdc237b48f4e94b826a9df7cd4ccec"/>
        <Part Type="papunktis" Nr="2.3" Abbr="2.3 pp." DocPartId="d077ffb069aa4d46a8dc0095efe76ee7" PartId="215e2e70f47d44a4b055552493300afe"/>
      </Part>
      <Part Type="punktas" Nr="3" Abbr="3 p." DocPartId="e3557122920b4ad0861393afcbed1a8c" PartId="0dbd79e9bfdf47d3bfa30af5a6c89454"/>
      <Part Type="punktas" Nr="4" Abbr="4 p." DocPartId="86f41861f3a7484e91962e0cd6a6621c" PartId="5c7f0cd8f4874d039d800257e414b306">
        <Part Type="papunktis" Nr="4.1" Abbr="4.1 pp." DocPartId="da23fdc1cca142f2b68558ae72c76e0a" PartId="d50edd9d7472489eb5d8d88af68034a8"/>
        <Part Type="papunktis" Nr="4.2" Abbr="4.2 pp." DocPartId="af403f59cf1f42b4b6a2914fc9294800" PartId="d91423a3ab624f11bc2ea535f5d35077"/>
      </Part>
      <Part Type="punktas" Nr="5" Abbr="5 p." DocPartId="f8363a087c114a7290e3dd25b69e56cf" PartId="7bb4c2439f334ed7bd80252d30aad83d"/>
      <Part Type="punktas" Nr="6" Abbr="6 p." DocPartId="435331e10c30492e8ab8e4bc42418015" PartId="104f6e7f8df1492ba58ceeb86251b6ca"/>
      <Part Type="punktas" Nr="7" Abbr="7 p." DocPartId="92e97a4e4bcd4fd5b9943eeda5d1a070" PartId="a8bfbd57bc6747a4a25fd2da48f9530c"/>
      <Part Type="punktas" Nr="8" Abbr="8 p." DocPartId="dcdf42ea90ad44d3b0b03b3ddb353f44" PartId="befafe00827c4e3380c66b26233d7c33"/>
    </Part>
    <Part Type="skyrius" Nr="2" Title="PRAŠYMO UŽPILDYMO TVARKA IR KARTU TEIKIAMI DOKUMENTAI" DocPartId="40e5446ddb784000bf16b06f1fe507b1" PartId="d8653506432e44108b5fac6a5c202eb4">
      <Part Type="punktas" Nr="9" Abbr="9 p." DocPartId="4fdf367feb4d4db5be161ee6123c83f2" PartId="d2c02d136ec54003a15fab841bf56816">
        <Part Type="papunktis" Nr="9.1" Abbr="9.1 pp." DocPartId="13ba196a5c5645819d78fc19bbc8b275" PartId="93f7fe880c06455c90e828ee3fdd5881"/>
        <Part Type="papunktis" Nr="9.2" Abbr="9.2 pp." DocPartId="d5faa7a16d934e2dbf16ef26553c039f" PartId="50fa621d289d43448e39519598c83da8"/>
        <Part Type="papunktis" Nr="9.3" Abbr="9.3 pp." DocPartId="cef50c6b41c24bf7843d2b3b63faca61" PartId="88da117611b748ed9c11884d48e7daac"/>
        <Part Type="papunktis" Nr="9.4" Abbr="9.4 pp." DocPartId="809fd6a11b3349adb3e71c27b4ddad72" PartId="3c747275586c492580f61e848ae46171"/>
        <Part Type="papunktis" Nr="9.5" Abbr="9.5 pp." DocPartId="81160facf1c94a2fb6a02710e1664005" PartId="16e7b0b34bf34c928076c764471dd9a4"/>
        <Part Type="papunktis" Nr="9.6" Abbr="9.6 pp." DocPartId="eec47f05a7b343a9820588ed6429804d" PartId="289faf858e91432ba8814284df65b1ac"/>
        <Part Type="papunktis" Nr="9.7" Abbr="9.7 pp." DocPartId="ab249a2af7604b4fb4f412584ca3d46d" PartId="52ad88163f874a8b87050bb46af04f09">
          <Part Type="papunktis" Nr="9.7.1" Abbr="9.7.1 pp." DocPartId="0282cdad2dc6461c93b2942dc48a2c6b" PartId="7c48b4a097964838865af3376a8801e9"/>
          <Part Type="papunktis" Nr="9.7.2" Abbr="9.7.2 pp." DocPartId="986ca66ce3214859ae477f570e6706fc" PartId="edecd1ae1328483b83dcb73c0150dd64"/>
          <Part Type="papunktis" Nr="9.7.3" Abbr="9.7.3 pp." DocPartId="265646fd23694ff5858fa98ca036f650" PartId="d85eaece98dc4533a2fc0a2bb5ec7ba7"/>
        </Part>
        <Part Type="papunktis" Nr="9.8" Abbr="9.8 pp." DocPartId="f8664ca2fab345d6b08085797b0a5e87" PartId="de14e7e63fd34352b6561e18a2f9de4f">
          <Part Type="papunktis" Nr="9.8.1" Abbr="9.8.1 pp." DocPartId="bb1bcd2096c145969446a1f5fd800502" PartId="b96c2125aa44449281eaadb25dde198c"/>
          <Part Type="papunktis" Nr="9.8.2" Abbr="9.8.2 pp." DocPartId="2e9b647195a544f0b0046f0f3f705b2e" PartId="caeedfdf21fb4b638e271d6c81f56b92"/>
          <Part Type="papunktis" Nr="9.8.3" Abbr="9.8.3 pp." DocPartId="a049c150b0714210b5195af6947007c1" PartId="8f5064ce0b1540db9bf15fcbff1eee48"/>
        </Part>
      </Part>
      <Part Type="punktas" Nr="10" Abbr="10 p." DocPartId="f679f95db8c547658bf53b1dbe2bf5ba" PartId="cee8573e7d144d76ad59b262e3cd70de">
        <Part Type="papunktis" Nr="10.1" Abbr="10.1 pp." DocPartId="8c886fd18bab49019137a88840b9762c" PartId="cd03f2dec2d045208749db0137d4e075"/>
        <Part Type="papunktis" Nr="10.2" Abbr="10.2 pp." DocPartId="d473e15a166e4cdea5cf2bd61deda161" PartId="ab83c4533b3649ccbe4a691149224c16">
          <Part Type="papunktis" Nr="10.2.1" Abbr="10.2.1 pp." DocPartId="15124434c08e407391ffb3a4ddaf48b1" PartId="31e936a7648542fe8a340818ac7b654b"/>
          <Part Type="papunktis" Nr="10.2.2" Abbr="10.2.2 pp." DocPartId="014634c9caa04be1a303b8d58babe8aa" PartId="5156ceb07a0840c2871d00ce264df18d"/>
          <Part Type="papunktis" Nr="10.2.3" Abbr="10.2.3 pp." DocPartId="2e5ad3165205423d95076786331f3104" PartId="4827aed6176841caa8f45fe6a330aec8"/>
          <Part Type="papunktis" Nr="10.2.4" Abbr="10.2.4 pp." DocPartId="b4b6438747254f5d87ee4982b6077a28" PartId="c589dbd9058b49dd84f065d0620f2b25"/>
          <Part Type="papunktis" Nr="10.2.5" Abbr="10.2.5 pp." DocPartId="68c684cc77e442259ddb23d69a86be25" PartId="3f927759c3eb4254aa1c34c32032915b"/>
          <Part Type="papunktis" Nr="10.2.6" Abbr="10.2.6 pp." DocPartId="4575762533af4060b130ca7123bd999e" PartId="5bbce1527f404338bb70083f2700c18c"/>
          <Part Type="papunktis" Nr="10.2.7" Abbr="10.2.7 pp." DocPartId="6e3102cce60c464d8e005f0d9af3ebba" PartId="1441b875c53b4c1d9ddbf05ea88cccf5"/>
          <Part Type="papunktis" Nr="10.2.8" Abbr="10.2.8 pp." DocPartId="82e527f9ef734fd1b08d64bc88e565af" PartId="0f0e615e5fbd46a19b64c648a08d5779"/>
        </Part>
      </Part>
      <Part Type="punktas" Nr="11" Abbr="11 p." DocPartId="23b536df02e244b09866e6a730da1c71" PartId="da086d692a2d48cbb5e7f1609e72e3cc">
        <Part Type="papunktis" Nr="11.1" Abbr="11.1 pp." DocPartId="88ccc3c9600746daae2087394fbb5a69" PartId="219e7bfe12294338bb5f318da23a9d98"/>
        <Part Type="papunktis" Nr="11.2" Abbr="11.2 pp." DocPartId="1ca22c2f0dc14d98ab7d34108b1a07c0" PartId="2e35635e2d4d4d2ca1837b2523dbe4a6"/>
        <Part Type="papunktis" Nr="11.3" Abbr="11.3 pp." DocPartId="7efbdcaba8ad4ee1a37d7774aae3d3f6" PartId="7b329017eea64a0ca49fd6e3c1d6c009"/>
        <Part Type="papunktis" Nr="11.4" Abbr="11.4 pp." DocPartId="6a700e7c245a4805a2516fe54a0283ae" PartId="8fdc98682c064e649a063097b63b5d52"/>
        <Part Type="papunktis" Nr="11.5" Abbr="11.5 pp." DocPartId="099e4f7cc40646ffbe8fd11f3b01fc3f" PartId="ba67890046a3429aa4c548204eead47f"/>
        <Part Type="papunktis" Nr="11.6" Abbr="11.6 pp." DocPartId="2418fd1f960542ca90fa5be6dcdf0d60" PartId="e6aaf1d20c594225bfc3696a8366c20f"/>
        <Part Type="papunktis" Nr="11.7" Abbr="11.7 pp." DocPartId="2367dc4d8cf14075bcc9b6e108e1ca9f" PartId="7bd1868298b140b594ff450b187800be"/>
        <Part Type="papunktis" Nr="11.8" Abbr="11.8 pp." DocPartId="f006197d743142678556915c032aaca1" PartId="1525569273414de0937c2889bbb75500"/>
        <Part Type="papunktis" Nr="11.9" Abbr="11.9 pp." DocPartId="6c6fe09f69584c3f8cfb6367ee4ebffa" PartId="dc7dfc93ca7e495199056dcfa8287251"/>
      </Part>
      <Part Type="punktas" Nr="12" Abbr="12 p." DocPartId="b41e7c343d9847d3a11f6ba69ebef725" PartId="096a3c158ad446fe9cf3b9824888bc4d"/>
    </Part>
    <Part Type="skyrius" Nr="3" Title="PRAŠYMŲ NAGRINĖJIMAS" DocPartId="8e9521edf11e4ee38edb2f4728367bf2" PartId="313e0879fa7340afbe9a354b2afeab82">
      <Part Type="punktas" Nr="13" Abbr="13 p." DocPartId="b6526ce7d0534b7092e70bb874eec501" PartId="28268a5f68824dc4b1f5f4296b0b9dc1">
        <Part Type="papunktis" Nr="13.1" Abbr="13.1 pp." DocPartId="df0dbfe418f54ba3a4ac2179095d7005" PartId="144e9f44eee541149d5583356343d050"/>
        <Part Type="papunktis" Nr="13.2" Abbr="13.2 pp." DocPartId="684a06845ea544e1a10bac542a51dc88" PartId="801cec115eca4749b62078de5bc6cc82"/>
      </Part>
      <Part Type="punktas" Nr="14" Abbr="14 p." DocPartId="0a8629c3f3af4351b185ed0fc41ddd1b" PartId="c0a65389a4e24ab0907a736f10821dd0"/>
      <Part Type="punktas" Nr="15" Abbr="15 p." DocPartId="b1a20d0313cf4df7b1bcfa310f33f9d5" PartId="b8fbf0a5b68b41d89f919ef737e4de87">
        <Part Type="papunktis" Nr="15.1" Abbr="15.1 pp." DocPartId="025300ee494e4a11b4c0a138863bbb8c" PartId="12ead8bffc09488486168235d7f87bc1"/>
        <Part Type="papunktis" Nr="15.2" Abbr="15.2 pp." DocPartId="fdbd5a10cc114a1c82de105b1f3c758f" PartId="e92ccc63e5344da1a2100a6b323321b9"/>
        <Part Type="papunktis" Nr="15.3" Abbr="15.3 pp." DocPartId="5d7159e7142d45989008db108725b69b" PartId="3e64a59b7ec14167b9a2c5fd2d3a9d0c"/>
      </Part>
      <Part Type="punktas" Nr="16" Abbr="16 p." DocPartId="fa9de5b3a42b4ed68a3c043c73f7f3db" PartId="9bfcfc8fe2df4a99a7a6c7829df0f4b7"/>
      <Part Type="punktas" Nr="17" Abbr="17 p." DocPartId="eb719165775548b68bf9148d1a1f7c9c" PartId="ba77c3e77d134a36a1de1ed2315ad132">
        <Part Type="papunktis" Nr="17.1" Abbr="17.1 pp." DocPartId="0ada42aae1c04b61bb09f2b00cac53ef" PartId="c0b0b6fcafda49e9aef0a7474be2f1b7"/>
        <Part Type="papunktis" Nr="17.2" Abbr="17.2 pp." DocPartId="a68e1ff20ce34c1b976414c808a09adb" PartId="3f102289865b413bb0e316b55545823d"/>
        <Part Type="papunktis" Nr="17.3" Abbr="17.3 pp." DocPartId="6b2c62e4102e4b438095fadbfd90ccb6" PartId="bcde41c058bd463aa6825e56146ceeb7"/>
        <Part Type="papunktis" Nr="17.4" Abbr="17.4 pp." DocPartId="61802eb1ebef4937b49b858d5a7f6cea" PartId="dbb6af5755774a219d45dcb724f95851"/>
        <Part Type="papunktis" Nr="17.5" Abbr="17.5 pp." DocPartId="3191e4df94b1429a96c4354f6a7afd25" PartId="cb2b1b4d363e4bc6b118d30b412b2713"/>
      </Part>
      <Part Type="punktas" Nr="18" Abbr="18 p." DocPartId="a1b59048afcc4af59448e14867a5f420" PartId="6b64792d3dd24e9e914ff5f6f6965d9b"/>
      <Part Type="punktas" Nr="19" Abbr="19 p." DocPartId="339e8559f43e47edbd7dd51a4a410233" PartId="381a423948974313a3e64fcd6260f847"/>
      <Part Type="punktas" Nr="20" Abbr="20 p." DocPartId="7fe240929cf14c00919876d3396dd19e" PartId="50e1849728984cb1baee7c372948ee29"/>
    </Part>
    <Part Type="skyrius" Nr="4" Title="BAIGIAMOSIOS NUOSTATOS" DocPartId="2fb7f65e55784844ae3f15280e2b351b" PartId="c07e8943b5b7431b8188fdab62eee5ad">
      <Part Type="punktas" Nr="21" Abbr="21 p." DocPartId="25ed97da90e84e62a8d019e7f0c72b07" PartId="f622d5d2ad7145c98bd6d9a5906a37ed"/>
      <Part Type="punktas" Nr="22" Abbr="22 p." DocPartId="50f0238b863b47fcb1aa9a45ef18b8d4" PartId="17c03216c73948c9a85472f36ea1ea11"/>
    </Part>
    <Part Type="pabaiga" DocPartId="2673bada54094397be9f73b02b56e738" PartId="031130bb2ff041ba9d16553b134da9eb"/>
  </Part>
  <Part Type="priedas" Abbr="pr." Title="(Sprendimo grąžinti / įskaityti akcizus formos pavyzdys)" DocPartId="2c30e8624bb54c3cac2cc7f9dee7cb63" PartId="226fe7fac70240b1a35011869b540415">
    <Part Type="pabaiga" DocPartId="c0f466a321374c2e89f96d7071fad2c1" PartId="10e24bca1b45459493ff403620ad2020"/>
  </Part>
  <Part Type="forma" Nr="" Abbr="" Title="" DocPartId="aa8251017a4c4d41a2649ef783e0bdb9" PartId="811f8f78be8e4c5481b06c1e834e320d"/>
  <Part Type="forma" Nr="" Abbr="" Title="" DocPartId="5f3211a26c81496c99f314c556352797" PartId="39f2169d9ff34432b8172abdb45089d5"/>
</Parts>
</file>

<file path=customXml/itemProps1.xml><?xml version="1.0" encoding="utf-8"?>
<ds:datastoreItem xmlns:ds="http://schemas.openxmlformats.org/officeDocument/2006/customXml" ds:itemID="{EACDFAF3-9419-4D07-804A-EE17C5AB2C1E}">
  <ds:schemaRefs>
    <ds:schemaRef ds:uri="http://lrs.lt/TAIS/DocParts"/>
  </ds:schemaRefs>
</ds:datastoreItem>
</file>

<file path=docProps/app.xml><?xml version="1.0" encoding="utf-8"?>
<Properties xmlns="http://schemas.openxmlformats.org/officeDocument/2006/extended-properties">
  <Template>Normal.dotm</Template>
  <TotalTime>42</TotalTime>
  <Pages>10</Pages>
  <Words>19480</Words>
  <Characters>11105</Characters>
  <Application>Microsoft Office Word</Application>
  <DocSecurity>0</DocSecurity>
  <Lines>92</Lines>
  <Paragraphs>61</Paragraphs>
  <ScaleCrop>false</ScaleCrop>
  <Company/>
  <LinksUpToDate>false</LinksUpToDate>
  <CharactersWithSpaces>30524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2015-09-16T19:45:00Z</dcterms:created>
  <dc:creator>Win2003Stdx32</dc:creator>
  <lastModifiedBy>GUMBYTĖ Danguolė</lastModifiedBy>
  <dcterms:modified xsi:type="dcterms:W3CDTF">2025-02-03T13:52:00Z</dcterms:modified>
  <revision>18</revision>
</coreProperties>
</file>