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2023-01-01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70edf75b56864265be1484bd5ad0a783"/>
                    <w:lock w:val="sdtLocked"/>
                    <w:richText/>
                  </w:sdtPr>
                  <w:sdtContent>
                    <w:p>
                      <w:pPr>
                        <w:ind w:firstLine="720"/>
                        <w:jc w:val="both"/>
                        <w:rPr>
                          <w:szCs w:val="24"/>
                        </w:rPr>
                      </w:pPr>
                      <w:sdt>
                        <w:sdtPr>
                          <w:alias w:val="Numeris"/>
                          <w:tag w:val="nr_70edf75b56864265be1484bd5ad0a783"/>
                          <w:lock w:val="sdtLocked"/>
                          <w:richText/>
                        </w:sdtPr>
                        <w:sdtContent>
                          <w:r>
                            <w:rPr>
                              <w:szCs w:val="24"/>
                            </w:rPr>
                            <w:t>2</w:t>
                          </w:r>
                        </w:sdtContent>
                      </w:sdt>
                      <w:r>
                        <w:rPr>
                          <w:szCs w:val="24"/>
                        </w:rPr>
                        <w:t>. Valstybinės reikšmės keliai išimtine nuosavybės teise priklauso valstybei. Juos turto patikėjimo teise valdo, naudoja ir jais disponuoja valstybės įmonė Lietuvos automobilių kelių direkcija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b8e1c345dd0246ff96829f770f54f51a"/>
                    <w:lock w:val="sdtLocked"/>
                    <w:richText/>
                  </w:sdtPr>
                  <w:sdtContent>
                    <w:p>
                      <w:pPr>
                        <w:suppressAutoHyphens/>
                        <w:ind w:firstLine="720"/>
                        <w:jc w:val="both"/>
                        <w:textAlignment w:val="baseline"/>
                      </w:pPr>
                      <w:sdt>
                        <w:sdtPr>
                          <w:alias w:val="Numeris"/>
                          <w:tag w:val="nr_b8e1c345dd0246ff96829f770f54f51a"/>
                          <w:lock w:val="sdtLocked"/>
                          <w:richText/>
                        </w:sdtPr>
                        <w:sdtContent>
                          <w:r>
                            <w:rPr>
                              <w:color w:val="000000"/>
                              <w:szCs w:val="24"/>
                            </w:rPr>
                            <w:t>4</w:t>
                          </w:r>
                        </w:sdtContent>
                      </w:sdt>
                      <w:r>
                        <w:rPr>
                          <w:color w:val="000000"/>
                          <w:szCs w:val="24"/>
                        </w:rPr>
                        <w:t>.</w:t>
                      </w:r>
                      <w:r>
                        <w:rPr>
                          <w:szCs w:val="24"/>
                        </w:rPr>
                        <w:t xml:space="preserve"> </w:t>
                      </w:r>
                      <w:r>
                        <w:rPr>
                          <w:color w:val="000000"/>
                          <w:szCs w:val="24"/>
                        </w:rPr>
                        <w:t>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valstybės įmonei Lietuvos automobilių kelių direkcijai ir įrašomas į valstybinės reikšmės kelių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61a2faca9fd24247b439ee218095dba1"/>
                    <w:lock w:val="sdtLocked"/>
                    <w:richText/>
                  </w:sdtPr>
                  <w:sdtContent>
                    <w:p>
                      <w:pPr>
                        <w:ind w:firstLine="720"/>
                        <w:jc w:val="both"/>
                        <w:rPr>
                          <w:szCs w:val="22"/>
                        </w:rPr>
                      </w:pPr>
                      <w:sdt>
                        <w:sdtPr>
                          <w:alias w:val="Numeris"/>
                          <w:tag w:val="nr_61a2faca9fd24247b439ee218095dba1"/>
                          <w:lock w:val="sdtLocked"/>
                          <w:richText/>
                        </w:sdtPr>
                        <w:sdtContent>
                          <w:r>
                            <w:rPr>
                              <w:szCs w:val="22"/>
                            </w:rPr>
                            <w:t>3</w:t>
                          </w:r>
                        </w:sdtContent>
                      </w:sdt>
                      <w:r>
                        <w:rPr>
                          <w:szCs w:val="22"/>
                        </w:rPr>
                        <w:t>. Valstybės įmonė Lietuvos automobilių kelių direkcija organizuoja ir koordinuoja valstybinės reikšmės kelių atkūrimą, priežiūrą ir plėtrą, taip pat:</w:t>
                      </w:r>
                    </w:p>
                    <w:sdt>
                      <w:sdtPr>
                        <w:alias w:val="5 str. 3 d. 1 p."/>
                        <w:tag w:val="part_20ea4a52b8ce4a2180ea527297eb8df7"/>
                        <w:lock w:val="sdtLocked"/>
                        <w:richText/>
                      </w:sdtPr>
                      <w:sdtContent>
                        <w:p>
                          <w:pPr>
                            <w:ind w:firstLine="720"/>
                            <w:jc w:val="both"/>
                            <w:rPr>
                              <w:szCs w:val="22"/>
                            </w:rPr>
                          </w:pPr>
                          <w:sdt>
                            <w:sdtPr>
                              <w:alias w:val="Numeris"/>
                              <w:tag w:val="nr_20ea4a52b8ce4a2180ea527297eb8df7"/>
                              <w:lock w:val="sdtLocked"/>
                              <w:richText/>
                            </w:sdtPr>
                            <w:sdtContent>
                              <w:r>
                                <w:rPr>
                                  <w:szCs w:val="22"/>
                                </w:rPr>
                                <w:t>1</w:t>
                              </w:r>
                            </w:sdtContent>
                          </w:sdt>
                          <w:r>
                            <w:rPr>
                              <w:szCs w:val="22"/>
                            </w:rPr>
                            <w:t>) atlieka valstybinės reikšmės kelių projektavimo, tiesimo, statybos, rekonstravimo, taisymo (remonto) ir priežiūros darbų užsakovo funkcijas;</w:t>
                          </w:r>
                        </w:p>
                      </w:sdtContent>
                    </w:sdt>
                    <w:sdt>
                      <w:sdtPr>
                        <w:alias w:val="5 str. 3 d. 2 p."/>
                        <w:tag w:val="part_6d359b2d3f004f83990a59f623b56b6b"/>
                        <w:lock w:val="sdtLocked"/>
                        <w:richText/>
                      </w:sdtPr>
                      <w:sdtContent>
                        <w:p>
                          <w:pPr>
                            <w:ind w:firstLine="720"/>
                            <w:jc w:val="both"/>
                            <w:rPr>
                              <w:szCs w:val="22"/>
                            </w:rPr>
                          </w:pPr>
                          <w:sdt>
                            <w:sdtPr>
                              <w:alias w:val="Numeris"/>
                              <w:tag w:val="nr_6d359b2d3f004f83990a59f623b56b6b"/>
                              <w:lock w:val="sdtLocked"/>
                              <w:richText/>
                            </w:sdtPr>
                            <w:sdtContent>
                              <w:r>
                                <w:rPr>
                                  <w:szCs w:val="22"/>
                                </w:rPr>
                                <w:t>2</w:t>
                              </w:r>
                            </w:sdtContent>
                          </w:sdt>
                          <w:r>
                            <w:rPr>
                              <w:szCs w:val="22"/>
                            </w:rPr>
                            <w:t>) atlieka valstybinės reikšmės kelių būklės ir eismo tyrimus;</w:t>
                          </w:r>
                        </w:p>
                      </w:sdtContent>
                    </w:sdt>
                    <w:sdt>
                      <w:sdtPr>
                        <w:alias w:val="5 str. 3 d. 3 p."/>
                        <w:tag w:val="part_639887e0527040da93f1ecc7e02729b3"/>
                        <w:lock w:val="sdtLocked"/>
                        <w:richText/>
                      </w:sdtPr>
                      <w:sdtContent>
                        <w:p>
                          <w:pPr>
                            <w:ind w:firstLine="720"/>
                            <w:jc w:val="both"/>
                            <w:rPr>
                              <w:szCs w:val="22"/>
                            </w:rPr>
                          </w:pPr>
                          <w:sdt>
                            <w:sdtPr>
                              <w:alias w:val="Numeris"/>
                              <w:tag w:val="nr_639887e0527040da93f1ecc7e02729b3"/>
                              <w:lock w:val="sdtLocked"/>
                              <w:richText/>
                            </w:sdtPr>
                            <w:sdtContent>
                              <w:r>
                                <w:rPr>
                                  <w:szCs w:val="22"/>
                                </w:rPr>
                                <w:t>3</w:t>
                              </w:r>
                            </w:sdtContent>
                          </w:sdt>
                          <w:r>
                            <w:rPr>
                              <w:szCs w:val="22"/>
                            </w:rPr>
                            <w:t>) tvarko ir analizuoja duomenis apie valstybinės reikšmės kelius;</w:t>
                          </w:r>
                        </w:p>
                      </w:sdtContent>
                    </w:sdt>
                    <w:sdt>
                      <w:sdtPr>
                        <w:alias w:val="5 str. 3 d. 4 p."/>
                        <w:tag w:val="part_e8ce99b41f79452880ddb0debfe1241f"/>
                        <w:lock w:val="sdtLocked"/>
                        <w:richText/>
                      </w:sdtPr>
                      <w:sdtContent>
                        <w:p>
                          <w:pPr>
                            <w:ind w:firstLine="720"/>
                            <w:jc w:val="both"/>
                            <w:rPr>
                              <w:szCs w:val="22"/>
                            </w:rPr>
                          </w:pPr>
                          <w:sdt>
                            <w:sdtPr>
                              <w:alias w:val="Numeris"/>
                              <w:tag w:val="nr_e8ce99b41f79452880ddb0debfe1241f"/>
                              <w:lock w:val="sdtLocked"/>
                              <w:richText/>
                            </w:sdtPr>
                            <w:sdtContent>
                              <w:r>
                                <w:rPr>
                                  <w:szCs w:val="22"/>
                                </w:rPr>
                                <w:t>4</w:t>
                              </w:r>
                            </w:sdtContent>
                          </w:sdt>
                          <w:r>
                            <w:rPr>
                              <w:szCs w:val="22"/>
                            </w:rPr>
                            <w:t>) teikia Susisiekimo ministerijai pasiūlymus dėl valstybinės reikšmės kelių tinklo plėtros, modernizavimo ir priežiūros užtikrinimo programų rengimo;</w:t>
                          </w:r>
                        </w:p>
                      </w:sdtContent>
                    </w:sdt>
                    <w:sdt>
                      <w:sdtPr>
                        <w:alias w:val="5 str. 3 d. 5 p."/>
                        <w:tag w:val="part_c8cebf156df841f9bf511098705dd004"/>
                        <w:lock w:val="sdtLocked"/>
                        <w:richText/>
                      </w:sdtPr>
                      <w:sdtContent>
                        <w:p>
                          <w:pPr>
                            <w:ind w:firstLine="720"/>
                            <w:jc w:val="both"/>
                            <w:rPr>
                              <w:szCs w:val="22"/>
                            </w:rPr>
                          </w:pPr>
                          <w:sdt>
                            <w:sdtPr>
                              <w:alias w:val="Numeris"/>
                              <w:tag w:val="nr_c8cebf156df841f9bf511098705dd004"/>
                              <w:lock w:val="sdtLocked"/>
                              <w:richText/>
                            </w:sdtPr>
                            <w:sdtContent>
                              <w:r>
                                <w:rPr>
                                  <w:bCs/>
                                  <w:color w:val="000000"/>
                                  <w:szCs w:val="24"/>
                                  <w:lang w:eastAsia="lt-LT"/>
                                </w:rPr>
                                <w:t>5</w:t>
                              </w:r>
                            </w:sdtContent>
                          </w:sdt>
                          <w:r>
                            <w:rPr>
                              <w:bCs/>
                              <w:color w:val="000000"/>
                              <w:szCs w:val="24"/>
                              <w:lang w:eastAsia="lt-LT"/>
                            </w:rPr>
                            <w:t xml:space="preserve">) </w:t>
                          </w:r>
                          <w:r>
                            <w:rPr>
                              <w:color w:val="000000"/>
                            </w:rPr>
                            <w:t>atlieka planuojamų valstybinės reikšmės kelių</w:t>
                          </w:r>
                          <w:r>
                            <w:rPr>
                              <w:b/>
                              <w:bCs/>
                              <w:color w:val="000000"/>
                            </w:rPr>
                            <w:t xml:space="preserve"> </w:t>
                          </w:r>
                          <w:r>
                            <w:rPr>
                              <w:color w:val="000000"/>
                            </w:rPr>
                            <w:t xml:space="preserve">tiesimo, statybos ir rekonstrukcijos projektų analizę, Lietuvos Respublikos Vyriausybės nustatytais atvejais ir jos nustatyta tvarka pasirenka geriausią projekto įgyvendinimo galimybę </w:t>
                          </w:r>
                          <w:r>
                            <w:t>ir šio pasirinkimo rezultatus paskelbia savo interneto svetainėje</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3a1f0b02911ec8d9390588bf2de65">
                            <w:r w:rsidRPr="00532B9F">
                              <w:rPr>
                                <w:rFonts w:ascii="Times New Roman" w:eastAsia="MS Mincho" w:hAnsi="Times New Roman"/>
                                <w:sz w:val="20"/>
                                <w:i/>
                                <w:iCs/>
                                <w:color w:val="0000FF" w:themeColor="hyperlink"/>
                                <w:u w:val="single"/>
                              </w:rPr>
                              <w:t>XIV-979</w:t>
                            </w:r>
                          </w:fldSimple>
                          <w:r>
                            <w:rPr>
                              <w:rFonts w:ascii="Times New Roman" w:eastAsia="MS Mincho" w:hAnsi="Times New Roman"/>
                              <w:sz w:val="20"/>
                              <w:i/>
                              <w:iCs/>
                            </w:rPr>
                            <w:t>,
2022-03-24,
paskelbta TAR 2022-03-30, i. k. 2022-06314            </w:t>
                          </w:r>
                        </w:p>
                        <w:p/>
                      </w:sdtContent>
                    </w:sdt>
                    <w:sdt>
                      <w:sdtPr>
                        <w:alias w:val="5 str. 3 d. 6 p."/>
                        <w:tag w:val="part_e55e180c9b0d46bfb518178d82df5e44"/>
                        <w:lock w:val="sdtLocked"/>
                        <w:richText/>
                      </w:sdtPr>
                      <w:sdtContent>
                        <w:p>
                          <w:pPr>
                            <w:ind w:firstLine="720"/>
                            <w:jc w:val="both"/>
                            <w:rPr>
                              <w:color w:val="000000"/>
                            </w:rPr>
                          </w:pPr>
                          <w:sdt>
                            <w:sdtPr>
                              <w:alias w:val="Numeris"/>
                              <w:tag w:val="nr_e55e180c9b0d46bfb518178d82df5e44"/>
                              <w:lock w:val="sdtLocked"/>
                              <w:richText/>
                            </w:sdtPr>
                            <w:sdtContent>
                              <w:r>
                                <w:rPr>
                                  <w:szCs w:val="22"/>
                                </w:rPr>
                                <w:t>6</w:t>
                              </w:r>
                            </w:sdtContent>
                          </w:sdt>
                          <w:r>
                            <w:rPr>
                              <w:szCs w:val="22"/>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4567242b610f4a348bd8061b6f231231"/>
                    <w:lock w:val="sdtLocked"/>
                    <w:richText/>
                  </w:sdtPr>
                  <w:sdtContent>
                    <w:p>
                      <w:pPr>
                        <w:tabs>
                          <w:tab w:val="left" w:pos="6804"/>
                        </w:tabs>
                        <w:suppressAutoHyphens/>
                        <w:ind w:firstLine="720"/>
                        <w:jc w:val="both"/>
                        <w:textAlignment w:val="baseline"/>
                        <w:rPr>
                          <w:strike/>
                          <w:szCs w:val="24"/>
                          <w:lang w:eastAsia="lt-LT"/>
                        </w:rPr>
                      </w:pPr>
                      <w:sdt>
                        <w:sdtPr>
                          <w:alias w:val="Numeris"/>
                          <w:tag w:val="nr_4567242b610f4a348bd8061b6f231231"/>
                          <w:lock w:val="sdtLocked"/>
                          <w:richText/>
                        </w:sdtPr>
                        <w:sdtContent>
                          <w:r>
                            <w:rPr>
                              <w:bCs/>
                              <w:szCs w:val="24"/>
                              <w:lang w:eastAsia="lt-LT"/>
                            </w:rPr>
                            <w:t>1</w:t>
                          </w:r>
                        </w:sdtContent>
                      </w:sdt>
                      <w:r>
                        <w:rPr>
                          <w:bCs/>
                          <w:szCs w:val="24"/>
                          <w:lang w:eastAsia="lt-LT"/>
                        </w:rPr>
                        <w:t>. Valstybės įmonė Lietuvos automobilių kelių direkcija informuoja visuomenę apie eismo sąlygas valstybinės ir vietinės reikšmės keliuose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2 d."/>
                    <w:tag w:val="part_3eb04d5520fc408691d10a000a7da065"/>
                    <w:lock w:val="sdtLocked"/>
                    <w:richText/>
                  </w:sdtPr>
                  <w:sdtContent>
                    <w:p>
                      <w:pPr>
                        <w:suppressAutoHyphens/>
                        <w:ind w:firstLine="720"/>
                        <w:jc w:val="both"/>
                        <w:textAlignment w:val="baseline"/>
                        <w:rPr>
                          <w:szCs w:val="24"/>
                          <w:lang w:eastAsia="lt-LT"/>
                        </w:rPr>
                      </w:pPr>
                      <w:sdt>
                        <w:sdtPr>
                          <w:alias w:val="Numeris"/>
                          <w:tag w:val="nr_3eb04d5520fc408691d10a000a7da065"/>
                          <w:lock w:val="sdtLocked"/>
                          <w:richText/>
                        </w:sdtPr>
                        <w:sdtContent>
                          <w:r>
                            <w:rPr>
                              <w:szCs w:val="24"/>
                              <w:lang w:eastAsia="lt-LT"/>
                            </w:rPr>
                            <w:t>2</w:t>
                          </w:r>
                        </w:sdtContent>
                      </w:sdt>
                      <w:r>
                        <w:rPr>
                          <w:szCs w:val="24"/>
                          <w:lang w:eastAsia="lt-LT"/>
                        </w:rPr>
                        <w:t>. Kelių savininkai arba jų įgalioti valdytojai teikia kelių eismo ir kelių duomenis valstybės įmonei Lietuvos automobilių kelių direkcijai susisiekimo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a46ebf07bd41464e8904b4a51ce90122"/>
                <w:lock w:val="sdtLocked"/>
                <w:richText/>
              </w:sdtPr>
              <w:sdtContent>
                <w:p>
                  <w:pPr>
                    <w:suppressAutoHyphens/>
                    <w:ind w:firstLine="720"/>
                    <w:jc w:val="both"/>
                    <w:textAlignment w:val="baseline"/>
                    <w:rPr>
                      <w:bCs/>
                      <w:color w:val="000000"/>
                    </w:rPr>
                  </w:pPr>
                  <w:sdt>
                    <w:sdtPr>
                      <w:alias w:val="Numeris"/>
                      <w:tag w:val="nr_a46ebf07bd41464e8904b4a51ce90122"/>
                      <w:lock w:val="sdtLocked"/>
                      <w:richText/>
                    </w:sdtPr>
                    <w:sdtContent>
                      <w:r>
                        <w:rPr>
                          <w:b/>
                          <w:bCs/>
                          <w:color w:val="000000"/>
                          <w:szCs w:val="24"/>
                        </w:rPr>
                        <w:t>9</w:t>
                      </w:r>
                    </w:sdtContent>
                  </w:sdt>
                  <w:r>
                    <w:rPr>
                      <w:b/>
                      <w:bCs/>
                      <w:color w:val="000000"/>
                      <w:szCs w:val="24"/>
                    </w:rPr>
                    <w:t xml:space="preserve"> straipsnis. </w:t>
                  </w:r>
                  <w:sdt>
                    <w:sdtPr>
                      <w:alias w:val="Pavadinimas"/>
                      <w:tag w:val="title_a46ebf07bd41464e8904b4a51ce90122"/>
                      <w:lock w:val="sdtLocked"/>
                      <w:richText/>
                    </w:sdtPr>
                    <w:sdtContent>
                      <w:r>
                        <w:rPr>
                          <w:b/>
                          <w:bCs/>
                          <w:color w:val="000000"/>
                          <w:szCs w:val="24"/>
                        </w:rPr>
                        <w:t>Kelių kategorijos nustatymas</w:t>
                      </w:r>
                    </w:sdtContent>
                  </w:sdt>
                </w:p>
                <w:sdt>
                  <w:sdtPr>
                    <w:alias w:val="9 str. 1 d."/>
                    <w:tag w:val="part_86356ff506d445f8bb138cb6f52b0fbd"/>
                    <w:lock w:val="sdtLocked"/>
                    <w:richText/>
                  </w:sdtPr>
                  <w:sdtContent>
                    <w:p>
                      <w:pPr>
                        <w:suppressAutoHyphens/>
                        <w:ind w:firstLine="720"/>
                        <w:jc w:val="both"/>
                        <w:textAlignment w:val="baseline"/>
                      </w:pPr>
                      <w:r>
                        <w:rPr>
                          <w:color w:val="000000"/>
                          <w:szCs w:val="24"/>
                        </w:rPr>
                        <w:t xml:space="preserve">Kelių kategorijos nustatomos atsižvelgiant į kelių funkcinę paskirtį, transporto priemonių eismo pralaidumą ir kelių padėtį gyvenamųjų vietovių atžvilgiu bei vadovaujantis aplinkos ministro ir susisiekimo ministro </w:t>
                      </w:r>
                      <w:r>
                        <w:rPr>
                          <w:szCs w:val="24"/>
                        </w:rPr>
                        <w:t>nustatyta tvarka ir kriterijais</w:t>
                      </w:r>
                      <w:r>
                        <w:rPr>
                          <w:color w:val="000000"/>
                          <w:szCs w:val="24"/>
                        </w:rPr>
                        <w:t>. Kelio kategoriją priskiria kelio savininkai ar valdytojai: valstybinės</w:t>
                      </w:r>
                      <w:r>
                        <w:rPr>
                          <w:b/>
                          <w:bCs/>
                          <w:color w:val="000000"/>
                          <w:szCs w:val="24"/>
                        </w:rPr>
                        <w:t xml:space="preserve"> </w:t>
                      </w:r>
                      <w:r>
                        <w:rPr>
                          <w:color w:val="000000"/>
                          <w:szCs w:val="24"/>
                        </w:rPr>
                        <w:t xml:space="preserve">reikšmės kelių kategorijas priskiria </w:t>
                      </w:r>
                      <w:r>
                        <w:rPr>
                          <w:bCs/>
                          <w:szCs w:val="24"/>
                        </w:rPr>
                        <w:t>valstybės įmonė Lietuvos automobilių kelių direkcija</w:t>
                      </w:r>
                      <w:r>
                        <w:rPr>
                          <w:bCs/>
                          <w:color w:val="000000"/>
                          <w:szCs w:val="24"/>
                        </w:rPr>
                        <w:t>, vietinės reikšmės</w:t>
                      </w:r>
                      <w:r>
                        <w:rPr>
                          <w:color w:val="000000"/>
                          <w:szCs w:val="24"/>
                        </w:rPr>
                        <w:t xml:space="preserve"> viešųjų kelių kategorijas –</w:t>
                      </w:r>
                      <w:r>
                        <w:rPr>
                          <w:b/>
                          <w:bCs/>
                          <w:color w:val="000000"/>
                          <w:szCs w:val="24"/>
                        </w:rPr>
                        <w:t xml:space="preserve"> </w:t>
                      </w:r>
                      <w:r>
                        <w:rPr>
                          <w:color w:val="000000"/>
                          <w:szCs w:val="24"/>
                        </w:rPr>
                        <w:t>savivaldybės, o vidaus kelių – juridiniai ar fiziniai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c3cc1d979fd44e2a7439af48532a528"/>
                    <w:lock w:val="sdtLocked"/>
                    <w:richText/>
                  </w:sdtPr>
                  <w:sdtContent>
                    <w:p>
                      <w:pPr>
                        <w:suppressAutoHyphens/>
                        <w:ind w:firstLine="720"/>
                        <w:jc w:val="both"/>
                        <w:textAlignment w:val="baseline"/>
                      </w:pPr>
                      <w:sdt>
                        <w:sdtPr>
                          <w:alias w:val="Numeris"/>
                          <w:tag w:val="nr_7c3cc1d979fd44e2a7439af48532a528"/>
                          <w:lock w:val="sdtLocked"/>
                          <w:richText/>
                        </w:sdtPr>
                        <w:sdtContent>
                          <w:r>
                            <w:rPr>
                              <w:szCs w:val="24"/>
                            </w:rPr>
                            <w:t>2</w:t>
                          </w:r>
                        </w:sdtContent>
                      </w:sdt>
                      <w:r>
                        <w:rPr>
                          <w:szCs w:val="24"/>
                        </w:rPr>
                        <w:t xml:space="preserve">. Įstatymų ar Vyriausybės nustatyta tvarka valstybinės reikšmės keliams priskirta žemė priklauso valstybei išimtine nuosavybės teise. Ją patikėjimo teise valdo, naudoja ir ja disponuoja </w:t>
                      </w:r>
                      <w:r>
                        <w:rPr>
                          <w:bCs/>
                          <w:szCs w:val="24"/>
                        </w:rPr>
                        <w:t>valstybės įmonė Lietuvos automobilių kelių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43db8ee0eb974cc39ef48521f33607d9"/>
                    <w:lock w:val="sdtLocked"/>
                    <w:richText/>
                  </w:sdtPr>
                  <w:sdtContent>
                    <w:p>
                      <w:pPr>
                        <w:ind w:firstLine="720"/>
                        <w:jc w:val="both"/>
                        <w:rPr>
                          <w:bCs/>
                        </w:rPr>
                      </w:pPr>
                      <w:sdt>
                        <w:sdtPr>
                          <w:alias w:val="Numeris"/>
                          <w:tag w:val="nr_43db8ee0eb974cc39ef48521f33607d9"/>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c669774254141eebbbf2a175c63e59f"/>
                    <w:lock w:val="sdtLocked"/>
                    <w:richText/>
                  </w:sdtPr>
                  <w:sdtContent>
                    <w:p>
                      <w:pPr>
                        <w:suppressAutoHyphens/>
                        <w:ind w:firstLine="720"/>
                        <w:jc w:val="both"/>
                        <w:textAlignment w:val="baseline"/>
                        <w:rPr>
                          <w:color w:val="000000"/>
                        </w:rPr>
                      </w:pPr>
                      <w:sdt>
                        <w:sdtPr>
                          <w:alias w:val="Numeris"/>
                          <w:tag w:val="nr_5c669774254141eebbbf2a175c63e59f"/>
                          <w:lock w:val="sdtLocked"/>
                          <w:richText/>
                        </w:sdtPr>
                        <w:sdtContent>
                          <w:r>
                            <w:rPr>
                              <w:szCs w:val="24"/>
                            </w:rPr>
                            <w:t>3</w:t>
                          </w:r>
                        </w:sdtContent>
                      </w:sdt>
                      <w:r>
                        <w:rPr>
                          <w:szCs w:val="24"/>
                        </w:rPr>
                        <w:t xml:space="preserve">. Kelio savininkas arba valdytojas informaciją apie kelio uždarymą teikia </w:t>
                      </w:r>
                      <w:r>
                        <w:rPr>
                          <w:bCs/>
                          <w:szCs w:val="24"/>
                        </w:rPr>
                        <w:t xml:space="preserve">valstybės įmonei Lietuvos automobilių kelių direkcijai </w:t>
                      </w:r>
                      <w:r>
                        <w:rPr>
                          <w:szCs w:val="24"/>
                        </w:rPr>
                        <w:t>ir besiribojančių kelių savininkams arba valdytojams.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shd w:val="clear" w:color="000000" w:fill="auto"/>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shd w:val="clear" w:color="000000" w:fill="auto"/>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53991820df064d74bf2dd1f599545f58"/>
                    <w:lock w:val="sdtLocked"/>
                    <w:richText/>
                  </w:sdtPr>
                  <w:sdtContent>
                    <w:p>
                      <w:pPr>
                        <w:shd w:val="clear" w:color="000000" w:fill="auto"/>
                        <w:suppressAutoHyphens/>
                        <w:ind w:firstLine="720"/>
                        <w:jc w:val="both"/>
                        <w:textAlignment w:val="baseline"/>
                        <w:rPr>
                          <w:szCs w:val="24"/>
                          <w:lang w:eastAsia="lt-LT"/>
                        </w:rPr>
                      </w:pPr>
                      <w:sdt>
                        <w:sdtPr>
                          <w:alias w:val="Numeris"/>
                          <w:tag w:val="nr_53991820df064d74bf2dd1f599545f58"/>
                          <w:lock w:val="sdtLocked"/>
                          <w:richText/>
                        </w:sdtPr>
                        <w:sdtContent>
                          <w:r>
                            <w:rPr>
                              <w:color w:val="000000"/>
                              <w:szCs w:val="24"/>
                            </w:rPr>
                            <w:t>3</w:t>
                          </w:r>
                        </w:sdtContent>
                      </w:sdt>
                      <w:r>
                        <w:rPr>
                          <w:color w:val="000000"/>
                          <w:szCs w:val="24"/>
                        </w:rPr>
                        <w:t xml:space="preserve">. </w:t>
                      </w:r>
                      <w:r>
                        <w:rPr>
                          <w:szCs w:val="24"/>
                        </w:rPr>
                        <w:t xml:space="preserve">Leidimą </w:t>
                      </w:r>
                      <w:r>
                        <w:rPr>
                          <w:spacing w:val="-4"/>
                          <w:szCs w:val="24"/>
                        </w:rPr>
                        <w:t xml:space="preserve">naudotis valstybinės reikšmės keliais </w:t>
                      </w:r>
                      <w:r>
                        <w:rPr>
                          <w:szCs w:val="24"/>
                        </w:rPr>
                        <w:t xml:space="preserve">važiuojant didžiagabaritėmis ir (ar) sunkiasvorėmis transporto priemonėmis išduoda valstybės įmonė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rPr>
                        <w:t xml:space="preserve">naudotis vietinės reikšmės </w:t>
                      </w:r>
                      <w:r>
                        <w:rPr>
                          <w:szCs w:val="24"/>
                        </w:rPr>
                        <w:t xml:space="preserve">viešaisiais </w:t>
                      </w:r>
                      <w:r>
                        <w:rPr>
                          <w:spacing w:val="-4"/>
                          <w:szCs w:val="24"/>
                        </w:rPr>
                        <w:t xml:space="preserve">keliais </w:t>
                      </w:r>
                      <w:r>
                        <w:rPr>
                          <w:szCs w:val="24"/>
                        </w:rPr>
                        <w:t>važiuojant didžiagabaritėmis ir (ar) sunkiasvorėmis transporto priemonėmis – savivaldybių vykdomosios institucijos (toliau kartu – leidimus išduodanti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4 d."/>
                    <w:tag w:val="part_9982e4e655f0453f805dcda41599afeb"/>
                    <w:lock w:val="sdtLocked"/>
                    <w:richText/>
                  </w:sdtPr>
                  <w:sdtContent>
                    <w:p>
                      <w:pPr>
                        <w:shd w:val="clear" w:color="000000" w:fill="auto"/>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shd w:val="clear" w:color="000000" w:fill="auto"/>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shd w:val="clear" w:color="000000" w:fill="auto"/>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shd w:val="clear" w:color="000000" w:fill="auto"/>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shd w:val="clear" w:color="000000" w:fill="auto"/>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shd w:val="clear" w:color="000000" w:fill="auto"/>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shd w:val="clear" w:color="000000" w:fill="auto"/>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shd w:val="clear" w:color="000000" w:fill="auto"/>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shd w:val="clear" w:color="000000" w:fill="auto"/>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shd w:val="clear" w:color="000000" w:fill="auto"/>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shd w:val="clear" w:color="000000" w:fill="auto"/>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shd w:val="clear" w:color="000000" w:fill="auto"/>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shd w:val="clear" w:color="000000" w:fill="auto"/>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shd w:val="clear" w:color="000000" w:fill="auto"/>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shd w:val="clear" w:color="000000" w:fill="auto"/>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shd w:val="clear" w:color="000000" w:fill="auto"/>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shd w:val="clear" w:color="000000" w:fill="auto"/>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shd w:val="clear" w:color="000000" w:fill="auto"/>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shd w:val="clear" w:color="000000" w:fill="auto"/>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shd w:val="clear" w:color="000000" w:fill="auto"/>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shd w:val="clear" w:color="000000" w:fill="auto"/>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shd w:val="clear" w:color="000000" w:fill="auto"/>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shd w:val="clear" w:color="000000" w:fill="auto"/>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shd w:val="clear" w:color="000000" w:fill="auto"/>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shd w:val="clear" w:color="000000" w:fill="auto"/>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shd w:val="clear" w:color="000000" w:fill="auto"/>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shd w:val="clear" w:color="000000" w:fill="auto"/>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1092836da9a1435081a112d1f492882b"/>
                        <w:lock w:val="sdtLocked"/>
                        <w:richText/>
                      </w:sdtPr>
                      <w:sdtContent>
                        <w:p>
                          <w:pPr>
                            <w:shd w:val="clear" w:color="000000" w:fill="auto"/>
                            <w:suppressAutoHyphens/>
                            <w:ind w:firstLine="720"/>
                            <w:jc w:val="both"/>
                            <w:textAlignment w:val="baseline"/>
                            <w:rPr>
                              <w:szCs w:val="24"/>
                              <w:lang w:eastAsia="lt-LT"/>
                            </w:rPr>
                          </w:pPr>
                          <w:sdt>
                            <w:sdtPr>
                              <w:alias w:val="Numeris"/>
                              <w:tag w:val="nr_1092836da9a1435081a112d1f492882b"/>
                              <w:lock w:val="sdtLocked"/>
                              <w:richText/>
                            </w:sdtPr>
                            <w:sdtContent>
                              <w:r>
                                <w:rPr>
                                  <w:szCs w:val="24"/>
                                </w:rPr>
                                <w:t>3</w:t>
                              </w:r>
                            </w:sdtContent>
                          </w:sdt>
                          <w:r>
                            <w:rPr>
                              <w:szCs w:val="24"/>
                            </w:rPr>
                            <w:t>) nesumokėta nustatyto dydžio valstybės rinkliava už leidimo išdavimą,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leidimo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15 d. 4 p."/>
                        <w:tag w:val="part_08740607890447ffa03874bc26283888"/>
                        <w:lock w:val="sdtLocked"/>
                        <w:richText/>
                      </w:sdtPr>
                      <w:sdtContent>
                        <w:p>
                          <w:pPr>
                            <w:shd w:val="clear" w:color="000000" w:fill="auto"/>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66d007a3bd1d4aa480174c81bf4c859d"/>
                        <w:lock w:val="sdtLocked"/>
                        <w:richText/>
                      </w:sdtPr>
                      <w:sdtContent>
                        <w:p>
                          <w:pPr>
                            <w:ind w:firstLine="720"/>
                            <w:jc w:val="both"/>
                            <w:rPr>
                              <w:szCs w:val="24"/>
                              <w:lang w:eastAsia="lt-LT"/>
                            </w:rPr>
                          </w:pPr>
                          <w:sdt>
                            <w:sdtPr>
                              <w:alias w:val="Numeris"/>
                              <w:tag w:val="nr_66d007a3bd1d4aa480174c81bf4c859d"/>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 išskyrus išimtį, numatytą šio straipsnio 22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efa970697b11eca9ac839120d251c4">
                            <w:r w:rsidRPr="00532B9F">
                              <w:rPr>
                                <w:rFonts w:ascii="Times New Roman" w:eastAsia="MS Mincho" w:hAnsi="Times New Roman"/>
                                <w:sz w:val="20"/>
                                <w:i/>
                                <w:iCs/>
                                <w:color w:val="0000FF" w:themeColor="hyperlink"/>
                                <w:u w:val="single"/>
                              </w:rPr>
                              <w:t>XIV-866</w:t>
                            </w:r>
                          </w:fldSimple>
                          <w:r>
                            <w:rPr>
                              <w:rFonts w:ascii="Times New Roman" w:eastAsia="MS Mincho" w:hAnsi="Times New Roman"/>
                              <w:sz w:val="20"/>
                              <w:i/>
                              <w:iCs/>
                            </w:rPr>
                            <w:t>,
2021-12-23,
paskelbta TAR 2021-12-30, i. k. 2021-27772            </w:t>
                          </w:r>
                        </w:p>
                        <w:p/>
                      </w:sdtContent>
                    </w:sdt>
                  </w:sdtContent>
                </w:sdt>
                <w:sdt>
                  <w:sdtPr>
                    <w:alias w:val="20 str. 16 d."/>
                    <w:tag w:val="part_1f7430865ad443bb9f8a8c7d1dd1fe88"/>
                    <w:lock w:val="sdtLocked"/>
                    <w:richText/>
                  </w:sdtPr>
                  <w:sdtContent>
                    <w:p>
                      <w:pPr>
                        <w:shd w:val="clear" w:color="000000" w:fill="auto"/>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shd w:val="clear" w:color="000000" w:fill="auto"/>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shd w:val="clear" w:color="000000" w:fill="auto"/>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shd w:val="clear" w:color="000000" w:fill="auto"/>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shd w:val="clear" w:color="000000" w:fill="auto"/>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shd w:val="clear" w:color="000000" w:fill="auto"/>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shd w:val="clear" w:color="000000" w:fill="auto"/>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shd w:val="clear" w:color="000000" w:fill="auto"/>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shd w:val="clear" w:color="000000" w:fill="auto"/>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shd w:val="clear" w:color="000000" w:fill="auto"/>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shd w:val="clear" w:color="000000" w:fill="auto"/>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shd w:val="clear" w:color="000000" w:fill="auto"/>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shd w:val="clear" w:color="000000" w:fill="auto"/>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shd w:val="clear" w:color="000000" w:fill="auto"/>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shd w:val="clear" w:color="000000" w:fill="auto"/>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shd w:val="clear" w:color="000000" w:fill="auto"/>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shd w:val="clear" w:color="000000" w:fill="auto"/>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0bbc63e038134639a8c7b4ac65c7c3bc"/>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0bbc63e038134639a8c7b4ac65c7c3bc"/>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5.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6.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70edf75b56864265be1484bd5ad0a783"/>
        <Part Type="strDalis" Nr="3" Abbr="4 str. 3 d." DocPartId="9c523e793aa94509b128f45f62b99140" PartId="3075bc118ce6421cac50568e430261d9"/>
        <Part Type="strDalis" Nr="4" Abbr="4 str. 4 d." DocPartId="7c23d4230ce642329c04531c3d60543d" PartId="b8e1c345dd0246ff96829f770f54f51a"/>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61a2faca9fd24247b439ee218095dba1">
          <Part Type="strPunktas" Nr="1" Abbr="5 str. 3 d. 1 p." DocPartId="dbb021f951fe40908c37ba2247c843fb" PartId="20ea4a52b8ce4a2180ea527297eb8df7"/>
          <Part Type="strPunktas" Nr="2" Abbr="5 str. 3 d. 2 p." DocPartId="2c8c08ddcfb546afbcc5c857d498c1d5" PartId="6d359b2d3f004f83990a59f623b56b6b"/>
          <Part Type="strPunktas" Nr="3" Abbr="5 str. 3 d. 3 p." DocPartId="5f4c9e4488c5469abf87ea4febfa4931" PartId="639887e0527040da93f1ecc7e02729b3"/>
          <Part Type="strPunktas" Nr="4" Abbr="5 str. 3 d. 4 p." DocPartId="53e8237bad49432894c286e205c24c3d" PartId="e8ce99b41f79452880ddb0debfe1241f"/>
          <Part Type="strPunktas" Nr="5" Abbr="5 str. 3 d. 5 p." DocPartId="4ffc13287da4466c8547a6569ceadfae" PartId="c8cebf156df841f9bf511098705dd004"/>
          <Part Type="strPunktas" Nr="6" Abbr="5 str. 3 d. 6 p." DocPartId="da26cafa054d4c568e2f6c87758753a4" PartId="e55e180c9b0d46bfb518178d82df5e44"/>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4567242b610f4a348bd8061b6f231231"/>
        <Part Type="strDalis" Nr="2" Abbr="7 str. 2 d." DocPartId="db29db5260a64315a2c888e1f8dad798" PartId="3eb04d5520fc408691d10a000a7da065"/>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a46ebf07bd41464e8904b4a51ce90122">
        <Part Type="strDalis" Nr="1" Abbr="9 str. 1 d." DocPartId="38673aa5484b4ff4a79d739864021add" PartId="86356ff506d445f8bb138cb6f52b0fbd"/>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c3cc1d979fd44e2a7439af48532a528"/>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43db8ee0eb974cc39ef48521f33607d9"/>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c669774254141eebbbf2a175c63e59f"/>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53991820df064d74bf2dd1f599545f58"/>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1092836da9a1435081a112d1f492882b"/>
          <Part Type="strPunktas" Nr="4" Abbr="20 str. 15 d. 4 p." DocPartId="9951887f55fe4c5d9799a375922ea103" PartId="08740607890447ffa03874bc26283888"/>
          <Part Type="strPunktas" Nr="5" Abbr="20 str. 15 d. 5 p." DocPartId="b2cb6e13e8184932b12c4034e94e98e5" PartId="66d007a3bd1d4aa480174c81bf4c859d"/>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0bbc63e038134639a8c7b4ac65c7c3bc">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2316BC7-6883-4982-A103-640B9E3EF6ED}">
  <ds:schemaRefs>
    <ds:schemaRef ds:uri="http://lrs.lt/TAIS/DocParts"/>
  </ds:schemaRefs>
</ds:datastoreItem>
</file>

<file path=customXml/itemProps3.xml><?xml version="1.0" encoding="utf-8"?>
<ds:datastoreItem xmlns:ds="http://schemas.openxmlformats.org/officeDocument/2006/customXml" ds:itemID="{E20C12AF-5356-4CB0-AB28-6E4BBB92DC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13</Pages>
  <Words>27798</Words>
  <Characters>15845</Characters>
  <Application>Microsoft Office Word</Application>
  <DocSecurity>0</DocSecurity>
  <Lines>132</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43556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2022-12-30T07:46:00Z</dcterms:modified>
  <revision>34</revision>
</coreProperties>
</file>