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2024-12-13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6591e947d67b40df9d213997ac990030"/>
                    <w:lock w:val="sdtLocked"/>
                    <w:richText/>
                  </w:sdtPr>
                  <w:sdtContent>
                    <w:p>
                      <w:pPr>
                        <w:tabs>
                          <w:tab w:val="left" w:pos="851"/>
                        </w:tabs>
                        <w:ind w:firstLine="720"/>
                        <w:jc w:val="both"/>
                      </w:pPr>
                      <w:sdt>
                        <w:sdtPr>
                          <w:alias w:val="Numeris"/>
                          <w:tag w:val="nr_6591e947d67b40df9d213997ac990030"/>
                          <w:lock w:val="sdtLocked"/>
                          <w:richText/>
                        </w:sdtPr>
                        <w:sdtContent>
                          <w:r>
                            <w:rPr>
                              <w:szCs w:val="22"/>
                            </w:rPr>
                            <w:t>22</w:t>
                          </w:r>
                        </w:sdtContent>
                      </w:sdt>
                      <w:r>
                        <w:rPr>
                          <w:szCs w:val="22"/>
                        </w:rPr>
                        <w:t>. Kitos šiame įstatyme vartojamos sąvokos suprantamos taip, kaip jos apibrėžiamos Lietuvos Respublikos kelių priežiūros ir plėtros programos finansavimo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565b3c90139248179e2c59ac52f9ceea"/>
                    <w:lock w:val="sdtLocked"/>
                    <w:richText/>
                  </w:sdtPr>
                  <w:sdtContent>
                    <w:p>
                      <w:pPr>
                        <w:suppressAutoHyphens/>
                        <w:ind w:firstLine="720"/>
                        <w:jc w:val="both"/>
                        <w:textAlignment w:val="baseline"/>
                        <w:rPr>
                          <w:szCs w:val="24"/>
                        </w:rPr>
                      </w:pPr>
                      <w:sdt>
                        <w:sdtPr>
                          <w:alias w:val="Numeris"/>
                          <w:tag w:val="nr_565b3c90139248179e2c59ac52f9ceea"/>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092ffac05178447fbc63ddfb2259908d"/>
                    <w:lock w:val="sdtLocked"/>
                    <w:richText/>
                  </w:sdtPr>
                  <w:sdtContent>
                    <w:p>
                      <w:pPr>
                        <w:ind w:firstLine="720"/>
                        <w:jc w:val="both"/>
                      </w:pPr>
                      <w:sdt>
                        <w:sdtPr>
                          <w:alias w:val="Numeris"/>
                          <w:tag w:val="nr_092ffac05178447fbc63ddfb2259908d"/>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965c2dd1b890458e94c19e22f028a70b"/>
                    <w:lock w:val="sdtLocked"/>
                    <w:richText/>
                  </w:sdtPr>
                  <w:sdtContent>
                    <w:p>
                      <w:pPr>
                        <w:suppressAutoHyphens/>
                        <w:ind w:firstLine="720"/>
                        <w:jc w:val="both"/>
                        <w:textAlignment w:val="baseline"/>
                        <w:rPr>
                          <w:szCs w:val="24"/>
                          <w:lang w:eastAsia="lt-LT"/>
                        </w:rPr>
                      </w:pPr>
                      <w:sdt>
                        <w:sdtPr>
                          <w:alias w:val="Numeris"/>
                          <w:tag w:val="nr_965c2dd1b890458e94c19e22f028a70b"/>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7 p."/>
                        <w:tag w:val="part_4959f5a8d8694ff6a778812b7c6f0afb"/>
                        <w:lock w:val="sdtLocked"/>
                        <w:richText/>
                      </w:sdtPr>
                      <w:sdtContent>
                        <w:p>
                          <w:pPr>
                            <w:ind w:firstLine="720"/>
                            <w:jc w:val="both"/>
                            <w:rPr>
                              <w:color w:val="000000"/>
                            </w:rPr>
                          </w:pPr>
                          <w:sdt>
                            <w:sdtPr>
                              <w:alias w:val="Numeris"/>
                              <w:tag w:val="nr_4959f5a8d8694ff6a778812b7c6f0afb"/>
                              <w:lock w:val="sdtLocked"/>
                              <w:richText/>
                            </w:sdtPr>
                            <w:sdtContent>
                              <w:r>
                                <w:rPr>
                                  <w:szCs w:val="22"/>
                                </w:rPr>
                                <w:t>7</w:t>
                              </w:r>
                            </w:sdtContent>
                          </w:sdt>
                          <w:r>
                            <w:rPr>
                              <w:szCs w:val="22"/>
                            </w:rPr>
                            <w:t>)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w:t>
                          </w:r>
                          <w:r>
                            <w:rPr>
                              <w:bCs/>
                              <w:szCs w:val="22"/>
                            </w:rPr>
                            <w:t xml:space="preserve"> </w:t>
                          </w:r>
                          <w:r>
                            <w:rPr>
                              <w:szCs w:val="22"/>
                            </w:rPr>
                            <w:t>suteikia operatoriams, siekiantiems užtikrinti ryšį, reikalingą eismo dalyvių įrenginiams, transporto sistemoms ir transporto priemonėms veikti, bendrai naudotis akcinės bendrovės Lietuvos automobilių kelių direkcijos</w:t>
                          </w:r>
                          <w:r>
                            <w:rPr>
                              <w:bCs/>
                              <w:szCs w:val="22"/>
                            </w:rPr>
                            <w:t xml:space="preserve"> </w:t>
                          </w:r>
                          <w:r>
                            <w:rPr>
                              <w:szCs w:val="22"/>
                            </w:rPr>
                            <w:t>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w:t>
                          </w:r>
                          <w:r>
                            <w:rPr>
                              <w:bCs/>
                              <w:szCs w:val="22"/>
                            </w:rPr>
                            <w:t xml:space="preserve"> </w:t>
                          </w:r>
                          <w:r>
                            <w:rPr>
                              <w:szCs w:val="22"/>
                            </w:rPr>
                            <w:t xml:space="preserve">yra apskaičiuojamas susisiekimo ministro nustatyta tvarka ir turi būti pagrįstas patirtomis ryšių bokštų įrengimo, eksploatavimo sąnaudomis ir protingumo kriterijų atitinkančia investicijų grąža. </w:t>
                          </w:r>
                          <w:r>
                            <w:rPr>
                              <w:szCs w:val="24"/>
                            </w:rPr>
                            <w:t>Lėšos, gautos už ryšių bokštų bendrą naudojimą, yra akcinės bendrovės Lietuvos automobilių kelių direkcijos pajamos. Šios lėšos naudojamos ryšių bokštams statyti ir jiems funkcionuoti reikalingiems elektros, ryšių linijų įvadams įrengti skirtai paskolai grąžinti ir palūkanoms mokėti,</w:t>
                          </w:r>
                          <w:r>
                            <w:rPr>
                              <w:bCs/>
                              <w:szCs w:val="24"/>
                            </w:rPr>
                            <w:t xml:space="preserve"> </w:t>
                          </w:r>
                          <w:r>
                            <w:rPr>
                              <w:szCs w:val="24"/>
                            </w:rPr>
                            <w:t>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2d7ddeee6af94b6f94304f5d2adb8dfc"/>
                <w:lock w:val="sdtLocked"/>
                <w:richText/>
              </w:sdtPr>
              <w:sdtContent>
                <w:p>
                  <w:pPr>
                    <w:suppressAutoHyphens/>
                    <w:ind w:firstLine="720"/>
                    <w:jc w:val="both"/>
                    <w:textAlignment w:val="baseline"/>
                    <w:rPr>
                      <w:szCs w:val="24"/>
                    </w:rPr>
                  </w:pPr>
                  <w:sdt>
                    <w:sdtPr>
                      <w:alias w:val="Numeris"/>
                      <w:tag w:val="nr_2d7ddeee6af94b6f94304f5d2adb8dfc"/>
                      <w:lock w:val="sdtLocked"/>
                      <w:richText/>
                    </w:sdtPr>
                    <w:sdtContent>
                      <w:r>
                        <w:rPr>
                          <w:b/>
                          <w:bCs/>
                          <w:szCs w:val="24"/>
                        </w:rPr>
                        <w:t>7</w:t>
                      </w:r>
                    </w:sdtContent>
                  </w:sdt>
                  <w:r>
                    <w:rPr>
                      <w:b/>
                      <w:bCs/>
                      <w:szCs w:val="24"/>
                    </w:rPr>
                    <w:t xml:space="preserve"> straipsnis. </w:t>
                  </w:r>
                  <w:sdt>
                    <w:sdtPr>
                      <w:alias w:val="Pavadinimas"/>
                      <w:tag w:val="title_2d7ddeee6af94b6f94304f5d2adb8dfc"/>
                      <w:lock w:val="sdtLocked"/>
                      <w:richText/>
                    </w:sdtPr>
                    <w:sdtContent>
                      <w:r>
                        <w:rPr>
                          <w:b/>
                          <w:bCs/>
                          <w:szCs w:val="24"/>
                        </w:rPr>
                        <w:t>Informacijos kaupimas ir sklaida</w:t>
                      </w:r>
                    </w:sdtContent>
                  </w:sdt>
                </w:p>
                <w:sdt>
                  <w:sdtPr>
                    <w:alias w:val="7 str. 1 d."/>
                    <w:tag w:val="part_9b51565be14d4465997fa96917d671b6"/>
                    <w:lock w:val="sdtLocked"/>
                    <w:richText/>
                  </w:sdtPr>
                  <w:sdtContent>
                    <w:p>
                      <w:pPr>
                        <w:suppressAutoHyphens/>
                        <w:ind w:firstLine="720"/>
                        <w:jc w:val="both"/>
                        <w:textAlignment w:val="baseline"/>
                        <w:rPr>
                          <w:szCs w:val="24"/>
                        </w:rPr>
                      </w:pPr>
                      <w:sdt>
                        <w:sdtPr>
                          <w:alias w:val="Numeris"/>
                          <w:tag w:val="nr_9b51565be14d4465997fa96917d671b6"/>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c49360cbf67c4c81ad897d3e249d5671"/>
                    <w:lock w:val="sdtLocked"/>
                    <w:richText/>
                  </w:sdtPr>
                  <w:sdtContent>
                    <w:p>
                      <w:pPr>
                        <w:suppressAutoHyphens/>
                        <w:ind w:firstLine="720"/>
                        <w:jc w:val="both"/>
                        <w:textAlignment w:val="baseline"/>
                        <w:rPr>
                          <w:b/>
                        </w:rPr>
                      </w:pPr>
                      <w:sdt>
                        <w:sdtPr>
                          <w:alias w:val="Numeris"/>
                          <w:tag w:val="nr_c49360cbf67c4c81ad897d3e249d5671"/>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cd3d9a8ecccb4ef9b60279583aeb6b66"/>
                    <w:lock w:val="sdtLocked"/>
                    <w:richText/>
                  </w:sdtPr>
                  <w:sdtContent>
                    <w:p>
                      <w:pPr>
                        <w:ind w:firstLine="708"/>
                        <w:jc w:val="both"/>
                      </w:pPr>
                      <w:sdt>
                        <w:sdtPr>
                          <w:alias w:val="Numeris"/>
                          <w:tag w:val="nr_cd3d9a8ecccb4ef9b60279583aeb6b66"/>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sdtContent>
                </w:sdt>
                <w:sdt>
                  <w:sdtPr>
                    <w:alias w:val="4 d."/>
                    <w:tag w:val="part_a4234b0d40ec4b3ea1392cce473493ae"/>
                    <w:lock w:val="sdtLocked"/>
                    <w:richText/>
                  </w:sdtPr>
                  <w:sdtContent>
                    <w:p>
                      <w:pPr>
                        <w:ind w:firstLine="720"/>
                        <w:jc w:val="both"/>
                      </w:pPr>
                      <w:sdt>
                        <w:sdtPr>
                          <w:alias w:val="Numeris"/>
                          <w:tag w:val="nr_a4234b0d40ec4b3ea1392cce473493ae"/>
                          <w:lock w:val="sdtLocked"/>
                          <w:richText/>
                        </w:sdtPr>
                        <w:sdtContent>
                          <w:r>
                            <w:rPr>
                              <w:bCs/>
                              <w:szCs w:val="24"/>
                              <w:lang w:eastAsia="lt-LT"/>
                            </w:rPr>
                            <w:t>4</w:t>
                          </w:r>
                        </w:sdtContent>
                      </w:sdt>
                      <w:r>
                        <w:rPr>
                          <w:bCs/>
                          <w:szCs w:val="24"/>
                          <w:lang w:eastAsia="lt-LT"/>
                        </w:rPr>
                        <w:t xml:space="preserve">. Keliai projektuojami, tiesiami, statomi, rekonstruojami, taisomi (remontuojami) ir prižiūrimi  Vyriausybės ar jos įgaliotos institucijos nustatyta tvarka taikant statinio informacinio modeliavimo metodus sudėtingiems konstrukciniams kelių elementams: viadukams, estakadoms, tiltams, dviejų ly</w:t>
                      </w:r>
                      <w:r>
                        <w:rPr>
                          <w:szCs w:val="24"/>
                          <w:lang w:eastAsia="lt-LT"/>
                        </w:rPr>
                        <w:t>g</w:t>
                      </w:r>
                      <w:r>
                        <w:rPr>
                          <w:bCs/>
                          <w:szCs w:val="24"/>
                          <w:lang w:eastAsia="lt-LT"/>
                        </w:rPr>
                        <w:t>ių sankryžoms, sankirtoms ir pan. Automobilių kelių objektams, kurie erdvinių duomenų rinkinyje išreiškiami linijiniu grafiniu elementu ir kurie savyje neturi konstrukcinių elementų (nėra sudėtingų mazgų ar kitų susikirtimų), taikomi Vyriausybės ar jos įgaliotos institucijos nustatyta tvarka nustatyti minimalūs statinio informacinio modeliavimo metodų taikymo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a17601dbb11ef8b14c5bcce136045">
                        <w:r w:rsidRPr="00532B9F">
                          <w:rPr>
                            <w:rFonts w:ascii="Times New Roman" w:eastAsia="MS Mincho" w:hAnsi="Times New Roman"/>
                            <w:sz w:val="20"/>
                            <w:i/>
                            <w:iCs/>
                            <w:color w:val="0000FF" w:themeColor="hyperlink"/>
                            <w:u w:val="single"/>
                          </w:rPr>
                          <w:t>XIV-2663</w:t>
                        </w:r>
                      </w:fldSimple>
                      <w:r>
                        <w:rPr>
                          <w:rFonts w:ascii="Times New Roman" w:eastAsia="MS Mincho" w:hAnsi="Times New Roman"/>
                          <w:sz w:val="20"/>
                          <w:i/>
                          <w:iCs/>
                        </w:rPr>
                        <w:t>,
2024-05-16,
paskelbta TAR 2024-05-29, i. k. 2024-09622        </w:t>
                      </w:r>
                    </w:p>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32c254164a2242598ddb01907325c5ab"/>
                    <w:lock w:val="sdtLocked"/>
                    <w:richText/>
                  </w:sdtPr>
                  <w:sdtContent>
                    <w:p>
                      <w:pPr>
                        <w:ind w:right="-2" w:firstLine="720"/>
                        <w:jc w:val="both"/>
                        <w:rPr>
                          <w:szCs w:val="24"/>
                          <w:lang w:eastAsia="lt-LT"/>
                        </w:rPr>
                      </w:pPr>
                      <w:sdt>
                        <w:sdtPr>
                          <w:alias w:val="Numeris"/>
                          <w:tag w:val="nr_32c254164a2242598ddb01907325c5ab"/>
                          <w:lock w:val="sdtLocked"/>
                          <w:richText/>
                        </w:sdtPr>
                        <w:sdtContent>
                          <w:r>
                            <w:rPr>
                              <w:szCs w:val="24"/>
                              <w:lang w:eastAsia="lt-LT"/>
                            </w:rPr>
                            <w:t>2</w:t>
                          </w:r>
                        </w:sdtContent>
                      </w:sdt>
                      <w:r>
                        <w:rPr>
                          <w:szCs w:val="24"/>
                          <w:lang w:eastAsia="lt-LT"/>
                        </w:rPr>
                        <w:t xml:space="preserve">.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Žemės </w:t>
                      </w:r>
                      <w:r>
                        <w:rPr>
                          <w:bCs/>
                          <w:szCs w:val="24"/>
                          <w:lang w:eastAsia="lt-LT"/>
                        </w:rPr>
                        <w:t>įstatyme</w:t>
                      </w:r>
                      <w:r>
                        <w:rPr>
                          <w:szCs w:val="24"/>
                          <w:lang w:eastAsia="lt-LT"/>
                        </w:rPr>
                        <w:t xml:space="preserve"> ir Vyriausybės nustatyta tvarka. Valstybinės žemės sklypo, perduodamo patikėjimo teise akcinei bendrovei Lietuvos automobilių kelių direkcijai, perdavimo–priėmimo aktą pasirašo Nacionalinės žemės tarnybos vadovas. Valstybinės reikšmės kelią ar jo ruožą išbraukus iš valstybinės reikšmės kelių sąrašo, Nacionalinės žemės tarnybos vadovas Žemės </w:t>
                      </w:r>
                      <w:r>
                        <w:rPr>
                          <w:bCs/>
                          <w:szCs w:val="24"/>
                          <w:lang w:eastAsia="lt-LT"/>
                        </w:rPr>
                        <w:t>įstatyme</w:t>
                      </w:r>
                      <w:r>
                        <w:rPr>
                          <w:szCs w:val="24"/>
                          <w:lang w:eastAsia="lt-LT"/>
                        </w:rPr>
                        <w:t xml:space="preserve"> ir Vyriausybės nustatyta tvarka priima sprendimą dėl patikėjimo teisės į šio kelio ar jo ruožo užimamą valstybinės žemės sklypą pasibaigimo ir tokį žemės sklypą akcinė bendrovė Lietuvos automobilių kelių direkcija perdavimo–priėmimo aktu grąžina Nacionalinei žemės tarnybai.</w:t>
                      </w:r>
                      <w:r>
                        <w:rPr>
                          <w:szCs w:val="24"/>
                        </w:rPr>
                        <w:t xml:space="preserve"> \</w:t>
                      </w:r>
                    </w:p>
                    <w:p>
                      <w:pPr>
                        <w:suppressAutoHyphens/>
                        <w:spacing w:line="360" w:lineRule="auto"/>
                        <w:ind w:right="-284"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0561cbc3a36e4c59bdd1c0d15e75b5d7"/>
                    <w:lock w:val="sdtLocked"/>
                    <w:richText/>
                  </w:sdtPr>
                  <w:sdtContent>
                    <w:p>
                      <w:pPr>
                        <w:suppressAutoHyphens/>
                        <w:ind w:firstLine="720"/>
                        <w:jc w:val="both"/>
                        <w:textAlignment w:val="baseline"/>
                        <w:rPr>
                          <w:bCs/>
                        </w:rPr>
                      </w:pPr>
                      <w:sdt>
                        <w:sdtPr>
                          <w:alias w:val="Numeris"/>
                          <w:tag w:val="nr_0561cbc3a36e4c59bdd1c0d15e75b5d7"/>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c78d89780f64446ea3ebc6fc916a6c8c"/>
                    <w:lock w:val="sdtLocked"/>
                    <w:richText/>
                  </w:sdtPr>
                  <w:sdtContent>
                    <w:p>
                      <w:pPr>
                        <w:suppressAutoHyphens/>
                        <w:ind w:firstLine="720"/>
                        <w:jc w:val="both"/>
                        <w:textAlignment w:val="baseline"/>
                        <w:rPr>
                          <w:color w:val="000000"/>
                        </w:rPr>
                      </w:pPr>
                      <w:sdt>
                        <w:sdtPr>
                          <w:alias w:val="Numeris"/>
                          <w:tag w:val="nr_c78d89780f64446ea3ebc6fc916a6c8c"/>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9d97c03b13074d8a98446506a4ae9643"/>
                    <w:lock w:val="sdtLocked"/>
                    <w:richText/>
                  </w:sdtPr>
                  <w:sdtContent>
                    <w:p>
                      <w:pPr>
                        <w:tabs>
                          <w:tab w:val="left" w:pos="993"/>
                        </w:tabs>
                        <w:ind w:firstLine="720"/>
                        <w:jc w:val="both"/>
                        <w:rPr>
                          <w:szCs w:val="24"/>
                          <w:lang w:eastAsia="lt-LT"/>
                        </w:rPr>
                      </w:pPr>
                      <w:sdt>
                        <w:sdtPr>
                          <w:alias w:val="Numeris"/>
                          <w:tag w:val="nr_9d97c03b13074d8a98446506a4ae9643"/>
                          <w:lock w:val="sdtLocked"/>
                          <w:richText/>
                        </w:sdtPr>
                        <w:sdtContent>
                          <w:r>
                            <w:rPr>
                              <w:szCs w:val="24"/>
                              <w:lang w:eastAsia="lt-LT"/>
                            </w:rPr>
                            <w:t>4</w:t>
                          </w:r>
                        </w:sdtContent>
                      </w:sdt>
                      <w:r>
                        <w:rPr>
                          <w:szCs w:val="24"/>
                          <w:lang w:eastAsia="lt-LT"/>
                        </w:rPr>
                        <w:t>. Sutikimo naudotis keliais nereikia, kai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023df8076c4946e992ed8416c2345547"/>
                    <w:lock w:val="sdtLocked"/>
                    <w:richText/>
                  </w:sdtPr>
                  <w:sdtContent>
                    <w:p>
                      <w:pPr>
                        <w:tabs>
                          <w:tab w:val="left" w:pos="993"/>
                        </w:tabs>
                        <w:ind w:firstLine="720"/>
                        <w:jc w:val="both"/>
                        <w:rPr>
                          <w:szCs w:val="24"/>
                          <w:lang w:eastAsia="lt-LT"/>
                        </w:rPr>
                      </w:pPr>
                      <w:sdt>
                        <w:sdtPr>
                          <w:alias w:val="Numeris"/>
                          <w:tag w:val="nr_023df8076c4946e992ed8416c2345547"/>
                          <w:lock w:val="sdtLocked"/>
                          <w:richText/>
                        </w:sdtPr>
                        <w:sdtContent>
                          <w:r>
                            <w:rPr>
                              <w:szCs w:val="24"/>
                              <w:lang w:eastAsia="lt-LT"/>
                            </w:rPr>
                            <w:t>12</w:t>
                          </w:r>
                        </w:sdtContent>
                      </w:sdt>
                      <w:r>
                        <w:rPr>
                          <w:szCs w:val="24"/>
                          <w:lang w:eastAsia="lt-LT"/>
                        </w:rPr>
                        <w:t>. Sutikimas naudotis keliais metams suteikiamas, jeigu:</w:t>
                      </w:r>
                    </w:p>
                    <w:sdt>
                      <w:sdtPr>
                        <w:alias w:val="20 str. 12 d. 1 p."/>
                        <w:tag w:val="part_232c4e6ecb9e4556881a0a99cdf6c49a"/>
                        <w:lock w:val="sdtLocked"/>
                        <w:richText/>
                      </w:sdtPr>
                      <w:sdtContent>
                        <w:p>
                          <w:pPr>
                            <w:tabs>
                              <w:tab w:val="left" w:pos="993"/>
                            </w:tabs>
                            <w:ind w:firstLine="720"/>
                            <w:jc w:val="both"/>
                            <w:rPr>
                              <w:szCs w:val="24"/>
                              <w:lang w:eastAsia="lt-LT"/>
                            </w:rPr>
                          </w:pPr>
                          <w:sdt>
                            <w:sdtPr>
                              <w:alias w:val="Numeris"/>
                              <w:tag w:val="nr_232c4e6ecb9e4556881a0a99cdf6c49a"/>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b45dc959cbb64577aa493f8aed18d966"/>
                        <w:lock w:val="sdtLocked"/>
                        <w:richText/>
                      </w:sdtPr>
                      <w:sdtContent>
                        <w:p>
                          <w:pPr>
                            <w:tabs>
                              <w:tab w:val="left" w:pos="993"/>
                            </w:tabs>
                            <w:ind w:firstLine="720"/>
                            <w:jc w:val="both"/>
                            <w:rPr>
                              <w:szCs w:val="24"/>
                              <w:lang w:eastAsia="lt-LT"/>
                            </w:rPr>
                          </w:pPr>
                          <w:sdt>
                            <w:sdtPr>
                              <w:alias w:val="Numeris"/>
                              <w:tag w:val="nr_b45dc959cbb64577aa493f8aed18d966"/>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3d98627d19104839b0b5851d1f3f0fbc"/>
                    <w:lock w:val="sdtLocked"/>
                    <w:richText/>
                  </w:sdtPr>
                  <w:sdtContent>
                    <w:p>
                      <w:pPr>
                        <w:tabs>
                          <w:tab w:val="left" w:pos="993"/>
                        </w:tabs>
                        <w:ind w:firstLine="720"/>
                        <w:jc w:val="both"/>
                        <w:rPr>
                          <w:szCs w:val="24"/>
                          <w:lang w:eastAsia="lt-LT"/>
                        </w:rPr>
                      </w:pPr>
                      <w:sdt>
                        <w:sdtPr>
                          <w:alias w:val="Numeris"/>
                          <w:tag w:val="nr_3d98627d19104839b0b5851d1f3f0fbc"/>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903db6b1747c4c4790235574cfb318cf"/>
                        <w:lock w:val="sdtLocked"/>
                        <w:richText/>
                      </w:sdtPr>
                      <w:sdtContent>
                        <w:p>
                          <w:pPr>
                            <w:tabs>
                              <w:tab w:val="left" w:pos="993"/>
                            </w:tabs>
                            <w:ind w:firstLine="720"/>
                            <w:jc w:val="both"/>
                            <w:rPr>
                              <w:szCs w:val="24"/>
                              <w:lang w:eastAsia="lt-LT"/>
                            </w:rPr>
                          </w:pPr>
                          <w:sdt>
                            <w:sdtPr>
                              <w:alias w:val="Numeris"/>
                              <w:tag w:val="nr_903db6b1747c4c4790235574cfb318cf"/>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abe8093d2813443fa327ebc2499332cf"/>
                        <w:lock w:val="sdtLocked"/>
                        <w:richText/>
                      </w:sdtPr>
                      <w:sdtContent>
                        <w:p>
                          <w:pPr>
                            <w:tabs>
                              <w:tab w:val="left" w:pos="993"/>
                            </w:tabs>
                            <w:ind w:firstLine="720"/>
                            <w:jc w:val="both"/>
                            <w:rPr>
                              <w:szCs w:val="24"/>
                              <w:lang w:eastAsia="lt-LT"/>
                            </w:rPr>
                          </w:pPr>
                          <w:sdt>
                            <w:sdtPr>
                              <w:alias w:val="Numeris"/>
                              <w:tag w:val="nr_abe8093d2813443fa327ebc2499332cf"/>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c1f7d84c40ab4704a6591bbee8b34f32"/>
                        <w:lock w:val="sdtLocked"/>
                        <w:richText/>
                      </w:sdtPr>
                      <w:sdtContent>
                        <w:p>
                          <w:pPr>
                            <w:tabs>
                              <w:tab w:val="left" w:pos="993"/>
                            </w:tabs>
                            <w:ind w:firstLine="720"/>
                            <w:jc w:val="both"/>
                            <w:rPr>
                              <w:szCs w:val="24"/>
                              <w:lang w:eastAsia="lt-LT"/>
                            </w:rPr>
                          </w:pPr>
                          <w:sdt>
                            <w:sdtPr>
                              <w:alias w:val="Numeris"/>
                              <w:tag w:val="nr_c1f7d84c40ab4704a6591bbee8b34f32"/>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cb9ceb5975df413abfc2a54addfadc09"/>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cb9ceb5975df413abfc2a54addfadc0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5a17601dbb11ef8b14c5bcce136045">
            <w:r w:rsidRPr="00532B9F">
              <w:rPr>
                <w:rFonts w:ascii="Times New Roman" w:eastAsia="MS Mincho" w:hAnsi="Times New Roman"/>
                <w:sz w:val="20"/>
                <w:iCs/>
                <w:color w:val="0000FF" w:themeColor="hyperlink"/>
                <w:u w:val="single"/>
              </w:rPr>
              <w:t>XIV-2663</w:t>
            </w:r>
          </w:fldSimple>
          <w:r>
            <w:rPr>
              <w:rFonts w:ascii="Times New Roman" w:eastAsia="MS Mincho" w:hAnsi="Times New Roman"/>
              <w:sz w:val="20"/>
              <w:iCs/>
            </w:rPr>
            <w:t>,
2024-05-16,
paskelbta TAR 2024-05-29, i. k. 2024-09622                </w:t>
          </w:r>
        </w:p>
        <w:p>
          <w:pPr>
            <w:jc w:val="both"/>
            <w:rPr>
              <w:rFonts w:ascii="Times New Roman" w:hAnsi="Times New Roman"/>
            </w:rPr>
          </w:pPr>
          <w:r>
            <w:rPr>
              <w:rFonts w:ascii="Times New Roman" w:hAnsi="Times New Roman"/>
              <w:sz w:val="20"/>
            </w:rPr>
            <w:t>Lietuvos Respublikos kelių įstatymo Nr. I-891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d49732a73411ef90b5ee8931e5ce5e">
            <w:r w:rsidRPr="00532B9F">
              <w:rPr>
                <w:rFonts w:ascii="Times New Roman" w:eastAsia="MS Mincho" w:hAnsi="Times New Roman"/>
                <w:sz w:val="20"/>
                <w:iCs/>
                <w:color w:val="0000FF" w:themeColor="hyperlink"/>
                <w:u w:val="single"/>
              </w:rPr>
              <w:t>XIV-3155</w:t>
            </w:r>
          </w:fldSimple>
          <w:r>
            <w:rPr>
              <w:rFonts w:ascii="Times New Roman" w:eastAsia="MS Mincho" w:hAnsi="Times New Roman"/>
              <w:sz w:val="20"/>
              <w:iCs/>
            </w:rPr>
            <w:t>,
2024-11-12,
paskelbta TAR 2024-11-20, i. k. 2024-20213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ac6e40a73411ef90b5ee8931e5ce5e">
            <w:r w:rsidRPr="00532B9F">
              <w:rPr>
                <w:rFonts w:ascii="Times New Roman" w:eastAsia="MS Mincho" w:hAnsi="Times New Roman"/>
                <w:sz w:val="20"/>
                <w:iCs/>
                <w:color w:val="0000FF" w:themeColor="hyperlink"/>
                <w:u w:val="single"/>
              </w:rPr>
              <w:t>XIV-3153</w:t>
            </w:r>
          </w:fldSimple>
          <w:r>
            <w:rPr>
              <w:rFonts w:ascii="Times New Roman" w:eastAsia="MS Mincho" w:hAnsi="Times New Roman"/>
              <w:sz w:val="20"/>
              <w:iCs/>
            </w:rPr>
            <w:t>,
2024-11-12,
paskelbta TAR 2024-11-20, i. k. 2024-20211                </w:t>
          </w:r>
        </w:p>
        <w:p>
          <w:pPr>
            <w:jc w:val="both"/>
            <w:rPr>
              <w:rFonts w:ascii="Times New Roman" w:hAnsi="Times New Roman"/>
            </w:rPr>
          </w:pPr>
          <w:r>
            <w:rPr>
              <w:rFonts w:ascii="Times New Roman" w:hAnsi="Times New Roman"/>
              <w:sz w:val="20"/>
            </w:rPr>
            <w:t>Lietuvos Respublikos kelių įstatymo Nr. I-891 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8c55a2b87e11ef88c08519262548c4">
            <w:r w:rsidRPr="00532B9F">
              <w:rPr>
                <w:rFonts w:ascii="Times New Roman" w:eastAsia="MS Mincho" w:hAnsi="Times New Roman"/>
                <w:sz w:val="20"/>
                <w:iCs/>
                <w:color w:val="0000FF" w:themeColor="hyperlink"/>
                <w:u w:val="single"/>
              </w:rPr>
              <w:t>XV-34</w:t>
            </w:r>
          </w:fldSimple>
          <w:r>
            <w:rPr>
              <w:rFonts w:ascii="Times New Roman" w:eastAsia="MS Mincho" w:hAnsi="Times New Roman"/>
              <w:sz w:val="20"/>
              <w:iCs/>
            </w:rPr>
            <w:t>,
2024-12-05,
paskelbta TAR 2024-12-12, i. k. 2024-22106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8.xml"/>
  <Relationship Id="rId11" Type="http://schemas.openxmlformats.org/officeDocument/2006/relationships/footer" Target="footer58.xml"/>
  <Relationship Id="rId12" Type="http://schemas.openxmlformats.org/officeDocument/2006/relationships/footer" Target="footer59.xml"/>
  <Relationship Id="rId13" Type="http://schemas.openxmlformats.org/officeDocument/2006/relationships/header" Target="header59.xml"/>
  <Relationship Id="rId14" Type="http://schemas.openxmlformats.org/officeDocument/2006/relationships/footer" Target="footer6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6591e947d67b40df9d213997ac990030"/>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565b3c90139248179e2c59ac52f9ceea"/>
        <Part Type="strDalis" Nr="3" Abbr="4 str. 3 d." DocPartId="9c523e793aa94509b128f45f62b99140" PartId="3075bc118ce6421cac50568e430261d9"/>
        <Part Type="strDalis" Nr="4" Abbr="4 str. 4 d." DocPartId="7c23d4230ce642329c04531c3d60543d" PartId="092ffac05178447fbc63ddfb2259908d"/>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965c2dd1b890458e94c19e22f028a70b">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7 p." DocPartId="74e75b1b06f947f3af451a73d561f105" PartId="4959f5a8d8694ff6a778812b7c6f0afb"/>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2d7ddeee6af94b6f94304f5d2adb8dfc">
        <Part Type="strDalis" Nr="1" Abbr="7 str. 1 d." DocPartId="b95a82ae574048d186ea7145baaafafd" PartId="9b51565be14d4465997fa96917d671b6"/>
        <Part Type="strDalis" Nr="2" Abbr="7 str. 2 d." DocPartId="0deb67b759cc4f4f8eb40c3075826fe7" PartId="c49360cbf67c4c81ad897d3e249d5671"/>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cd3d9a8ecccb4ef9b60279583aeb6b66"/>
        <Part Type="strDalis" Nr="4" Abbr="4 d." DocPartId="efb25b57c1b34a3888ae9e4e31c19aa2" PartId="a4234b0d40ec4b3ea1392cce473493ae"/>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32c254164a2242598ddb01907325c5ab"/>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0561cbc3a36e4c59bdd1c0d15e75b5d7"/>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c78d89780f64446ea3ebc6fc916a6c8c"/>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9d97c03b13074d8a98446506a4ae9643"/>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023df8076c4946e992ed8416c2345547">
          <Part Type="strPunktas" Nr="1" Abbr="20 str. 12 d. 1 p." DocPartId="be5098150aee4686b78a9b0db8cd56a6" PartId="232c4e6ecb9e4556881a0a99cdf6c49a"/>
          <Part Type="strPunktas" Nr="2" Abbr="20 str. 12 d. 2 p." DocPartId="59878ff8af104d318397a7cd34de2908" PartId="b45dc959cbb64577aa493f8aed18d966"/>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3d98627d19104839b0b5851d1f3f0fbc">
          <Part Type="strPunktas" Nr="1" Abbr="20 str. 21 d. 1 p." DocPartId="5497793d8622434eb7b912476baf0eae" PartId="903db6b1747c4c4790235574cfb318cf"/>
          <Part Type="strPunktas" Nr="2" Abbr="20 str. 21 d. 2 p." DocPartId="baafeece979647b68ea7cc5e55b85a05" PartId="abe8093d2813443fa327ebc2499332cf"/>
          <Part Type="strPunktas" Nr="3" Abbr="20 str. 21 d. 3 p." DocPartId="b848cc0b071b4b9ca9a30ae25538af85" PartId="c1f7d84c40ab4704a6591bbee8b34f32"/>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cb9ceb5975df413abfc2a54addfadc0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4A9DF2E-129A-43CB-B316-5C5CC15DBF99}">
  <ds:schemaRefs>
    <ds:schemaRef ds:uri="http://lrs.lt/TAIS/DocParts"/>
  </ds:schemaRefs>
</ds:datastoreItem>
</file>

<file path=customXml/itemProps3.xml><?xml version="1.0" encoding="utf-8"?>
<ds:datastoreItem xmlns:ds="http://schemas.openxmlformats.org/officeDocument/2006/customXml" ds:itemID="{22D4F427-2EC3-48AD-8526-3E4B388D217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TotalTime>
  <Pages>14</Pages>
  <Words>31496</Words>
  <Characters>17953</Characters>
  <Application>Microsoft Office Word</Application>
  <DocSecurity>0</DocSecurity>
  <Lines>149</Lines>
  <Paragraphs>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49351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TAMALIŪNIENĖ Vilija</lastModifiedBy>
  <dcterms:modified xsi:type="dcterms:W3CDTF">2024-12-13T08:13:00Z</dcterms:modified>
  <revision>45</revision>
</coreProperties>
</file>