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2025-02-01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8b352917a5e94ebbae48b65a16bd04dd"/>
                    <w:lock w:val="sdtLocked"/>
                    <w:richText/>
                  </w:sdtPr>
                  <w:sdtContent>
                    <w:p>
                      <w:pPr>
                        <w:tabs>
                          <w:tab w:val="left" w:pos="851"/>
                        </w:tabs>
                        <w:ind w:firstLine="720"/>
                        <w:jc w:val="both"/>
                        <w:rPr>
                          <w:szCs w:val="24"/>
                          <w:lang w:eastAsia="lt-LT"/>
                        </w:rPr>
                      </w:pPr>
                      <w:sdt>
                        <w:sdtPr>
                          <w:alias w:val="Numeris"/>
                          <w:tag w:val="nr_8b352917a5e94ebbae48b65a16bd04dd"/>
                          <w:lock w:val="sdtLocked"/>
                          <w:richText/>
                        </w:sdtPr>
                        <w:sdtContent>
                          <w:r>
                            <w:rPr>
                              <w:szCs w:val="22"/>
                            </w:rPr>
                            <w:t>13</w:t>
                          </w:r>
                        </w:sdtContent>
                      </w:sdt>
                      <w:r>
                        <w:rPr>
                          <w:szCs w:val="22"/>
                        </w:rPr>
                        <w:t xml:space="preserve">. </w:t>
                      </w:r>
                      <w:r>
                        <w:rPr>
                          <w:b/>
                          <w:bCs/>
                          <w:szCs w:val="22"/>
                        </w:rPr>
                        <w:t>Kelio statinys</w:t>
                      </w:r>
                      <w:r>
                        <w:rPr>
                          <w:szCs w:val="22"/>
                        </w:rPr>
                        <w:t xml:space="preserve"> – kelio elementas, turintis laikančiąsias konstrukcijas (tiltas, viadukas, estakada, tunelis, pralaida, triukšmo užtvara, atraminė sienelė, rėminė ar gembinė konstrukcija, pylimas, ryšių bokštas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3b5fecf575df495fa5584e9384bc535c"/>
                    <w:lock w:val="sdtLocked"/>
                    <w:richText/>
                  </w:sdtPr>
                  <w:sdtContent>
                    <w:p>
                      <w:pPr>
                        <w:suppressAutoHyphens/>
                        <w:ind w:firstLine="720"/>
                        <w:jc w:val="both"/>
                        <w:textAlignment w:val="baseline"/>
                      </w:pPr>
                      <w:sdt>
                        <w:sdtPr>
                          <w:alias w:val="Numeris"/>
                          <w:tag w:val="nr_3b5fecf575df495fa5584e9384bc535c"/>
                          <w:lock w:val="sdtLocked"/>
                          <w:richText/>
                        </w:sdtPr>
                        <w:sdtContent>
                          <w:r>
                            <w:rPr>
                              <w:color w:val="000000"/>
                              <w:szCs w:val="24"/>
                            </w:rPr>
                            <w:t>22</w:t>
                          </w:r>
                        </w:sdtContent>
                      </w:sdt>
                      <w:r>
                        <w:rPr>
                          <w:color w:val="000000"/>
                          <w:szCs w:val="24"/>
                        </w:rPr>
                        <w:t>. Kitos šiame įstatyme vartojamos sąvokos suprantamos taip, kaip apibrėžiamos Lietuvos Respublikos kelių priežiūros ir plėtros programos finansavimo įstatyme, Lietuvos Respublikos reklamos įstatyme, Lietuvos Respublikos saugaus eismo automobilių keliais įstatyme, Lietuvos Respublikos elektroninių ryšių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ac6e40a73411ef90b5ee8931e5ce5e">
                        <w:r w:rsidRPr="00532B9F">
                          <w:rPr>
                            <w:rFonts w:ascii="Times New Roman" w:eastAsia="MS Mincho" w:hAnsi="Times New Roman"/>
                            <w:sz w:val="20"/>
                            <w:i/>
                            <w:iCs/>
                            <w:color w:val="0000FF" w:themeColor="hyperlink"/>
                            <w:u w:val="single"/>
                          </w:rPr>
                          <w:t>XIV-3153</w:t>
                        </w:r>
                      </w:fldSimple>
                      <w:r>
                        <w:rPr>
                          <w:rFonts w:ascii="Times New Roman" w:eastAsia="MS Mincho" w:hAnsi="Times New Roman"/>
                          <w:sz w:val="20"/>
                          <w:i/>
                          <w:iCs/>
                        </w:rPr>
                        <w:t>,
2024-11-12,
paskelbta TAR 2024-11-20, i. k. 2024-20211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565b3c90139248179e2c59ac52f9ceea"/>
                    <w:lock w:val="sdtLocked"/>
                    <w:richText/>
                  </w:sdtPr>
                  <w:sdtContent>
                    <w:p>
                      <w:pPr>
                        <w:suppressAutoHyphens/>
                        <w:ind w:firstLine="720"/>
                        <w:jc w:val="both"/>
                        <w:textAlignment w:val="baseline"/>
                        <w:rPr>
                          <w:szCs w:val="24"/>
                        </w:rPr>
                      </w:pPr>
                      <w:sdt>
                        <w:sdtPr>
                          <w:alias w:val="Numeris"/>
                          <w:tag w:val="nr_565b3c90139248179e2c59ac52f9ceea"/>
                          <w:lock w:val="sdtLocked"/>
                          <w:richText/>
                        </w:sdtPr>
                        <w:sdtContent>
                          <w:r>
                            <w:rPr>
                              <w:szCs w:val="24"/>
                            </w:rPr>
                            <w:t>2</w:t>
                          </w:r>
                        </w:sdtContent>
                      </w:sdt>
                      <w:r>
                        <w:rPr>
                          <w:szCs w:val="24"/>
                        </w:rPr>
                        <w:t>. Valstybinės reikšmės keliai išimtine nuosavybės teise priklauso valstybei. Juos patikėjimo teise valdo, naudoja ir jais disponuoja akcinė bendrovė Lietuvos automobilių kelių direkcija, kurios visos akcijos nuosavybės teise priklauso Lietuvos valstybei. Akcinei bendrovei Lietuvos automobilių</w:t>
                      </w:r>
                      <w:r>
                        <w:t xml:space="preserve"> kelių direkcijai valstybinės reikšmės keliai ar jų ruožai perduodami patikėjimo teise Vyriausybei nutarus įrašyti kelią ar jo ruožą į valstybinės reikšmės kelių sąrašą. </w:t>
                      </w:r>
                      <w:r>
                        <w:rPr>
                          <w:szCs w:val="24"/>
                        </w:rPr>
                        <w:t>Akcinė bendrovė Lietuvos automobilių kelių direkcija registruoja valstybinės reikšmės kelius Nekilnojamojo turto registre Lietuvos valstybės nuosavybės ir akcinės bendrovės Lietuvos automobilių kelių direkcijos patikėjimo teise. Valstybinės reikšmės keliai į apskaitą traukiami atskirai nuo akcinės bendrovės Lietuvos automobilių kelių direkcijos nuosavybės teise valdomo turto.</w:t>
                      </w:r>
                      <w:r>
                        <w:t xml:space="preserve"> </w:t>
                      </w:r>
                      <w:r>
                        <w:rPr>
                          <w:szCs w:val="24"/>
                        </w:rPr>
                        <w:t>Akcinė bendrovė Lietuvos automobilių kelių direkcija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apskaitą traukiamo turto rūšis, valstybinės reikšmės kelių būklės pasikeitimai ataskaitiniais metais, kita svarbi informacija, susijusi su valstybinės reikšmės kelių valdymu, naudojimu ir disponavimu jais. Sprendimus dėl valstybinės reikšmės kelių pripažinimo nereikalingais arba netinkamais (negalimais) naudoti Lietuvos Respublikos valstybės ir savivaldybių turto valdymo, naudojimo ir disponavimo juo įstatymo nustatyta tvarka priima akcinė bendrovė Lietuvos automobilių kelių direkcija. Į valstybinės reikšmės kelius negali būti nukreipiamas išieškojimas pagal akcinės bendrovės Lietuvos automobilių kelių direkcijos prievoles, įskaitant prievoles, atsiradusias šiuos valstybinės reikšmės kelius valdant, naudojant ir jais disponuojant.</w:t>
                      </w:r>
                      <w:r>
                        <w:rPr>
                          <w:b/>
                          <w:szCs w:val="24"/>
                        </w:rPr>
                        <w:t xml:space="preserve"> </w:t>
                      </w:r>
                      <w:r>
                        <w:t>Akcinė bendrovė Lietuvos automobilių kelių direkcija valstybinės reikšmės kelių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092ffac05178447fbc63ddfb2259908d"/>
                    <w:lock w:val="sdtLocked"/>
                    <w:richText/>
                  </w:sdtPr>
                  <w:sdtContent>
                    <w:p>
                      <w:pPr>
                        <w:ind w:firstLine="720"/>
                        <w:jc w:val="both"/>
                      </w:pPr>
                      <w:sdt>
                        <w:sdtPr>
                          <w:alias w:val="Numeris"/>
                          <w:tag w:val="nr_092ffac05178447fbc63ddfb2259908d"/>
                          <w:lock w:val="sdtLocked"/>
                          <w:richText/>
                        </w:sdtPr>
                        <w:sdtContent>
                          <w:r>
                            <w:t>4</w:t>
                          </w:r>
                        </w:sdtContent>
                      </w:sdt>
                      <w:r>
                        <w:t>. Nutiestas naujas valstybinės reikšmės kelias ar jo ruožas nuosavybės teise priklauso valstybei ir turi būti įrašomas į valstybinės reikšmės kelių sąrašą. Valstybinės reikšmės kelias ar jo ruožas Susisiekimo ministerijos teikimu išbraukiamas iš valstybinės reikšmės kelių sąrašo, kai pasikeičia kelio socialinė ekonominė reikšmė. Gavus atitinkamos savivaldybės tarybos sutikimą, tokie keliai ar jų ruožai teisės aktų nustatyta tvarka perduodami savivaldybių nuosavybėn su visais jiems priklausančiais statiniais ir techninėmis eismo reguliavimo priemonėmis ir įrašomi į vietinės reikšmės kelių sąrašą. Savivaldybės tarybos sutikimu vietinės reikšmės kelias ar jo ruožas išbraukiamas iš vietinės reikšmės kelių sąrašo, kai pasikeičia to kelio socialinė ekonominė reikšmė. Toks kelias ar jo ruožas teisės aktų nustatyta tvarka Susisiekimo ministerijos teikimu perduodamas su visais jam priklausančiais statiniais ir techninėmis eismo reguliavimo priemonėmis valstybės nuosavybėn ir įrašomas į valstybinės reikšmės kelių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965c2dd1b890458e94c19e22f028a70b"/>
                    <w:lock w:val="sdtLocked"/>
                    <w:richText/>
                  </w:sdtPr>
                  <w:sdtContent>
                    <w:p>
                      <w:pPr>
                        <w:suppressAutoHyphens/>
                        <w:ind w:firstLine="720"/>
                        <w:jc w:val="both"/>
                        <w:textAlignment w:val="baseline"/>
                        <w:rPr>
                          <w:szCs w:val="24"/>
                          <w:lang w:eastAsia="lt-LT"/>
                        </w:rPr>
                      </w:pPr>
                      <w:sdt>
                        <w:sdtPr>
                          <w:alias w:val="Numeris"/>
                          <w:tag w:val="nr_965c2dd1b890458e94c19e22f028a70b"/>
                          <w:lock w:val="sdtLocked"/>
                          <w:richText/>
                        </w:sdtPr>
                        <w:sdtContent>
                          <w:r>
                            <w:rPr>
                              <w:szCs w:val="24"/>
                              <w:lang w:eastAsia="lt-LT"/>
                            </w:rPr>
                            <w:t>3</w:t>
                          </w:r>
                        </w:sdtContent>
                      </w:sdt>
                      <w:r>
                        <w:rPr>
                          <w:szCs w:val="24"/>
                          <w:lang w:eastAsia="lt-LT"/>
                        </w:rPr>
                        <w:t>. Akcinė bendrovė Lietuvos automobilių kelių direkcija organizuoja ir koordinuoja valstybinės reikšmės kelių atkūrimą, priežiūrą ir plėtrą, taip pat:</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b2bb00e673f840348045e2b6832ad810"/>
                        <w:lock w:val="sdtLocked"/>
                        <w:richText/>
                      </w:sdtPr>
                      <w:sdtContent>
                        <w:p>
                          <w:pPr>
                            <w:ind w:firstLine="720"/>
                            <w:jc w:val="both"/>
                            <w:rPr>
                              <w:szCs w:val="24"/>
                              <w:lang w:eastAsia="lt-LT"/>
                            </w:rPr>
                          </w:pPr>
                          <w:sdt>
                            <w:sdtPr>
                              <w:alias w:val="Numeris"/>
                              <w:tag w:val="nr_b2bb00e673f840348045e2b6832ad810"/>
                              <w:lock w:val="sdtLocked"/>
                              <w:richText/>
                            </w:sdtPr>
                            <w:sdtContent>
                              <w:r>
                                <w:t>5</w:t>
                              </w:r>
                            </w:sdtContent>
                          </w:sdt>
                          <w:r>
                            <w:t>) atlieka planuojamų valstybinės reikšmės kelių tiesimo, statybos ir rekonstrukcijos projektų analizę, Lietuvos Respublikos Vyriausybės nustatytais atvejais ir jos nustatyta tvarka atlieka šių projektų sąnaudų ir naudos analizę ir pasirenka geriausią projekto įgyvendinimo galimybę, ir šio pasirinkimo rezultatus paskelbia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a14ae0885411eea5a28c81c82193a8">
                            <w:r w:rsidRPr="00532B9F">
                              <w:rPr>
                                <w:rFonts w:ascii="Times New Roman" w:eastAsia="MS Mincho" w:hAnsi="Times New Roman"/>
                                <w:sz w:val="20"/>
                                <w:i/>
                                <w:iCs/>
                                <w:color w:val="0000FF" w:themeColor="hyperlink"/>
                                <w:u w:val="single"/>
                              </w:rPr>
                              <w:t>XIV-2225</w:t>
                            </w:r>
                          </w:fldSimple>
                          <w:r>
                            <w:rPr>
                              <w:rFonts w:ascii="Times New Roman" w:eastAsia="MS Mincho" w:hAnsi="Times New Roman"/>
                              <w:sz w:val="20"/>
                              <w:i/>
                              <w:iCs/>
                            </w:rPr>
                            <w:t>,
2023-11-09,
paskelbta TAR 2023-11-21, i. k. 2023-22371            </w:t>
                          </w:r>
                        </w:p>
                        <w:p/>
                      </w:sdtContent>
                    </w:sdt>
                    <w:sdt>
                      <w:sdtPr>
                        <w:alias w:val="5 str. 3 d. 6 p."/>
                        <w:tag w:val="part_7133d578e2d34526b45ca620bdb3a963"/>
                        <w:lock w:val="sdtLocked"/>
                        <w:richText/>
                      </w:sdtPr>
                      <w:sdtContent>
                        <w:p>
                          <w:pPr>
                            <w:suppressAutoHyphens/>
                            <w:ind w:firstLine="720"/>
                            <w:jc w:val="both"/>
                            <w:textAlignment w:val="baseline"/>
                          </w:pPr>
                          <w:sdt>
                            <w:sdtPr>
                              <w:alias w:val="Numeris"/>
                              <w:tag w:val="nr_7133d578e2d34526b45ca620bdb3a963"/>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sdt>
                      <w:sdtPr>
                        <w:alias w:val="7 p."/>
                        <w:tag w:val="part_4959f5a8d8694ff6a778812b7c6f0afb"/>
                        <w:lock w:val="sdtLocked"/>
                        <w:richText/>
                      </w:sdtPr>
                      <w:sdtContent>
                        <w:p>
                          <w:pPr>
                            <w:ind w:firstLine="720"/>
                            <w:jc w:val="both"/>
                            <w:rPr>
                              <w:color w:val="000000"/>
                            </w:rPr>
                          </w:pPr>
                          <w:sdt>
                            <w:sdtPr>
                              <w:alias w:val="Numeris"/>
                              <w:tag w:val="nr_4959f5a8d8694ff6a778812b7c6f0afb"/>
                              <w:lock w:val="sdtLocked"/>
                              <w:richText/>
                            </w:sdtPr>
                            <w:sdtContent>
                              <w:r>
                                <w:rPr>
                                  <w:szCs w:val="22"/>
                                </w:rPr>
                                <w:t>7</w:t>
                              </w:r>
                            </w:sdtContent>
                          </w:sdt>
                          <w:r>
                            <w:rPr>
                              <w:szCs w:val="22"/>
                            </w:rPr>
                            <w:t>) skaidriomis ir nediskriminacinėmis sąlygomis, vadovaudamasi Elektroninių ryšių įstatymo 45 straipsniu (išskyrus 45 straipsnio 5 dalies nuostatą, kad Lietuvos Respublikos ryšių reguliavimo tarnyba, nagrinėdama tarp infrastruktūros naudotojo ir infrastruktūros valdytojo kilusį ginčą, turi teisę nustatyti užmokesčio už naudojimąsi elektroninių ryšių infrastruktūra ir (arba) tinkamos paskirties fizine infrastruktūra dydį),</w:t>
                          </w:r>
                          <w:r>
                            <w:rPr>
                              <w:bCs/>
                              <w:szCs w:val="22"/>
                            </w:rPr>
                            <w:t xml:space="preserve"> </w:t>
                          </w:r>
                          <w:r>
                            <w:rPr>
                              <w:szCs w:val="22"/>
                            </w:rPr>
                            <w:t>suteikia operatoriams, siekiantiems užtikrinti ryšį, reikalingą eismo dalyvių įrenginiams, transporto sistemoms ir transporto priemonėms veikti, bendrai naudotis akcinės bendrovės Lietuvos automobilių kelių direkcijos</w:t>
                          </w:r>
                          <w:r>
                            <w:rPr>
                              <w:bCs/>
                              <w:szCs w:val="22"/>
                            </w:rPr>
                            <w:t xml:space="preserve"> </w:t>
                          </w:r>
                          <w:r>
                            <w:rPr>
                              <w:szCs w:val="22"/>
                            </w:rPr>
                            <w:t>patikėjimo teise valdomais, naudojamais ir disponuojamais ryšių bokštais, esančiais valstybinės reikšmės keliuose (toliau – ryšių bokštų bendras naudojimas). Sutartyje dėl ryšių bokštų bendro naudojimo turi būti numatytas ne ilgesnis kaip 10 metų sutarties galiojimo terminas, kuris gali būti pratęsiamas tam pačiam laikotarpiui neribotą kartų skaičių, užmokesčio dydis, jo mokėjimo ir peržiūros tvarka, 0,05 procento dydžio delspinigiai nuo laiku operatoriaus nesumokėtos sumos už kiekvieną uždelstą kalendorinę dieną, operatoriaus atsakomybė už netinkamą sutarties įsipareigojimų vykdymą, sutarties nutraukimo atvejai ir tvarka. Užmokestis, kurį moka operatoriai už ryšių bokštų bendrą naudojimą,</w:t>
                          </w:r>
                          <w:r>
                            <w:rPr>
                              <w:bCs/>
                              <w:szCs w:val="22"/>
                            </w:rPr>
                            <w:t xml:space="preserve"> </w:t>
                          </w:r>
                          <w:r>
                            <w:rPr>
                              <w:szCs w:val="22"/>
                            </w:rPr>
                            <w:t xml:space="preserve">yra apskaičiuojamas susisiekimo ministro nustatyta tvarka ir turi būti pagrįstas patirtomis ryšių bokštų įrengimo, eksploatavimo sąnaudomis ir protingumo kriterijų atitinkančia investicijų grąža. </w:t>
                          </w:r>
                          <w:r>
                            <w:rPr>
                              <w:szCs w:val="24"/>
                            </w:rPr>
                            <w:t>Lėšos, gautos už ryšių bokštų bendrą naudojimą, yra akcinės bendrovės Lietuvos automobilių kelių direkcijos pajamos. Šios lėšos naudojamos ryšių bokštams statyti ir jiems funkcionuoti reikalingiems elektros, ryšių linijų įvadams įrengti skirtai paskolai grąžinti ir palūkanoms mokėti,</w:t>
                          </w:r>
                          <w:r>
                            <w:rPr>
                              <w:bCs/>
                              <w:szCs w:val="24"/>
                            </w:rPr>
                            <w:t xml:space="preserve"> </w:t>
                          </w:r>
                          <w:r>
                            <w:rPr>
                              <w:szCs w:val="24"/>
                            </w:rPr>
                            <w:t>taip pat ryšių bokštų ir jiems funkcionuoti reikalingų elektros, ryšių linijų įvadų eksploatavimo sąnaudoms ir kitoms su šio turto eksploatavimu, naudojimu ir priežiūra susijusioms sąnaudoms padengti.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2d7ddeee6af94b6f94304f5d2adb8dfc"/>
                <w:lock w:val="sdtLocked"/>
                <w:richText/>
              </w:sdtPr>
              <w:sdtContent>
                <w:p>
                  <w:pPr>
                    <w:suppressAutoHyphens/>
                    <w:ind w:firstLine="720"/>
                    <w:jc w:val="both"/>
                    <w:textAlignment w:val="baseline"/>
                    <w:rPr>
                      <w:szCs w:val="24"/>
                    </w:rPr>
                  </w:pPr>
                  <w:sdt>
                    <w:sdtPr>
                      <w:alias w:val="Numeris"/>
                      <w:tag w:val="nr_2d7ddeee6af94b6f94304f5d2adb8dfc"/>
                      <w:lock w:val="sdtLocked"/>
                      <w:richText/>
                    </w:sdtPr>
                    <w:sdtContent>
                      <w:r>
                        <w:rPr>
                          <w:b/>
                          <w:bCs/>
                          <w:szCs w:val="24"/>
                        </w:rPr>
                        <w:t>7</w:t>
                      </w:r>
                    </w:sdtContent>
                  </w:sdt>
                  <w:r>
                    <w:rPr>
                      <w:b/>
                      <w:bCs/>
                      <w:szCs w:val="24"/>
                    </w:rPr>
                    <w:t xml:space="preserve"> straipsnis. </w:t>
                  </w:r>
                  <w:sdt>
                    <w:sdtPr>
                      <w:alias w:val="Pavadinimas"/>
                      <w:tag w:val="title_2d7ddeee6af94b6f94304f5d2adb8dfc"/>
                      <w:lock w:val="sdtLocked"/>
                      <w:richText/>
                    </w:sdtPr>
                    <w:sdtContent>
                      <w:r>
                        <w:rPr>
                          <w:b/>
                          <w:bCs/>
                          <w:szCs w:val="24"/>
                        </w:rPr>
                        <w:t>Informacijos kaupimas ir sklaida</w:t>
                      </w:r>
                    </w:sdtContent>
                  </w:sdt>
                </w:p>
                <w:sdt>
                  <w:sdtPr>
                    <w:alias w:val="7 str. 1 d."/>
                    <w:tag w:val="part_9b51565be14d4465997fa96917d671b6"/>
                    <w:lock w:val="sdtLocked"/>
                    <w:richText/>
                  </w:sdtPr>
                  <w:sdtContent>
                    <w:p>
                      <w:pPr>
                        <w:suppressAutoHyphens/>
                        <w:ind w:firstLine="720"/>
                        <w:jc w:val="both"/>
                        <w:textAlignment w:val="baseline"/>
                        <w:rPr>
                          <w:szCs w:val="24"/>
                        </w:rPr>
                      </w:pPr>
                      <w:sdt>
                        <w:sdtPr>
                          <w:alias w:val="Numeris"/>
                          <w:tag w:val="nr_9b51565be14d4465997fa96917d671b6"/>
                          <w:lock w:val="sdtLocked"/>
                          <w:richText/>
                        </w:sdtPr>
                        <w:sdtContent>
                          <w:r>
                            <w:rPr>
                              <w:szCs w:val="24"/>
                            </w:rPr>
                            <w:t>1</w:t>
                          </w:r>
                        </w:sdtContent>
                      </w:sdt>
                      <w:r>
                        <w:rPr>
                          <w:szCs w:val="24"/>
                        </w:rPr>
                        <w:t xml:space="preserve">. Akcinė bendrovė Lietuvos automobilių kelių direkcija informuoja visuomenę apie eismo sąlygas valstybinės ir vietinės reikšmės keliuose per visuomenės informavimo priemones. </w:t>
                      </w:r>
                    </w:p>
                  </w:sdtContent>
                </w:sdt>
                <w:sdt>
                  <w:sdtPr>
                    <w:alias w:val="7 str. 2 d."/>
                    <w:tag w:val="part_c49360cbf67c4c81ad897d3e249d5671"/>
                    <w:lock w:val="sdtLocked"/>
                    <w:richText/>
                  </w:sdtPr>
                  <w:sdtContent>
                    <w:p>
                      <w:pPr>
                        <w:suppressAutoHyphens/>
                        <w:ind w:firstLine="720"/>
                        <w:jc w:val="both"/>
                        <w:textAlignment w:val="baseline"/>
                        <w:rPr>
                          <w:b/>
                        </w:rPr>
                      </w:pPr>
                      <w:sdt>
                        <w:sdtPr>
                          <w:alias w:val="Numeris"/>
                          <w:tag w:val="nr_c49360cbf67c4c81ad897d3e249d5671"/>
                          <w:lock w:val="sdtLocked"/>
                          <w:richText/>
                        </w:sdtPr>
                        <w:sdtContent>
                          <w:r>
                            <w:rPr>
                              <w:szCs w:val="24"/>
                            </w:rPr>
                            <w:t>2</w:t>
                          </w:r>
                        </w:sdtContent>
                      </w:sdt>
                      <w:r>
                        <w:rPr>
                          <w:szCs w:val="24"/>
                        </w:rPr>
                        <w:t>. Kelių savininkai arba jų įgalioti valdytojai teikia kelių eismo ir kelių duomenis akcinei bendrovei Lietuvos automobilių kelių direkcijai susisiekimo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cd3d9a8ecccb4ef9b60279583aeb6b66"/>
                    <w:lock w:val="sdtLocked"/>
                    <w:richText/>
                  </w:sdtPr>
                  <w:sdtContent>
                    <w:p>
                      <w:pPr>
                        <w:ind w:firstLine="708"/>
                        <w:jc w:val="both"/>
                      </w:pPr>
                      <w:sdt>
                        <w:sdtPr>
                          <w:alias w:val="Numeris"/>
                          <w:tag w:val="nr_cd3d9a8ecccb4ef9b60279583aeb6b66"/>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sdtContent>
                </w:sdt>
                <w:sdt>
                  <w:sdtPr>
                    <w:alias w:val="4 d."/>
                    <w:tag w:val="part_a4234b0d40ec4b3ea1392cce473493ae"/>
                    <w:lock w:val="sdtLocked"/>
                    <w:richText/>
                  </w:sdtPr>
                  <w:sdtContent>
                    <w:p>
                      <w:pPr>
                        <w:ind w:firstLine="720"/>
                        <w:jc w:val="both"/>
                      </w:pPr>
                      <w:sdt>
                        <w:sdtPr>
                          <w:alias w:val="Numeris"/>
                          <w:tag w:val="nr_a4234b0d40ec4b3ea1392cce473493ae"/>
                          <w:lock w:val="sdtLocked"/>
                          <w:richText/>
                        </w:sdtPr>
                        <w:sdtContent>
                          <w:r>
                            <w:rPr>
                              <w:bCs/>
                              <w:szCs w:val="24"/>
                              <w:lang w:eastAsia="lt-LT"/>
                            </w:rPr>
                            <w:t>4</w:t>
                          </w:r>
                        </w:sdtContent>
                      </w:sdt>
                      <w:r>
                        <w:rPr>
                          <w:bCs/>
                          <w:szCs w:val="24"/>
                          <w:lang w:eastAsia="lt-LT"/>
                        </w:rPr>
                        <w:t xml:space="preserve">. Keliai projektuojami, tiesiami, statomi, rekonstruojami, taisomi (remontuojami) ir prižiūrimi  Vyriausybės ar jos įgaliotos institucijos nustatyta tvarka taikant statinio informacinio modeliavimo metodus sudėtingiems konstrukciniams kelių elementams: viadukams, estakadoms, tiltams, dviejų ly</w:t>
                      </w:r>
                      <w:r>
                        <w:rPr>
                          <w:szCs w:val="24"/>
                          <w:lang w:eastAsia="lt-LT"/>
                        </w:rPr>
                        <w:t>g</w:t>
                      </w:r>
                      <w:r>
                        <w:rPr>
                          <w:bCs/>
                          <w:szCs w:val="24"/>
                          <w:lang w:eastAsia="lt-LT"/>
                        </w:rPr>
                        <w:t>ių sankryžoms, sankirtoms ir pan. Automobilių kelių objektams, kurie erdvinių duomenų rinkinyje išreiškiami linijiniu grafiniu elementu ir kurie savyje neturi konstrukcinių elementų (nėra sudėtingų mazgų ar kitų susikirtimų), taikomi Vyriausybės ar jos įgaliotos institucijos nustatyta tvarka nustatyti minimalūs statinio informacinio modeliavimo metodų taikymo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a17601dbb11ef8b14c5bcce136045">
                        <w:r w:rsidRPr="00532B9F">
                          <w:rPr>
                            <w:rFonts w:ascii="Times New Roman" w:eastAsia="MS Mincho" w:hAnsi="Times New Roman"/>
                            <w:sz w:val="20"/>
                            <w:i/>
                            <w:iCs/>
                            <w:color w:val="0000FF" w:themeColor="hyperlink"/>
                            <w:u w:val="single"/>
                          </w:rPr>
                          <w:t>XIV-2663</w:t>
                        </w:r>
                      </w:fldSimple>
                      <w:r>
                        <w:rPr>
                          <w:rFonts w:ascii="Times New Roman" w:eastAsia="MS Mincho" w:hAnsi="Times New Roman"/>
                          <w:sz w:val="20"/>
                          <w:i/>
                          <w:iCs/>
                        </w:rPr>
                        <w:t>,
2024-05-16,
paskelbta TAR 2024-05-29, i. k. 2024-09622        </w:t>
                      </w:r>
                    </w:p>
                    <w:p/>
                  </w:sdtContent>
                </w:sdt>
              </w:sdtContent>
            </w:sdt>
            <w:sdt>
              <w:sdtPr>
                <w:alias w:val="9 str."/>
                <w:tag w:val="part_18b5046942c54ba4a8e439288b28ecab"/>
                <w:lock w:val="sdtLocked"/>
                <w:richText/>
              </w:sdtPr>
              <w:sdtContent>
                <w:p>
                  <w:pPr>
                    <w:suppressAutoHyphens/>
                    <w:ind w:firstLine="720"/>
                    <w:textAlignment w:val="baseline"/>
                    <w:rPr>
                      <w:szCs w:val="24"/>
                    </w:rPr>
                  </w:pPr>
                  <w:sdt>
                    <w:sdtPr>
                      <w:alias w:val="Numeris"/>
                      <w:tag w:val="nr_18b5046942c54ba4a8e439288b28ecab"/>
                      <w:lock w:val="sdtLocked"/>
                      <w:richText/>
                    </w:sdtPr>
                    <w:sdtContent>
                      <w:r>
                        <w:rPr>
                          <w:b/>
                          <w:bCs/>
                          <w:szCs w:val="24"/>
                        </w:rPr>
                        <w:t>9</w:t>
                      </w:r>
                    </w:sdtContent>
                  </w:sdt>
                  <w:r>
                    <w:rPr>
                      <w:b/>
                      <w:bCs/>
                      <w:szCs w:val="24"/>
                    </w:rPr>
                    <w:t xml:space="preserve"> straipsnis. </w:t>
                  </w:r>
                  <w:sdt>
                    <w:sdtPr>
                      <w:alias w:val="Pavadinimas"/>
                      <w:tag w:val="title_18b5046942c54ba4a8e439288b28ecab"/>
                      <w:lock w:val="sdtLocked"/>
                      <w:richText/>
                    </w:sdtPr>
                    <w:sdtContent>
                      <w:r>
                        <w:rPr>
                          <w:b/>
                          <w:bCs/>
                          <w:szCs w:val="24"/>
                        </w:rPr>
                        <w:t>Kelių kategorijos nustatymas</w:t>
                      </w:r>
                    </w:sdtContent>
                  </w:sdt>
                </w:p>
                <w:sdt>
                  <w:sdtPr>
                    <w:alias w:val="9 str. 1 d."/>
                    <w:tag w:val="part_22a828a0ea5e4ec3b696f8b6dcd7b399"/>
                    <w:lock w:val="sdtLocked"/>
                    <w:richText/>
                  </w:sdtPr>
                  <w:sdtContent>
                    <w:p>
                      <w:pPr>
                        <w:suppressAutoHyphens/>
                        <w:ind w:firstLine="720"/>
                        <w:jc w:val="both"/>
                        <w:textAlignment w:val="baseline"/>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32c254164a2242598ddb01907325c5ab"/>
                    <w:lock w:val="sdtLocked"/>
                    <w:richText/>
                  </w:sdtPr>
                  <w:sdtContent>
                    <w:p>
                      <w:pPr>
                        <w:ind w:right="-2" w:firstLine="720"/>
                        <w:jc w:val="both"/>
                        <w:rPr>
                          <w:szCs w:val="24"/>
                          <w:lang w:eastAsia="lt-LT"/>
                        </w:rPr>
                      </w:pPr>
                      <w:sdt>
                        <w:sdtPr>
                          <w:alias w:val="Numeris"/>
                          <w:tag w:val="nr_32c254164a2242598ddb01907325c5ab"/>
                          <w:lock w:val="sdtLocked"/>
                          <w:richText/>
                        </w:sdtPr>
                        <w:sdtContent>
                          <w:r>
                            <w:rPr>
                              <w:szCs w:val="24"/>
                              <w:lang w:eastAsia="lt-LT"/>
                            </w:rPr>
                            <w:t>2</w:t>
                          </w:r>
                        </w:sdtContent>
                      </w:sdt>
                      <w:r>
                        <w:rPr>
                          <w:szCs w:val="24"/>
                          <w:lang w:eastAsia="lt-LT"/>
                        </w:rPr>
                        <w:t xml:space="preserve">. Valstybinės reikšmės keliams priskirta žemė priklauso valstybei išimtine nuosavybės teise. Ją patikėjimo teise valdo, naudoja ir ja disponuoja akcinė bendrovė Lietuvos automobilių kelių direkcija. Valstybinės žemės sklypai, reikalingi valstybinės reikšmės keliams projektuoti, tiesti, statyti, rekonstruoti, taisyti (remontuoti) ar priskirti valstybinės reikšmės keliams, perduodami patikėjimo teise akcinei bendrovei Lietuvos automobilių kelių direkcijai Nacionalinės žemės tarnybos prie Aplinkos ministerijos (toliau – Nacionalinė žemės tarnyba) vadovo sprendimu Žemės </w:t>
                      </w:r>
                      <w:r>
                        <w:rPr>
                          <w:bCs/>
                          <w:szCs w:val="24"/>
                          <w:lang w:eastAsia="lt-LT"/>
                        </w:rPr>
                        <w:t>įstatyme</w:t>
                      </w:r>
                      <w:r>
                        <w:rPr>
                          <w:szCs w:val="24"/>
                          <w:lang w:eastAsia="lt-LT"/>
                        </w:rPr>
                        <w:t xml:space="preserve"> ir Vyriausybės nustatyta tvarka. Valstybinės žemės sklypo, perduodamo patikėjimo teise akcinei bendrovei Lietuvos automobilių kelių direkcijai, perdavimo–priėmimo aktą pasirašo Nacionalinės žemės tarnybos vadovas. Valstybinės reikšmės kelią ar jo ruožą išbraukus iš valstybinės reikšmės kelių sąrašo, Nacionalinės žemės tarnybos vadovas Žemės </w:t>
                      </w:r>
                      <w:r>
                        <w:rPr>
                          <w:bCs/>
                          <w:szCs w:val="24"/>
                          <w:lang w:eastAsia="lt-LT"/>
                        </w:rPr>
                        <w:t>įstatyme</w:t>
                      </w:r>
                      <w:r>
                        <w:rPr>
                          <w:szCs w:val="24"/>
                          <w:lang w:eastAsia="lt-LT"/>
                        </w:rPr>
                        <w:t xml:space="preserve"> ir Vyriausybės nustatyta tvarka priima sprendimą dėl patikėjimo teisės į šio kelio ar jo ruožo užimamą valstybinės žemės sklypą pasibaigimo ir tokį žemės sklypą akcinė bendrovė Lietuvos automobilių kelių direkcija perdavimo–priėmimo aktu grąžina Nacionalinei žemės tarnybai.</w:t>
                      </w:r>
                      <w:r>
                        <w:rPr>
                          <w:szCs w:val="24"/>
                        </w:rPr>
                        <w:t xml:space="preserve"> \</w:t>
                      </w:r>
                    </w:p>
                    <w:p>
                      <w:pPr>
                        <w:suppressAutoHyphens/>
                        <w:spacing w:line="360" w:lineRule="auto"/>
                        <w:ind w:right="-284"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01c501faf11eeb233e8b04dc9bb3d">
                        <w:r w:rsidRPr="00532B9F">
                          <w:rPr>
                            <w:rFonts w:ascii="Times New Roman" w:eastAsia="MS Mincho" w:hAnsi="Times New Roman"/>
                            <w:sz w:val="20"/>
                            <w:i/>
                            <w:iCs/>
                            <w:color w:val="0000FF" w:themeColor="hyperlink"/>
                            <w:u w:val="single"/>
                          </w:rPr>
                          <w:t>XIV-2132</w:t>
                        </w:r>
                      </w:fldSimple>
                      <w:r>
                        <w:rPr>
                          <w:rFonts w:ascii="Times New Roman" w:eastAsia="MS Mincho" w:hAnsi="Times New Roman"/>
                          <w:sz w:val="20"/>
                          <w:i/>
                          <w:iCs/>
                        </w:rPr>
                        <w:t>,
2023-06-29,
paskelbta TAR 2023-07-11, i. k. 2023-14324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ac35279924c3471eacf2dbb2f556de9c"/>
                    <w:lock w:val="sdtLocked"/>
                    <w:richText/>
                  </w:sdtPr>
                  <w:sdtContent>
                    <w:p>
                      <w:pPr>
                        <w:ind w:firstLine="708"/>
                        <w:jc w:val="both"/>
                        <w:rPr>
                          <w:color w:val="000000"/>
                        </w:rPr>
                      </w:pPr>
                      <w:sdt>
                        <w:sdtPr>
                          <w:alias w:val="Numeris"/>
                          <w:tag w:val="nr_ac35279924c3471eacf2dbb2f556de9c"/>
                          <w:lock w:val="sdtLocked"/>
                          <w:richText/>
                        </w:sdtPr>
                        <w:sdtContent>
                          <w:r>
                            <w:rPr>
                              <w:color w:val="000000"/>
                            </w:rPr>
                            <w:t>2</w:t>
                          </w:r>
                        </w:sdtContent>
                      </w:sdt>
                      <w:r>
                        <w:rPr>
                          <w:color w:val="000000"/>
                        </w:rPr>
                        <w:t>. Vietinės reikšmės kelių juostos minimalus plotis yra:</w:t>
                      </w:r>
                    </w:p>
                    <w:tbl>
                      <w:tblPr>
                        <w:tblW w:w="9606" w:type="dxa"/>
                        <w:tblLayout w:type="fixed"/>
                        <w:tblLook w:val="0000" w:firstRow="0" w:lastRow="0" w:firstColumn="0" w:lastColumn="0" w:noHBand="0" w:noVBand="0"/>
                      </w:tblPr>
                      <w:tblGrid>
                        <w:gridCol w:w="5070"/>
                        <w:gridCol w:w="399"/>
                        <w:gridCol w:w="4137"/>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137"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57fac3012edf4f56a8f63d469dd2d4a5"/>
                    <w:lock w:val="sdtLocked"/>
                    <w:richText/>
                  </w:sdtPr>
                  <w:sdtContent>
                    <w:p>
                      <w:pPr>
                        <w:ind w:firstLine="708"/>
                        <w:jc w:val="both"/>
                      </w:pPr>
                      <w:sdt>
                        <w:sdtPr>
                          <w:alias w:val="Numeris"/>
                          <w:tag w:val="nr_57fac3012edf4f56a8f63d469dd2d4a5"/>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sdtContent>
                </w:sdt>
                <w:sdt>
                  <w:sdtPr>
                    <w:alias w:val="11 str. 4 d."/>
                    <w:tag w:val="part_e2905d9197854c998ba70f919a549657"/>
                    <w:lock w:val="sdtLocked"/>
                    <w:richText/>
                  </w:sdtPr>
                  <w:sdtContent>
                    <w:p>
                      <w:pPr>
                        <w:ind w:firstLine="720"/>
                        <w:jc w:val="both"/>
                      </w:pPr>
                      <w:sdt>
                        <w:sdtPr>
                          <w:alias w:val="Numeris"/>
                          <w:tag w:val="nr_e2905d9197854c998ba70f919a549657"/>
                          <w:lock w:val="sdtLocked"/>
                          <w:richText/>
                        </w:sdtPr>
                        <w:sdtContent>
                          <w:r>
                            <w:t>4</w:t>
                          </w:r>
                        </w:sdtContent>
                      </w:sdt>
                      <w:r>
                        <w:t>. Jeigu u</w:t>
                      </w:r>
                      <w:r>
                        <w:rPr>
                          <w:szCs w:val="24"/>
                          <w:lang w:eastAsia="lt-LT"/>
                        </w:rPr>
                        <w:t xml:space="preserve">rbanizuotose teritorijose </w:t>
                      </w:r>
                      <w:r>
                        <w:rPr>
                          <w:iCs/>
                          <w:szCs w:val="24"/>
                          <w:lang w:eastAsia="lt-LT"/>
                        </w:rPr>
                        <w:t xml:space="preserve">ir (ar) miestų ir kaimų gyvenamosiose vietovėse </w:t>
                      </w:r>
                      <w:r>
                        <w:rPr>
                          <w:szCs w:val="24"/>
                          <w:lang w:eastAsia="lt-LT"/>
                        </w:rPr>
                        <w:t>esančių kelių, įrašytų į valstybinės reikšmės kelių sąrašą ar vietinės reikšmės kelių sąrašą, ar jų ruožų kelio juostos dėl užstatymo ar kitų priežasčių neatitinka šio straipsnio 1 ir 2 dalyse nurodyto minimalaus pločio ir</w:t>
                      </w:r>
                      <w:r>
                        <w:t xml:space="preserve"> nėra galimybės jų paplatinti</w:t>
                      </w:r>
                      <w:r>
                        <w:rPr>
                          <w:szCs w:val="24"/>
                          <w:lang w:eastAsia="lt-LT"/>
                        </w:rPr>
                        <w:t xml:space="preserve">, šios </w:t>
                      </w:r>
                      <w:r>
                        <w:t xml:space="preserve">kelio juostos </w:t>
                      </w:r>
                      <w:r>
                        <w:rPr>
                          <w:szCs w:val="24"/>
                          <w:lang w:eastAsia="lt-LT"/>
                        </w:rPr>
                        <w:t xml:space="preserve">susisiekimo ministro ar jo įgaliotos institucijos nustatyta tvarka </w:t>
                      </w:r>
                      <w:r>
                        <w:t>nustatomos siauresnės (faktiškai esamo pločio) su visais tame kelyje ar jo ruože esančiais kelio elementais</w:t>
                      </w:r>
                      <w:r>
                        <w:rPr>
                          <w:szCs w:val="24"/>
                          <w:lang w:eastAsia="lt-LT"/>
                        </w:rPr>
                        <w:t>.</w:t>
                      </w:r>
                      <w:r>
                        <w:rPr>
                          <w:bCs/>
                          <w:iCs/>
                          <w:szCs w:val="24"/>
                        </w:rPr>
                        <w:t xml:space="preserve"> Ši nuostata taikoma tik tiems kelių ruožams, kurių užimamos žemės daiktinės teisės nėra užregistruotos</w:t>
                      </w:r>
                      <w:r>
                        <w:rPr>
                          <w:bCs/>
                          <w:iCs/>
                        </w:rPr>
                        <w:t xml:space="preserve"> </w:t>
                      </w:r>
                      <w:r>
                        <w:rPr>
                          <w:bCs/>
                          <w:iCs/>
                          <w:szCs w:val="24"/>
                        </w:rPr>
                        <w:t>Nekilnojamojo turto registre.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25a40eb1911ed9978886e85107ab2">
                        <w:r w:rsidRPr="00532B9F">
                          <w:rPr>
                            <w:rFonts w:ascii="Times New Roman" w:eastAsia="MS Mincho" w:hAnsi="Times New Roman"/>
                            <w:sz w:val="20"/>
                            <w:i/>
                            <w:iCs/>
                            <w:color w:val="0000FF" w:themeColor="hyperlink"/>
                            <w:u w:val="single"/>
                          </w:rPr>
                          <w:t>XIV-1890</w:t>
                        </w:r>
                      </w:fldSimple>
                      <w:r>
                        <w:rPr>
                          <w:rFonts w:ascii="Times New Roman" w:eastAsia="MS Mincho" w:hAnsi="Times New Roman"/>
                          <w:sz w:val="20"/>
                          <w:i/>
                          <w:iCs/>
                        </w:rPr>
                        <w:t>,
2023-04-25,
paskelbta TAR 2023-05-05, i. k. 2023-08611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3156b089e311eea5a28c81c82193a8">
                        <w:r w:rsidRPr="00532B9F">
                          <w:rPr>
                            <w:rFonts w:ascii="Times New Roman" w:eastAsia="MS Mincho" w:hAnsi="Times New Roman"/>
                            <w:sz w:val="20"/>
                            <w:i/>
                            <w:iCs/>
                            <w:color w:val="0000FF" w:themeColor="hyperlink"/>
                            <w:u w:val="single"/>
                          </w:rPr>
                          <w:t>XIV-2226</w:t>
                        </w:r>
                      </w:fldSimple>
                      <w:r>
                        <w:rPr>
                          <w:rFonts w:ascii="Times New Roman" w:eastAsia="MS Mincho" w:hAnsi="Times New Roman"/>
                          <w:sz w:val="20"/>
                          <w:i/>
                          <w:iCs/>
                        </w:rPr>
                        <w:t>,
2023-11-09,
paskelbta TAR 2023-11-23, i. k. 2023-22588            </w:t>
                      </w:r>
                    </w:p>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0561cbc3a36e4c59bdd1c0d15e75b5d7"/>
                    <w:lock w:val="sdtLocked"/>
                    <w:richText/>
                  </w:sdtPr>
                  <w:sdtContent>
                    <w:p>
                      <w:pPr>
                        <w:suppressAutoHyphens/>
                        <w:ind w:firstLine="720"/>
                        <w:jc w:val="both"/>
                        <w:textAlignment w:val="baseline"/>
                        <w:rPr>
                          <w:bCs/>
                        </w:rPr>
                      </w:pPr>
                      <w:sdt>
                        <w:sdtPr>
                          <w:alias w:val="Numeris"/>
                          <w:tag w:val="nr_0561cbc3a36e4c59bdd1c0d15e75b5d7"/>
                          <w:lock w:val="sdtLocked"/>
                          <w:richText/>
                        </w:sdtPr>
                        <w:sdtContent>
                          <w:r>
                            <w:rPr>
                              <w:szCs w:val="24"/>
                            </w:rPr>
                            <w:t>1</w:t>
                          </w:r>
                        </w:sdtContent>
                      </w:sdt>
                      <w:r>
                        <w:rPr>
                          <w:szCs w:val="24"/>
                        </w:rPr>
                        <w:t>. Keliuose, kelių juostose dirbti įvairius darbus be kelio savininko sutikimo draudžiama. Technines eismo reguliavimo valstybinės reikšmės keliuose priemones, suderinusios su akcine bendrove Lietuvos automobilių kelių direkcija, kituose keliuose – su savivaldybės institucija,</w:t>
                      </w:r>
                      <w:r>
                        <w:rPr>
                          <w:b/>
                          <w:bCs/>
                          <w:szCs w:val="24"/>
                        </w:rPr>
                        <w:t xml:space="preserve"> </w:t>
                      </w:r>
                      <w:r>
                        <w:rPr>
                          <w:szCs w:val="24"/>
                        </w:rPr>
                        <w:t>jos įgaliota įstaiga ar įmone, įrengia kelius prižiūrinčios įmonės.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3 str. 2 d."/>
                    <w:tag w:val="part_0bb0858fad904c03bde3e7e5ec8d75b4"/>
                    <w:lock w:val="sdtLocked"/>
                    <w:richText/>
                  </w:sdtPr>
                  <w:sdtContent>
                    <w:p>
                      <w:pPr>
                        <w:suppressAutoHyphens/>
                        <w:ind w:firstLine="720"/>
                        <w:jc w:val="both"/>
                        <w:textAlignment w:val="baseline"/>
                        <w:rPr>
                          <w:color w:val="000000"/>
                        </w:rPr>
                      </w:pPr>
                      <w:sdt>
                        <w:sdtPr>
                          <w:alias w:val="Numeris"/>
                          <w:tag w:val="nr_0bb0858fad904c03bde3e7e5ec8d75b4"/>
                          <w:lock w:val="sdtLocked"/>
                          <w:richText/>
                        </w:sdtPr>
                        <w:sdtContent>
                          <w:r>
                            <w:rPr>
                              <w:szCs w:val="24"/>
                              <w:lang w:eastAsia="lt-LT"/>
                            </w:rPr>
                            <w:t>2</w:t>
                          </w:r>
                        </w:sdtContent>
                      </w:sdt>
                      <w:r>
                        <w:rPr>
                          <w:szCs w:val="24"/>
                          <w:lang w:eastAsia="lt-LT"/>
                        </w:rPr>
                        <w:t xml:space="preserve">. </w:t>
                      </w:r>
                      <w:r>
                        <w:rPr>
                          <w:color w:val="000000"/>
                          <w:szCs w:val="24"/>
                          <w:lang w:eastAsia="lt-LT"/>
                        </w:rPr>
                        <w:t>Išorinės reklamos įrengimo keliuose, virš kelių, kelių juostose ir kelių apsaugos zonose reikalavimai ir ribojimai nustatyti Reklamos įstatyme ir Specialiųjų žemės naudojimo sąlygų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ac6e40a73411ef90b5ee8931e5ce5e">
                        <w:r w:rsidRPr="00532B9F">
                          <w:rPr>
                            <w:rFonts w:ascii="Times New Roman" w:eastAsia="MS Mincho" w:hAnsi="Times New Roman"/>
                            <w:sz w:val="20"/>
                            <w:i/>
                            <w:iCs/>
                            <w:color w:val="0000FF" w:themeColor="hyperlink"/>
                            <w:u w:val="single"/>
                          </w:rPr>
                          <w:t>XIV-3153</w:t>
                        </w:r>
                      </w:fldSimple>
                      <w:r>
                        <w:rPr>
                          <w:rFonts w:ascii="Times New Roman" w:eastAsia="MS Mincho" w:hAnsi="Times New Roman"/>
                          <w:sz w:val="20"/>
                          <w:i/>
                          <w:iCs/>
                        </w:rPr>
                        <w:t>,
2024-11-12,
paskelbta TAR 2024-11-20, i. k. 2024-20211            </w:t>
                      </w:r>
                    </w:p>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78089fa2ab4b4947b947b5d24b355566"/>
                    <w:lock w:val="sdtLocked"/>
                    <w:richText/>
                  </w:sdtPr>
                  <w:sdtContent>
                    <w:p>
                      <w:pPr>
                        <w:ind w:firstLine="720"/>
                        <w:jc w:val="both"/>
                        <w:rPr>
                          <w:szCs w:val="24"/>
                          <w:lang w:eastAsia="lt-LT"/>
                        </w:rPr>
                      </w:pPr>
                      <w:sdt>
                        <w:sdtPr>
                          <w:alias w:val="Numeris"/>
                          <w:tag w:val="nr_78089fa2ab4b4947b947b5d24b35556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6490129f9ad04f669e093c3b582b6b69"/>
                    <w:lock w:val="sdtLocked"/>
                    <w:richText/>
                  </w:sdtPr>
                  <w:sdtContent>
                    <w:p>
                      <w:pPr>
                        <w:ind w:firstLine="720"/>
                        <w:jc w:val="both"/>
                        <w:rPr>
                          <w:szCs w:val="24"/>
                        </w:rPr>
                      </w:pPr>
                      <w:sdt>
                        <w:sdtPr>
                          <w:alias w:val="Numeris"/>
                          <w:tag w:val="nr_6490129f9ad04f669e093c3b582b6b69"/>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6986db9d74c34d90aa8343bd0e32f9fc"/>
                    <w:lock w:val="sdtLocked"/>
                    <w:richText/>
                  </w:sdtPr>
                  <w:sdtContent>
                    <w:p>
                      <w:pPr>
                        <w:ind w:firstLine="720"/>
                        <w:jc w:val="both"/>
                        <w:rPr>
                          <w:szCs w:val="24"/>
                        </w:rPr>
                      </w:pPr>
                      <w:sdt>
                        <w:sdtPr>
                          <w:alias w:val="Numeris"/>
                          <w:tag w:val="nr_6986db9d74c34d90aa8343bd0e32f9fc"/>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c78d89780f64446ea3ebc6fc916a6c8c"/>
                    <w:lock w:val="sdtLocked"/>
                    <w:richText/>
                  </w:sdtPr>
                  <w:sdtContent>
                    <w:p>
                      <w:pPr>
                        <w:suppressAutoHyphens/>
                        <w:ind w:firstLine="720"/>
                        <w:jc w:val="both"/>
                        <w:textAlignment w:val="baseline"/>
                        <w:rPr>
                          <w:color w:val="000000"/>
                        </w:rPr>
                      </w:pPr>
                      <w:sdt>
                        <w:sdtPr>
                          <w:alias w:val="Numeris"/>
                          <w:tag w:val="nr_c78d89780f64446ea3ebc6fc916a6c8c"/>
                          <w:lock w:val="sdtLocked"/>
                          <w:richText/>
                        </w:sdtPr>
                        <w:sdtContent>
                          <w:r>
                            <w:rPr>
                              <w:szCs w:val="24"/>
                            </w:rPr>
                            <w:t>3</w:t>
                          </w:r>
                        </w:sdtContent>
                      </w:sdt>
                      <w:r>
                        <w:rPr>
                          <w:szCs w:val="24"/>
                        </w:rPr>
                        <w:t>. Kelio savininkas arba valdytojas informaciją apie kelio uždarymą teikia akcinei bendrovei Lietuvos automobilių kelių direkcijai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5f3b85cb9000485a8ca7fa9da95bacee"/>
                    <w:lock w:val="sdtLocked"/>
                    <w:richText/>
                  </w:sdtPr>
                  <w:sdtContent>
                    <w:p>
                      <w:pPr>
                        <w:tabs>
                          <w:tab w:val="left" w:pos="993"/>
                        </w:tabs>
                        <w:ind w:firstLine="720"/>
                        <w:jc w:val="both"/>
                        <w:rPr>
                          <w:szCs w:val="24"/>
                          <w:lang w:eastAsia="lt-LT"/>
                        </w:rPr>
                      </w:pPr>
                      <w:sdt>
                        <w:sdtPr>
                          <w:alias w:val="Numeris"/>
                          <w:tag w:val="nr_5f3b85cb9000485a8ca7fa9da95bacee"/>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507d71b46b843c08a298fedd61be5c5"/>
                    <w:lock w:val="sdtLocked"/>
                    <w:richText/>
                  </w:sdtPr>
                  <w:sdtContent>
                    <w:p>
                      <w:pPr>
                        <w:tabs>
                          <w:tab w:val="left" w:pos="993"/>
                        </w:tabs>
                        <w:ind w:firstLine="720"/>
                        <w:jc w:val="both"/>
                        <w:rPr>
                          <w:szCs w:val="24"/>
                          <w:lang w:eastAsia="lt-LT"/>
                        </w:rPr>
                      </w:pPr>
                      <w:sdt>
                        <w:sdtPr>
                          <w:alias w:val="Numeris"/>
                          <w:tag w:val="nr_c507d71b46b843c08a298fedd61be5c5"/>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2d304786d4b5471c8b9632872673fedc"/>
                    <w:lock w:val="sdtLocked"/>
                    <w:richText/>
                  </w:sdtPr>
                  <w:sdtContent>
                    <w:p>
                      <w:pPr>
                        <w:tabs>
                          <w:tab w:val="left" w:pos="993"/>
                        </w:tabs>
                        <w:ind w:firstLine="720"/>
                        <w:jc w:val="both"/>
                      </w:pPr>
                      <w:sdt>
                        <w:sdtPr>
                          <w:alias w:val="Numeris"/>
                          <w:tag w:val="nr_2d304786d4b5471c8b9632872673fedc"/>
                          <w:lock w:val="sdtLocked"/>
                          <w:richText/>
                        </w:sdtPr>
                        <w:sdtContent>
                          <w:r>
                            <w:t>4</w:t>
                          </w:r>
                        </w:sdtContent>
                      </w:sdt>
                      <w:r>
                        <w:t xml:space="preserve">. Sutikimo naudotis keliais nereikia, </w:t>
                      </w:r>
                      <w:r>
                        <w:rPr>
                          <w:bCs/>
                        </w:rPr>
                        <w:t>jeigu:</w:t>
                      </w:r>
                    </w:p>
                    <w:sdt>
                      <w:sdtPr>
                        <w:alias w:val="20 str. 4 d. 1 p."/>
                        <w:tag w:val="part_1c578b08c42c40538a2afd3ca456e331"/>
                        <w:lock w:val="sdtLocked"/>
                        <w:richText/>
                      </w:sdtPr>
                      <w:sdtContent>
                        <w:p>
                          <w:pPr>
                            <w:tabs>
                              <w:tab w:val="left" w:pos="993"/>
                            </w:tabs>
                            <w:ind w:firstLine="720"/>
                            <w:jc w:val="both"/>
                          </w:pPr>
                          <w:sdt>
                            <w:sdtPr>
                              <w:alias w:val="Numeris"/>
                              <w:tag w:val="nr_1c578b08c42c40538a2afd3ca456e331"/>
                              <w:lock w:val="sdtLocked"/>
                              <w:richText/>
                            </w:sdtPr>
                            <w:sdtContent>
                              <w:r>
                                <w:rPr>
                                  <w:bCs/>
                                </w:rPr>
                                <w:t>1</w:t>
                              </w:r>
                            </w:sdtContent>
                          </w:sdt>
                          <w:r>
                            <w:rPr>
                              <w:bCs/>
                            </w:rPr>
                            <w:t>)</w:t>
                          </w:r>
                          <w:r>
                            <w:t xml:space="preserve">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r>
                            <w:rPr>
                              <w:bCs/>
                            </w:rPr>
                            <w:t>;</w:t>
                          </w:r>
                        </w:p>
                      </w:sdtContent>
                    </w:sdt>
                    <w:sdt>
                      <w:sdtPr>
                        <w:alias w:val="20 str. 4 d. 2 p."/>
                        <w:tag w:val="part_9900bf67330744cdab4ece9f70fd0206"/>
                        <w:lock w:val="sdtLocked"/>
                        <w:richText/>
                      </w:sdtPr>
                      <w:sdtContent>
                        <w:p>
                          <w:pPr>
                            <w:tabs>
                              <w:tab w:val="left" w:pos="993"/>
                            </w:tabs>
                            <w:ind w:firstLine="720"/>
                            <w:jc w:val="both"/>
                            <w:rPr>
                              <w:szCs w:val="24"/>
                              <w:lang w:eastAsia="lt-LT"/>
                            </w:rPr>
                          </w:pPr>
                          <w:sdt>
                            <w:sdtPr>
                              <w:alias w:val="Numeris"/>
                              <w:tag w:val="nr_9900bf67330744cdab4ece9f70fd0206"/>
                              <w:lock w:val="sdtLocked"/>
                              <w:richText/>
                            </w:sdtPr>
                            <w:sdtContent>
                              <w:r>
                                <w:rPr>
                                  <w:bCs/>
                                </w:rPr>
                                <w:t>2</w:t>
                              </w:r>
                            </w:sdtContent>
                          </w:sdt>
                          <w:r>
                            <w:rPr>
                              <w:bCs/>
                            </w:rPr>
                            <w:t xml:space="preserve">) krašto apsaugos sistemos ir užsienio valstybių ginkluotųjų pajėgų transporto priemonės matmenys su kroviniu ar be jo yra didesni už didžiausiuosius leidžiamus naudojantis keliais transporto priemonės ar jų junginio matmenis: </w:t>
                          </w:r>
                          <w:r>
                            <w:rPr>
                              <w:bCs/>
                              <w:szCs w:val="24"/>
                            </w:rPr>
                            <w:t>aukštį ne daugiau kaip 50 cm ir (ar)</w:t>
                          </w:r>
                          <w:r>
                            <w:rPr>
                              <w:b/>
                              <w:bCs/>
                              <w:sz w:val="22"/>
                              <w:szCs w:val="22"/>
                            </w:rPr>
                            <w:t xml:space="preserve"> </w:t>
                          </w:r>
                          <w:r>
                            <w:rPr>
                              <w:bCs/>
                            </w:rPr>
                            <w:t>plotį ne daugiau kaip 45 cm, ir (ar) ilgį ne daugiau kaip 350 cm.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d0d04f29ccae4dd8bbf559a0a9f2cf1d"/>
                    <w:lock w:val="sdtLocked"/>
                    <w:richText/>
                  </w:sdtPr>
                  <w:sdtContent>
                    <w:p>
                      <w:pPr>
                        <w:ind w:firstLine="720"/>
                        <w:jc w:val="both"/>
                      </w:pPr>
                      <w:sdt>
                        <w:sdtPr>
                          <w:alias w:val="Numeris"/>
                          <w:tag w:val="nr_d0d04f29ccae4dd8bbf559a0a9f2cf1d"/>
                          <w:lock w:val="sdtLocked"/>
                          <w:richText/>
                        </w:sdtPr>
                        <w:sdtContent>
                          <w:r>
                            <w:t>12</w:t>
                          </w:r>
                        </w:sdtContent>
                      </w:sdt>
                      <w:r>
                        <w:t>. Sutikimas naudotis keliais metams suteikiamas:</w:t>
                      </w:r>
                    </w:p>
                    <w:sdt>
                      <w:sdtPr>
                        <w:alias w:val="20 str. 12 d. 1 p."/>
                        <w:tag w:val="part_7df5582f53814ffa8acf9e6d031cc49a"/>
                        <w:lock w:val="sdtLocked"/>
                        <w:richText/>
                      </w:sdtPr>
                      <w:sdtContent>
                        <w:p>
                          <w:pPr>
                            <w:ind w:firstLine="720"/>
                            <w:jc w:val="both"/>
                          </w:pPr>
                          <w:sdt>
                            <w:sdtPr>
                              <w:alias w:val="Numeris"/>
                              <w:tag w:val="nr_7df5582f53814ffa8acf9e6d031cc49a"/>
                              <w:lock w:val="sdtLocked"/>
                              <w:richText/>
                            </w:sdtPr>
                            <w:sdtContent>
                              <w:r>
                                <w:t>1</w:t>
                              </w:r>
                            </w:sdtContent>
                          </w:sdt>
                          <w:r>
                            <w:t xml:space="preserve">) </w:t>
                          </w:r>
                          <w:r>
                            <w:rPr>
                              <w:bCs/>
                            </w:rPr>
                            <w:t xml:space="preserve">jeigu </w:t>
                          </w:r>
                          <w:r>
                            <w:t>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c6ab9165a2374b138fff6fc5167dc66a"/>
                        <w:lock w:val="sdtLocked"/>
                        <w:richText/>
                      </w:sdtPr>
                      <w:sdtContent>
                        <w:p>
                          <w:pPr>
                            <w:ind w:firstLine="720"/>
                            <w:jc w:val="both"/>
                          </w:pPr>
                          <w:sdt>
                            <w:sdtPr>
                              <w:alias w:val="Numeris"/>
                              <w:tag w:val="nr_c6ab9165a2374b138fff6fc5167dc66a"/>
                              <w:lock w:val="sdtLocked"/>
                              <w:richText/>
                            </w:sdtPr>
                            <w:sdtContent>
                              <w:r>
                                <w:t>2</w:t>
                              </w:r>
                            </w:sdtContent>
                          </w:sdt>
                          <w:r>
                            <w:t xml:space="preserve">) </w:t>
                          </w:r>
                          <w:r>
                            <w:rPr>
                              <w:bCs/>
                            </w:rPr>
                            <w:t xml:space="preserve">jeigu </w:t>
                          </w:r>
                          <w:r>
                            <w:t>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r>
                            <w:rPr>
                              <w:bCs/>
                            </w:rPr>
                            <w:t>;</w:t>
                          </w:r>
                        </w:p>
                      </w:sdtContent>
                    </w:sdt>
                    <w:sdt>
                      <w:sdtPr>
                        <w:alias w:val="20 str. 12 d. 3 p."/>
                        <w:tag w:val="part_3f07a850ef934bde9e90f0faf707e58a"/>
                        <w:lock w:val="sdtLocked"/>
                        <w:richText/>
                      </w:sdtPr>
                      <w:sdtContent>
                        <w:p>
                          <w:pPr>
                            <w:ind w:firstLine="720"/>
                            <w:jc w:val="both"/>
                            <w:rPr>
                              <w:szCs w:val="24"/>
                              <w:lang w:eastAsia="lt-LT"/>
                            </w:rPr>
                          </w:pPr>
                          <w:sdt>
                            <w:sdtPr>
                              <w:alias w:val="Numeris"/>
                              <w:tag w:val="nr_3f07a850ef934bde9e90f0faf707e58a"/>
                              <w:lock w:val="sdtLocked"/>
                              <w:richText/>
                            </w:sdtPr>
                            <w:sdtContent>
                              <w:r>
                                <w:rPr>
                                  <w:bCs/>
                                </w:rPr>
                                <w:t>3</w:t>
                              </w:r>
                            </w:sdtContent>
                          </w:sdt>
                          <w:r>
                            <w:rPr>
                              <w:bCs/>
                            </w:rPr>
                            <w:t>)</w:t>
                          </w:r>
                          <w:r>
                            <w:t xml:space="preserve"> </w:t>
                          </w:r>
                          <w:r>
                            <w:rPr>
                              <w:bCs/>
                            </w:rPr>
                            <w:t>krašto apsaugos sistemos ir užsienio valstybių ginkluotųjų pajėgų didžiagabaritėms ir (ar) sunkiasvorėms transporto priemonėms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e218e5a7eeb34a9d9a240cea8f705040"/>
                        <w:lock w:val="sdtLocked"/>
                        <w:richText/>
                      </w:sdtPr>
                      <w:sdtContent>
                        <w:p>
                          <w:pPr>
                            <w:tabs>
                              <w:tab w:val="left" w:pos="993"/>
                            </w:tabs>
                            <w:ind w:firstLine="720"/>
                            <w:jc w:val="both"/>
                            <w:rPr>
                              <w:szCs w:val="24"/>
                              <w:lang w:eastAsia="lt-LT"/>
                            </w:rPr>
                          </w:pPr>
                          <w:sdt>
                            <w:sdtPr>
                              <w:alias w:val="Numeris"/>
                              <w:tag w:val="nr_e218e5a7eeb34a9d9a240cea8f705040"/>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bd0394623445420ab5d0c68fa12877e7"/>
                    <w:lock w:val="sdtLocked"/>
                    <w:richText/>
                  </w:sdtPr>
                  <w:sdtContent>
                    <w:p>
                      <w:pPr>
                        <w:tabs>
                          <w:tab w:val="left" w:pos="993"/>
                        </w:tabs>
                        <w:ind w:firstLine="720"/>
                        <w:jc w:val="both"/>
                        <w:rPr>
                          <w:szCs w:val="24"/>
                          <w:lang w:eastAsia="lt-LT"/>
                        </w:rPr>
                      </w:pPr>
                      <w:sdt>
                        <w:sdtPr>
                          <w:alias w:val="Numeris"/>
                          <w:tag w:val="nr_bd0394623445420ab5d0c68fa12877e7"/>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0e96b160b4de4b2d88e88af4f2504430"/>
                        <w:lock w:val="sdtLocked"/>
                        <w:richText/>
                      </w:sdtPr>
                      <w:sdtContent>
                        <w:p>
                          <w:pPr>
                            <w:tabs>
                              <w:tab w:val="left" w:pos="993"/>
                            </w:tabs>
                            <w:ind w:firstLine="720"/>
                            <w:jc w:val="both"/>
                            <w:rPr>
                              <w:szCs w:val="24"/>
                              <w:lang w:eastAsia="lt-LT"/>
                            </w:rPr>
                          </w:pPr>
                          <w:sdt>
                            <w:sdtPr>
                              <w:alias w:val="Numeris"/>
                              <w:tag w:val="nr_0e96b160b4de4b2d88e88af4f2504430"/>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ea83afd19d746d29bf9c66f1124394c"/>
                        <w:lock w:val="sdtLocked"/>
                        <w:richText/>
                      </w:sdtPr>
                      <w:sdtContent>
                        <w:p>
                          <w:pPr>
                            <w:tabs>
                              <w:tab w:val="left" w:pos="993"/>
                            </w:tabs>
                            <w:ind w:firstLine="720"/>
                            <w:jc w:val="both"/>
                            <w:rPr>
                              <w:szCs w:val="24"/>
                              <w:lang w:eastAsia="lt-LT"/>
                            </w:rPr>
                          </w:pPr>
                          <w:sdt>
                            <w:sdtPr>
                              <w:alias w:val="Numeris"/>
                              <w:tag w:val="nr_bea83afd19d746d29bf9c66f1124394c"/>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43d9750784f249c39adc9556a651249f"/>
                        <w:lock w:val="sdtLocked"/>
                        <w:richText/>
                      </w:sdtPr>
                      <w:sdtContent>
                        <w:p>
                          <w:pPr>
                            <w:tabs>
                              <w:tab w:val="left" w:pos="993"/>
                            </w:tabs>
                            <w:ind w:firstLine="720"/>
                            <w:jc w:val="both"/>
                            <w:rPr>
                              <w:szCs w:val="24"/>
                              <w:lang w:eastAsia="lt-LT"/>
                            </w:rPr>
                          </w:pPr>
                          <w:sdt>
                            <w:sdtPr>
                              <w:alias w:val="Numeris"/>
                              <w:tag w:val="nr_43d9750784f249c39adc9556a651249f"/>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1961df808398424d84ea8fd29dc6ba7b"/>
                        <w:lock w:val="sdtLocked"/>
                        <w:richText/>
                      </w:sdtPr>
                      <w:sdtContent>
                        <w:p>
                          <w:pPr>
                            <w:tabs>
                              <w:tab w:val="left" w:pos="993"/>
                            </w:tabs>
                            <w:ind w:firstLine="720"/>
                            <w:jc w:val="both"/>
                            <w:rPr>
                              <w:szCs w:val="24"/>
                              <w:lang w:eastAsia="lt-LT"/>
                            </w:rPr>
                          </w:pPr>
                          <w:sdt>
                            <w:sdtPr>
                              <w:alias w:val="Numeris"/>
                              <w:tag w:val="nr_1961df808398424d84ea8fd29dc6ba7b"/>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a0c82963f9254c0db2586ed7bc4dd732"/>
                    <w:lock w:val="sdtLocked"/>
                    <w:richText/>
                  </w:sdtPr>
                  <w:sdtContent>
                    <w:p>
                      <w:pPr>
                        <w:suppressAutoHyphens/>
                        <w:ind w:firstLine="720"/>
                        <w:jc w:val="both"/>
                        <w:textAlignment w:val="baseline"/>
                      </w:pPr>
                      <w:sdt>
                        <w:sdtPr>
                          <w:alias w:val="Numeris"/>
                          <w:tag w:val="nr_a0c82963f9254c0db2586ed7bc4dd732"/>
                          <w:lock w:val="sdtLocked"/>
                          <w:richText/>
                        </w:sdtPr>
                        <w:sdtContent>
                          <w:r>
                            <w:rPr>
                              <w:szCs w:val="24"/>
                              <w:lang w:eastAsia="lt-LT"/>
                            </w:rPr>
                            <w:t>21</w:t>
                          </w:r>
                        </w:sdtContent>
                      </w:sdt>
                      <w:r>
                        <w:rPr>
                          <w:szCs w:val="24"/>
                          <w:lang w:eastAsia="lt-LT"/>
                        </w:rPr>
                        <w:t>. Didžiagabarites transporto priemones turi lydėti:</w:t>
                      </w:r>
                    </w:p>
                    <w:sdt>
                      <w:sdtPr>
                        <w:alias w:val="20 str. 21 d. 1 p."/>
                        <w:tag w:val="part_424c1df0ecaf4c9aac8c2faa933c3ed8"/>
                        <w:lock w:val="sdtLocked"/>
                        <w:richText/>
                      </w:sdtPr>
                      <w:sdtContent>
                        <w:p>
                          <w:pPr>
                            <w:tabs>
                              <w:tab w:val="left" w:pos="563"/>
                            </w:tabs>
                            <w:suppressAutoHyphens/>
                            <w:ind w:firstLine="720"/>
                            <w:jc w:val="both"/>
                            <w:textAlignment w:val="baseline"/>
                          </w:pPr>
                          <w:sdt>
                            <w:sdtPr>
                              <w:alias w:val="Numeris"/>
                              <w:tag w:val="nr_424c1df0ecaf4c9aac8c2faa933c3ed8"/>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transporto priemonės plotis su kroviniu ar be jo yra nuo 3,56 iki 4,00 m;</w:t>
                          </w:r>
                        </w:p>
                      </w:sdtContent>
                    </w:sdt>
                    <w:sdt>
                      <w:sdtPr>
                        <w:alias w:val="20 str. 21 d. 2 p."/>
                        <w:tag w:val="part_81a41054d781469eb4371070bbae0ad5"/>
                        <w:lock w:val="sdtLocked"/>
                        <w:richText/>
                      </w:sdtPr>
                      <w:sdtContent>
                        <w:p>
                          <w:pPr>
                            <w:tabs>
                              <w:tab w:val="left" w:pos="567"/>
                            </w:tabs>
                            <w:suppressAutoHyphens/>
                            <w:ind w:firstLine="720"/>
                            <w:jc w:val="both"/>
                            <w:textAlignment w:val="baseline"/>
                            <w:rPr>
                              <w:szCs w:val="24"/>
                              <w:lang w:eastAsia="lt-LT"/>
                            </w:rPr>
                          </w:pPr>
                          <w:sdt>
                            <w:sdtPr>
                              <w:alias w:val="Numeris"/>
                              <w:tag w:val="nr_81a41054d781469eb4371070bbae0ad5"/>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transporto priemonės plotis su kroviniu ar be jo yra didesnis kaip 4,00 m ir (ar) ilgis su kroviniu ar be jo yra 24,00 m ar daugiau.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8e8f778598f845f1891cd7c3d87a0382"/>
                        <w:lock w:val="sdtLocked"/>
                        <w:richText/>
                      </w:sdtPr>
                      <w:sdtContent>
                        <w:p>
                          <w:pPr>
                            <w:ind w:firstLine="720"/>
                            <w:jc w:val="both"/>
                            <w:rPr>
                              <w:szCs w:val="24"/>
                              <w:lang w:eastAsia="lt-LT"/>
                            </w:rPr>
                          </w:pPr>
                          <w:sdt>
                            <w:sdtPr>
                              <w:alias w:val="Numeris"/>
                              <w:tag w:val="nr_8e8f778598f845f1891cd7c3d87a0382"/>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cb9ceb5975df413abfc2a54addfadc09"/>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cb9ceb5975df413abfc2a54addfadc0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25a40eb1911ed9978886e85107ab2">
            <w:r w:rsidRPr="00532B9F">
              <w:rPr>
                <w:rFonts w:ascii="Times New Roman" w:eastAsia="MS Mincho" w:hAnsi="Times New Roman"/>
                <w:sz w:val="20"/>
                <w:iCs/>
                <w:color w:val="0000FF" w:themeColor="hyperlink"/>
                <w:u w:val="single"/>
              </w:rPr>
              <w:t>XIV-1890</w:t>
            </w:r>
          </w:fldSimple>
          <w:r>
            <w:rPr>
              <w:rFonts w:ascii="Times New Roman" w:eastAsia="MS Mincho" w:hAnsi="Times New Roman"/>
              <w:sz w:val="20"/>
              <w:iCs/>
            </w:rPr>
            <w:t>,
2023-04-25,
paskelbta TAR 2023-05-05, i. k. 2023-08611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01c501faf11eeb233e8b04dc9bb3d">
            <w:r w:rsidRPr="00532B9F">
              <w:rPr>
                <w:rFonts w:ascii="Times New Roman" w:eastAsia="MS Mincho" w:hAnsi="Times New Roman"/>
                <w:sz w:val="20"/>
                <w:iCs/>
                <w:color w:val="0000FF" w:themeColor="hyperlink"/>
                <w:u w:val="single"/>
              </w:rPr>
              <w:t>XIV-2132</w:t>
            </w:r>
          </w:fldSimple>
          <w:r>
            <w:rPr>
              <w:rFonts w:ascii="Times New Roman" w:eastAsia="MS Mincho" w:hAnsi="Times New Roman"/>
              <w:sz w:val="20"/>
              <w:iCs/>
            </w:rPr>
            <w:t>,
2023-06-29,
paskelbta TAR 2023-07-11, i. k. 2023-14324                </w:t>
          </w:r>
        </w:p>
        <w:p>
          <w:pPr>
            <w:jc w:val="both"/>
            <w:rPr>
              <w:rFonts w:ascii="Times New Roman" w:hAnsi="Times New Roman"/>
            </w:rPr>
          </w:pPr>
          <w:r>
            <w:rPr>
              <w:rFonts w:ascii="Times New Roman" w:hAnsi="Times New Roman"/>
              <w:sz w:val="20"/>
            </w:rPr>
            <w:t>Lietuvos Respublikos kelių įstatymo Nr. I-891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06d407d6011eea5a28c81c82193a8">
            <w:r w:rsidRPr="00532B9F">
              <w:rPr>
                <w:rFonts w:ascii="Times New Roman" w:eastAsia="MS Mincho" w:hAnsi="Times New Roman"/>
                <w:sz w:val="20"/>
                <w:iCs/>
                <w:color w:val="0000FF" w:themeColor="hyperlink"/>
                <w:u w:val="single"/>
              </w:rPr>
              <w:t>XIV-2201</w:t>
            </w:r>
          </w:fldSimple>
          <w:r>
            <w:rPr>
              <w:rFonts w:ascii="Times New Roman" w:eastAsia="MS Mincho" w:hAnsi="Times New Roman"/>
              <w:sz w:val="20"/>
              <w:iCs/>
            </w:rPr>
            <w:t>,
2023-10-26,
paskelbta TAR 2023-11-07, i. k. 2023-21641                </w:t>
          </w:r>
        </w:p>
        <w:p>
          <w:pPr>
            <w:jc w:val="both"/>
            <w:rPr>
              <w:rFonts w:ascii="Times New Roman" w:hAnsi="Times New Roman"/>
            </w:rPr>
          </w:pPr>
          <w:r>
            <w:rPr>
              <w:rFonts w:ascii="Times New Roman" w:hAnsi="Times New Roman"/>
              <w:sz w:val="20"/>
            </w:rPr>
            <w:t>Lietuvos Respublikos kelių įstatymo Nr. I-891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a14ae0885411eea5a28c81c82193a8">
            <w:r w:rsidRPr="00532B9F">
              <w:rPr>
                <w:rFonts w:ascii="Times New Roman" w:eastAsia="MS Mincho" w:hAnsi="Times New Roman"/>
                <w:sz w:val="20"/>
                <w:iCs/>
                <w:color w:val="0000FF" w:themeColor="hyperlink"/>
                <w:u w:val="single"/>
              </w:rPr>
              <w:t>XIV-2225</w:t>
            </w:r>
          </w:fldSimple>
          <w:r>
            <w:rPr>
              <w:rFonts w:ascii="Times New Roman" w:eastAsia="MS Mincho" w:hAnsi="Times New Roman"/>
              <w:sz w:val="20"/>
              <w:iCs/>
            </w:rPr>
            <w:t>,
2023-11-09,
paskelbta TAR 2023-11-21, i. k. 2023-22371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3156b089e311eea5a28c81c82193a8">
            <w:r w:rsidRPr="00532B9F">
              <w:rPr>
                <w:rFonts w:ascii="Times New Roman" w:eastAsia="MS Mincho" w:hAnsi="Times New Roman"/>
                <w:sz w:val="20"/>
                <w:iCs/>
                <w:color w:val="0000FF" w:themeColor="hyperlink"/>
                <w:u w:val="single"/>
              </w:rPr>
              <w:t>XIV-2226</w:t>
            </w:r>
          </w:fldSimple>
          <w:r>
            <w:rPr>
              <w:rFonts w:ascii="Times New Roman" w:eastAsia="MS Mincho" w:hAnsi="Times New Roman"/>
              <w:sz w:val="20"/>
              <w:iCs/>
            </w:rPr>
            <w:t>,
2023-11-09,
paskelbta TAR 2023-11-23, i. k. 2023-22588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9187f09a5811eea5a28c81c82193a8">
            <w:r w:rsidRPr="00532B9F">
              <w:rPr>
                <w:rFonts w:ascii="Times New Roman" w:eastAsia="MS Mincho" w:hAnsi="Times New Roman"/>
                <w:sz w:val="20"/>
                <w:iCs/>
                <w:color w:val="0000FF" w:themeColor="hyperlink"/>
                <w:u w:val="single"/>
              </w:rPr>
              <w:t>XIV-2313</w:t>
            </w:r>
          </w:fldSimple>
          <w:r>
            <w:rPr>
              <w:rFonts w:ascii="Times New Roman" w:eastAsia="MS Mincho" w:hAnsi="Times New Roman"/>
              <w:sz w:val="20"/>
              <w:iCs/>
            </w:rPr>
            <w:t>,
2023-12-05,
paskelbta TAR 2023-12-14, i. k. 2023-24181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5a17601dbb11ef8b14c5bcce136045">
            <w:r w:rsidRPr="00532B9F">
              <w:rPr>
                <w:rFonts w:ascii="Times New Roman" w:eastAsia="MS Mincho" w:hAnsi="Times New Roman"/>
                <w:sz w:val="20"/>
                <w:iCs/>
                <w:color w:val="0000FF" w:themeColor="hyperlink"/>
                <w:u w:val="single"/>
              </w:rPr>
              <w:t>XIV-2663</w:t>
            </w:r>
          </w:fldSimple>
          <w:r>
            <w:rPr>
              <w:rFonts w:ascii="Times New Roman" w:eastAsia="MS Mincho" w:hAnsi="Times New Roman"/>
              <w:sz w:val="20"/>
              <w:iCs/>
            </w:rPr>
            <w:t>,
2024-05-16,
paskelbta TAR 2024-05-29, i. k. 2024-09622                </w:t>
          </w:r>
        </w:p>
        <w:p>
          <w:pPr>
            <w:jc w:val="both"/>
            <w:rPr>
              <w:rFonts w:ascii="Times New Roman" w:hAnsi="Times New Roman"/>
            </w:rPr>
          </w:pPr>
          <w:r>
            <w:rPr>
              <w:rFonts w:ascii="Times New Roman" w:hAnsi="Times New Roman"/>
              <w:sz w:val="20"/>
            </w:rPr>
            <w:t>Lietuvos Respublikos kelių įstatymo Nr. I-891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d49732a73411ef90b5ee8931e5ce5e">
            <w:r w:rsidRPr="00532B9F">
              <w:rPr>
                <w:rFonts w:ascii="Times New Roman" w:eastAsia="MS Mincho" w:hAnsi="Times New Roman"/>
                <w:sz w:val="20"/>
                <w:iCs/>
                <w:color w:val="0000FF" w:themeColor="hyperlink"/>
                <w:u w:val="single"/>
              </w:rPr>
              <w:t>XIV-3155</w:t>
            </w:r>
          </w:fldSimple>
          <w:r>
            <w:rPr>
              <w:rFonts w:ascii="Times New Roman" w:eastAsia="MS Mincho" w:hAnsi="Times New Roman"/>
              <w:sz w:val="20"/>
              <w:iCs/>
            </w:rPr>
            <w:t>,
2024-11-12,
paskelbta TAR 2024-11-20, i. k. 2024-20213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ac6e40a73411ef90b5ee8931e5ce5e">
            <w:r w:rsidRPr="00532B9F">
              <w:rPr>
                <w:rFonts w:ascii="Times New Roman" w:eastAsia="MS Mincho" w:hAnsi="Times New Roman"/>
                <w:sz w:val="20"/>
                <w:iCs/>
                <w:color w:val="0000FF" w:themeColor="hyperlink"/>
                <w:u w:val="single"/>
              </w:rPr>
              <w:t>XIV-3153</w:t>
            </w:r>
          </w:fldSimple>
          <w:r>
            <w:rPr>
              <w:rFonts w:ascii="Times New Roman" w:eastAsia="MS Mincho" w:hAnsi="Times New Roman"/>
              <w:sz w:val="20"/>
              <w:iCs/>
            </w:rPr>
            <w:t>,
2024-11-12,
paskelbta TAR 2024-11-20, i. k. 2024-20211                </w:t>
          </w:r>
        </w:p>
        <w:p>
          <w:pPr>
            <w:jc w:val="both"/>
            <w:rPr>
              <w:rFonts w:ascii="Times New Roman" w:hAnsi="Times New Roman"/>
            </w:rPr>
          </w:pPr>
          <w:r>
            <w:rPr>
              <w:rFonts w:ascii="Times New Roman" w:hAnsi="Times New Roman"/>
              <w:sz w:val="20"/>
            </w:rPr>
            <w:t>Lietuvos Respublikos kelių įstatymo Nr. I-891 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8c55a2b87e11ef88c08519262548c4">
            <w:r w:rsidRPr="00532B9F">
              <w:rPr>
                <w:rFonts w:ascii="Times New Roman" w:eastAsia="MS Mincho" w:hAnsi="Times New Roman"/>
                <w:sz w:val="20"/>
                <w:iCs/>
                <w:color w:val="0000FF" w:themeColor="hyperlink"/>
                <w:u w:val="single"/>
              </w:rPr>
              <w:t>XV-34</w:t>
            </w:r>
          </w:fldSimple>
          <w:r>
            <w:rPr>
              <w:rFonts w:ascii="Times New Roman" w:eastAsia="MS Mincho" w:hAnsi="Times New Roman"/>
              <w:sz w:val="20"/>
              <w:iCs/>
            </w:rPr>
            <w:t>,
2024-12-05,
paskelbta TAR 2024-12-12, i. k. 2024-22106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8.xml"/>
  <Relationship Id="rId11" Type="http://schemas.openxmlformats.org/officeDocument/2006/relationships/footer" Target="footer58.xml"/>
  <Relationship Id="rId12" Type="http://schemas.openxmlformats.org/officeDocument/2006/relationships/footer" Target="footer59.xml"/>
  <Relationship Id="rId13" Type="http://schemas.openxmlformats.org/officeDocument/2006/relationships/header" Target="header59.xml"/>
  <Relationship Id="rId14" Type="http://schemas.openxmlformats.org/officeDocument/2006/relationships/footer" Target="footer60.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8b352917a5e94ebbae48b65a16bd04dd"/>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3b5fecf575df495fa5584e9384bc535c"/>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565b3c90139248179e2c59ac52f9ceea"/>
        <Part Type="strDalis" Nr="3" Abbr="4 str. 3 d." DocPartId="9c523e793aa94509b128f45f62b99140" PartId="3075bc118ce6421cac50568e430261d9"/>
        <Part Type="strDalis" Nr="4" Abbr="4 str. 4 d." DocPartId="7c23d4230ce642329c04531c3d60543d" PartId="092ffac05178447fbc63ddfb2259908d"/>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965c2dd1b890458e94c19e22f028a70b">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b2bb00e673f840348045e2b6832ad810"/>
          <Part Type="strPunktas" Nr="6" Abbr="5 str. 3 d. 6 p." DocPartId="77cc1f4a7a344522bb2bed16a95bf083" PartId="7133d578e2d34526b45ca620bdb3a963"/>
          <Part Type="strPunktas" Nr="7" Abbr="7 p." DocPartId="74e75b1b06f947f3af451a73d561f105" PartId="4959f5a8d8694ff6a778812b7c6f0afb"/>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2d7ddeee6af94b6f94304f5d2adb8dfc">
        <Part Type="strDalis" Nr="1" Abbr="7 str. 1 d." DocPartId="b95a82ae574048d186ea7145baaafafd" PartId="9b51565be14d4465997fa96917d671b6"/>
        <Part Type="strDalis" Nr="2" Abbr="7 str. 2 d." DocPartId="0deb67b759cc4f4f8eb40c3075826fe7" PartId="c49360cbf67c4c81ad897d3e249d5671"/>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cd3d9a8ecccb4ef9b60279583aeb6b66"/>
        <Part Type="strDalis" Nr="4" Abbr="4 d." DocPartId="efb25b57c1b34a3888ae9e4e31c19aa2" PartId="a4234b0d40ec4b3ea1392cce473493ae"/>
      </Part>
      <Part Type="straipsnis" Nr="9" Abbr="9 str." Title="Kelių kategorijos nustatymas" DocPartId="bfa009d4fa334a6db9b2ed2d0a4bb6a6" PartId="18b5046942c54ba4a8e439288b28ecab">
        <Part Type="strDalis" Nr="1" Abbr="9 str. 1 d." DocPartId="512b95f90ad7457f9b95f1e1fb2b5c09" PartId="22a828a0ea5e4ec3b696f8b6dcd7b399"/>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32c254164a2242598ddb01907325c5ab"/>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ac35279924c3471eacf2dbb2f556de9c"/>
        <Part Type="strDalis" Nr="3" Abbr="11 str. 3 d." DocPartId="cca3ce8736e9463a9dd6f18db3cc5ff1" PartId="57fac3012edf4f56a8f63d469dd2d4a5"/>
        <Part Type="strDalis" Nr="4" Abbr="11 str. 4 d." DocPartId="16a779c3751649e0813ad45537206580" PartId="e2905d9197854c998ba70f919a549657"/>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0561cbc3a36e4c59bdd1c0d15e75b5d7"/>
        <Part Type="strDalis" Nr="2" Abbr="13 str. 2 d." DocPartId="77c96eaaca3b4d7cbecfedb2ec0730c9" PartId="0bb0858fad904c03bde3e7e5ec8d75b4"/>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78089fa2ab4b4947b947b5d24b355566"/>
        <Part Type="strDalis" Nr="2" Abbr="16 str. 2 d." DocPartId="8b61b83934f645e1af88e33b7e9eaf0c" PartId="6490129f9ad04f669e093c3b582b6b69"/>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6986db9d74c34d90aa8343bd0e32f9fc"/>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c78d89780f64446ea3ebc6fc916a6c8c"/>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5f3b85cb9000485a8ca7fa9da95bacee"/>
        <Part Type="strDalis" Nr="3" Abbr="20 str. 3 d." DocPartId="0c8d668958f847cfaf155e043fb9c283" PartId="c507d71b46b843c08a298fedd61be5c5"/>
        <Part Type="strDalis" Nr="4" Abbr="20 str. 4 d." DocPartId="f5ee1979b76c4d65a0b80aa6124eeab8" PartId="2d304786d4b5471c8b9632872673fedc">
          <Part Type="strPunktas" Nr="1" Abbr="20 str. 4 d. 1 p." DocPartId="3e80190bb2374b758f381ad30084b420" PartId="1c578b08c42c40538a2afd3ca456e331"/>
          <Part Type="strPunktas" Nr="2" Abbr="20 str. 4 d. 2 p." DocPartId="8d5d472cf3394f7fba4138473d7ee34b" PartId="9900bf67330744cdab4ece9f70fd0206"/>
        </Part>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d0d04f29ccae4dd8bbf559a0a9f2cf1d">
          <Part Type="strPunktas" Nr="1" Abbr="20 str. 12 d. 1 p." DocPartId="9347c6e07477429c90e0842e6db91dd1" PartId="7df5582f53814ffa8acf9e6d031cc49a"/>
          <Part Type="strPunktas" Nr="2" Abbr="20 str. 12 d. 2 p." DocPartId="4192498ddb3a4cc2902514f28e25e24b" PartId="c6ab9165a2374b138fff6fc5167dc66a"/>
          <Part Type="strPunktas" Nr="3" Abbr="20 str. 12 d. 3 p." DocPartId="f54f1a8def904d14bd5fe662f4e67d2b" PartId="3f07a850ef934bde9e90f0faf707e58a"/>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e218e5a7eeb34a9d9a240cea8f705040"/>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bd0394623445420ab5d0c68fa12877e7">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0e96b160b4de4b2d88e88af4f2504430"/>
          <Part Type="strPunktas" Nr="2" Abbr="20 str. 19 d. 2 p." DocPartId="0c43aeaf97914527953a1466adeb3eb1" PartId="726617e0ee7743c0a7f0ea3c600b9818"/>
          <Part Type="strPunktas" Nr="3" Abbr="20 str. 19 d. 3 p." DocPartId="0574e499483d49678a5dc20099acd58c" PartId="bea83afd19d746d29bf9c66f1124394c"/>
        </Part>
        <Part Type="strDalis" Nr="20" Abbr="20 str. 20 d." DocPartId="c9b163b7bd944b8e910cce663ea4b861" PartId="ec515a0a3d3140c89a0039471738c2a8">
          <Part Type="strPunktas" Nr="1" Abbr="20 str. 20 d. 1 p." DocPartId="dd94d26d14c24c69a48735de8e07d4bf" PartId="43d9750784f249c39adc9556a651249f"/>
          <Part Type="strPunktas" Nr="2" Abbr="20 str. 20 d. 2 p." DocPartId="b3be3e5e6c2d494a933e003e453184b0" PartId="bb5e0473bb0c4816869f7d90b5364484"/>
          <Part Type="strPunktas" Nr="3" Abbr="20 str. 20 d. 3 p." DocPartId="50a7e30b315744528a964c0182a28114" PartId="1961df808398424d84ea8fd29dc6ba7b"/>
        </Part>
        <Part Type="strDalis" Nr="21" Abbr="20 str. 21 d." DocPartId="fc71dd227d1942bbb7894a65042c41da" PartId="a0c82963f9254c0db2586ed7bc4dd732">
          <Part Type="strPunktas" Nr="1" Abbr="20 str. 21 d. 1 p." DocPartId="1c550704840840fcb989faafe01a5c66" PartId="424c1df0ecaf4c9aac8c2faa933c3ed8"/>
          <Part Type="strPunktas" Nr="2" Abbr="20 str. 21 d. 2 p." DocPartId="413896740819478ebcc44d5a831d51c3" PartId="81a41054d781469eb4371070bbae0ad5"/>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8e8f778598f845f1891cd7c3d87a0382"/>
          <Part Type="strPunktas" Nr="3" Abbr="20 str. 22 d. 3 p." DocPartId="f750eed3e05b43f79af6a08c536d7a0f" PartId="9b0030a76b4c46aca82a024b64fdce75"/>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cb9ceb5975df413abfc2a54addfadc0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321529E-65F4-4351-9307-BE13F0E22FA2}">
  <ds:schemaRefs>
    <ds:schemaRef ds:uri="http://lrs.lt/TAIS/DocParts"/>
  </ds:schemaRefs>
</ds:datastoreItem>
</file>

<file path=customXml/itemProps3.xml><?xml version="1.0" encoding="utf-8"?>
<ds:datastoreItem xmlns:ds="http://schemas.openxmlformats.org/officeDocument/2006/customXml" ds:itemID="{22D4F427-2EC3-48AD-8526-3E4B388D217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63</TotalTime>
  <Pages>14</Pages>
  <Words>31496</Words>
  <Characters>17953</Characters>
  <Application>Microsoft Office Word</Application>
  <DocSecurity>0</DocSecurity>
  <Lines>149</Lines>
  <Paragraphs>98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49351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TAMALIŪNIENĖ Vilija</lastModifiedBy>
  <dcterms:modified xsi:type="dcterms:W3CDTF">2024-12-13T08:13:00Z</dcterms:modified>
  <revision>45</revision>
</coreProperties>
</file>