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2024-01-01 iki 2024-05-31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6591e947d67b40df9d213997ac990030"/>
                    <w:lock w:val="sdtLocked"/>
                    <w:richText/>
                  </w:sdtPr>
                  <w:sdtContent>
                    <w:p>
                      <w:pPr>
                        <w:tabs>
                          <w:tab w:val="left" w:pos="851"/>
                        </w:tabs>
                        <w:ind w:firstLine="720"/>
                        <w:jc w:val="both"/>
                      </w:pPr>
                      <w:sdt>
                        <w:sdtPr>
                          <w:alias w:val="Numeris"/>
                          <w:tag w:val="nr_6591e947d67b40df9d213997ac990030"/>
                          <w:lock w:val="sdtLocked"/>
                          <w:richText/>
                        </w:sdtPr>
                        <w:sdtContent>
                          <w:r>
                            <w:rPr>
                              <w:szCs w:val="22"/>
                            </w:rPr>
                            <w:t>22</w:t>
                          </w:r>
                        </w:sdtContent>
                      </w:sdt>
                      <w:r>
                        <w:rPr>
                          <w:szCs w:val="22"/>
                        </w:rPr>
                        <w:t>. Kitos šiame įstatyme vartojamos sąvokos suprantamos taip, kaip jos apibrėžiamos Lietuvos Respublikos kelių priežiūros ir plėtros programos finansavimo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7 p."/>
                        <w:tag w:val="part_4959f5a8d8694ff6a778812b7c6f0afb"/>
                        <w:lock w:val="sdtLocked"/>
                        <w:richText/>
                      </w:sdtPr>
                      <w:sdtContent>
                        <w:p>
                          <w:pPr>
                            <w:ind w:firstLine="720"/>
                            <w:jc w:val="both"/>
                            <w:rPr>
                              <w:color w:val="000000"/>
                            </w:rPr>
                          </w:pPr>
                          <w:sdt>
                            <w:sdtPr>
                              <w:alias w:val="Numeris"/>
                              <w:tag w:val="nr_4959f5a8d8694ff6a778812b7c6f0afb"/>
                              <w:lock w:val="sdtLocked"/>
                              <w:richText/>
                            </w:sdtPr>
                            <w:sdtContent>
                              <w:r>
                                <w:rPr>
                                  <w:szCs w:val="22"/>
                                </w:rPr>
                                <w:t>7</w:t>
                              </w:r>
                            </w:sdtContent>
                          </w:sdt>
                          <w:r>
                            <w:rPr>
                              <w:szCs w:val="22"/>
                            </w:rPr>
                            <w:t>)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w:t>
                          </w:r>
                          <w:r>
                            <w:rPr>
                              <w:bCs/>
                              <w:szCs w:val="22"/>
                            </w:rPr>
                            <w:t xml:space="preserve"> </w:t>
                          </w:r>
                          <w:r>
                            <w:rPr>
                              <w:szCs w:val="22"/>
                            </w:rPr>
                            <w:t>suteikia operatoriams, siekiantiems užtikrinti ryšį, reikalingą eismo dalyvių įrenginiams, transporto sistemoms ir transporto priemonėms veikti, bendrai naudotis akcinės bendrovės Lietuvos automobilių kelių direkcijos</w:t>
                          </w:r>
                          <w:r>
                            <w:rPr>
                              <w:bCs/>
                              <w:szCs w:val="22"/>
                            </w:rPr>
                            <w:t xml:space="preserve"> </w:t>
                          </w:r>
                          <w:r>
                            <w:rPr>
                              <w:szCs w:val="22"/>
                            </w:rPr>
                            <w:t>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w:t>
                          </w:r>
                          <w:r>
                            <w:rPr>
                              <w:bCs/>
                              <w:szCs w:val="22"/>
                            </w:rPr>
                            <w:t xml:space="preserve"> </w:t>
                          </w:r>
                          <w:r>
                            <w:rPr>
                              <w:szCs w:val="22"/>
                            </w:rPr>
                            <w:t xml:space="preserve">yra apskaičiuojamas susisiekimo ministro nustatyta tvarka ir turi būti pagrįstas patirtomis ryšių bokštų įrengimo, eksploatavimo sąnaudomis ir protingumo kriterijų atitinkančia investicijų grąža. </w:t>
                          </w:r>
                          <w:r>
                            <w:rPr>
                              <w:szCs w:val="24"/>
                            </w:rPr>
                            <w:t>Lėšos, gautos už ryšių bokštų bendrą naudojimą, yra akcinės bendrovės Lietuvos automobilių kelių direkcijos pajamos. Šios lėšos naudojamos ryšių bokštams statyti ir jiems funkcionuoti reikalingiems elektros, ryšių linijų įvadams įrengti skirtai paskolai grąžinti ir palūkanoms mokėti,</w:t>
                          </w:r>
                          <w:r>
                            <w:rPr>
                              <w:bCs/>
                              <w:szCs w:val="24"/>
                            </w:rPr>
                            <w:t xml:space="preserve"> </w:t>
                          </w:r>
                          <w:r>
                            <w:rPr>
                              <w:szCs w:val="24"/>
                            </w:rPr>
                            <w:t>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32c254164a2242598ddb01907325c5ab"/>
                    <w:lock w:val="sdtLocked"/>
                    <w:richText/>
                  </w:sdtPr>
                  <w:sdtContent>
                    <w:p>
                      <w:pPr>
                        <w:ind w:right="-2" w:firstLine="720"/>
                        <w:jc w:val="both"/>
                        <w:rPr>
                          <w:szCs w:val="24"/>
                          <w:lang w:eastAsia="lt-LT"/>
                        </w:rPr>
                      </w:pPr>
                      <w:sdt>
                        <w:sdtPr>
                          <w:alias w:val="Numeris"/>
                          <w:tag w:val="nr_32c254164a2242598ddb01907325c5ab"/>
                          <w:lock w:val="sdtLocked"/>
                          <w:richText/>
                        </w:sdtPr>
                        <w:sdtContent>
                          <w:r>
                            <w:rPr>
                              <w:szCs w:val="24"/>
                              <w:lang w:eastAsia="lt-LT"/>
                            </w:rPr>
                            <w:t>2</w:t>
                          </w:r>
                        </w:sdtContent>
                      </w:sdt>
                      <w:r>
                        <w:rPr>
                          <w:szCs w:val="24"/>
                          <w:lang w:eastAsia="lt-LT"/>
                        </w:rPr>
                        <w:t xml:space="preserve">.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Žemės </w:t>
                      </w:r>
                      <w:r>
                        <w:rPr>
                          <w:bCs/>
                          <w:szCs w:val="24"/>
                          <w:lang w:eastAsia="lt-LT"/>
                        </w:rPr>
                        <w:t>įstatyme</w:t>
                      </w:r>
                      <w:r>
                        <w:rPr>
                          <w:szCs w:val="24"/>
                          <w:lang w:eastAsia="lt-LT"/>
                        </w:rPr>
                        <w:t xml:space="preserve"> ir Vyriausybės nustatyta tvarka. Valstybinės žemės sklypo, perduodamo patikėjimo teise akcinei bendrovei Lietuvos automobilių kelių direkcijai, perdavimo–priėmimo aktą pasirašo Nacionalinės žemės tarnybos vadovas. Valstybinės reikšmės kelią ar jo ruožą išbraukus iš valstybinės reikšmės kelių sąrašo, Nacionalinės žemės tarnybos vadovas Žemės </w:t>
                      </w:r>
                      <w:r>
                        <w:rPr>
                          <w:bCs/>
                          <w:szCs w:val="24"/>
                          <w:lang w:eastAsia="lt-LT"/>
                        </w:rPr>
                        <w:t>įstatyme</w:t>
                      </w:r>
                      <w:r>
                        <w:rPr>
                          <w:szCs w:val="24"/>
                          <w:lang w:eastAsia="lt-LT"/>
                        </w:rPr>
                        <w:t xml:space="preserve"> ir Vyriausybės nustatyta tvarka priima sprendimą dėl patikėjimo teisės į šio kelio ar jo ruožo užimamą valstybinės žemės sklypą pasibaigimo ir tokį žemės sklypą akcinė bendrovė Lietuvos automobilių kelių direkcija perdavimo–priėmimo aktu grąžina Nacionalinei žemės tarnybai.</w:t>
                      </w:r>
                      <w:r>
                        <w:rPr>
                          <w:szCs w:val="24"/>
                        </w:rPr>
                        <w:t xml:space="preserve"> \</w:t>
                      </w:r>
                    </w:p>
                    <w:p>
                      <w:pPr>
                        <w:suppressAutoHyphens/>
                        <w:spacing w:line="360" w:lineRule="auto"/>
                        <w:ind w:right="-284"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ec4b24087edb4b66a20b6c495dd60758"/>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ec4b24087edb4b66a20b6c495dd60758"/>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7.xml"/>
  <Relationship Id="rId14" Type="http://schemas.openxmlformats.org/officeDocument/2006/relationships/footer" Target="footer48.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6591e947d67b40df9d213997ac99003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7 p." DocPartId="74e75b1b06f947f3af451a73d561f105" PartId="4959f5a8d8694ff6a778812b7c6f0afb"/>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32c254164a2242598ddb01907325c5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ec4b24087edb4b66a20b6c495dd60758">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28CD7C-3888-445B-9629-15E0D928F804}">
  <ds:schemaRefs>
    <ds:schemaRef ds:uri="http://lrs.lt/TAIS/DocParts"/>
  </ds:schemaRefs>
</ds:datastoreItem>
</file>

<file path=customXml/itemProps3.xml><?xml version="1.0" encoding="utf-8"?>
<ds:datastoreItem xmlns:ds="http://schemas.openxmlformats.org/officeDocument/2006/customXml" ds:itemID="{80FECFBC-EBBF-4A71-936B-BA4C7AE647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14</Pages>
  <Words>31037</Words>
  <Characters>17692</Characters>
  <Application>Microsoft Office Word</Application>
  <DocSecurity>0</DocSecurity>
  <Lines>147</Lines>
  <Paragraphs>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2023-12-16T16:31:00Z</dcterms:modified>
  <revision>41</revision>
</coreProperties>
</file>