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2023-01-01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650c8549329e4a358bb8f9aab4ab6c34"/>
                    <w:lock w:val="sdtLocked"/>
                    <w:richText/>
                  </w:sdtPr>
                  <w:sdtContent>
                    <w:p>
                      <w:pPr>
                        <w:ind w:firstLine="720"/>
                        <w:jc w:val="both"/>
                        <w:rPr>
                          <w:color w:val="000000"/>
                        </w:rPr>
                      </w:pPr>
                      <w:sdt>
                        <w:sdtPr>
                          <w:alias w:val="Numeris"/>
                          <w:tag w:val="nr_650c8549329e4a358bb8f9aab4ab6c34"/>
                          <w:lock w:val="sdtLocked"/>
                          <w:richText/>
                        </w:sdtPr>
                        <w:sdtContent>
                          <w:r>
                            <w:rPr>
                              <w:color w:val="000000"/>
                              <w:szCs w:val="24"/>
                              <w:lang w:eastAsia="lt-LT"/>
                            </w:rPr>
                            <w:t>1</w:t>
                          </w:r>
                        </w:sdtContent>
                      </w:sdt>
                      <w:r>
                        <w:rPr>
                          <w:color w:val="000000"/>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w:t>
                      </w:r>
                      <w:r>
                        <w:rPr>
                          <w:iCs/>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96028f376f54122a9b57dd09afe0524"/>
                            <w:lock w:val="sdtLocked"/>
                            <w:richText/>
                          </w:sdtPr>
                          <w:sdtContent>
                            <w:p>
                              <w:pPr>
                                <w:ind w:firstLine="720"/>
                                <w:jc w:val="both"/>
                                <w:rPr>
                                  <w:color w:val="000000"/>
                                </w:rPr>
                              </w:pPr>
                              <w:sdt>
                                <w:sdtPr>
                                  <w:alias w:val="Numeris"/>
                                  <w:tag w:val="nr_596028f376f54122a9b57dd09afe0524"/>
                                  <w:lock w:val="sdtLocked"/>
                                  <w:richText/>
                                </w:sdtPr>
                                <w:sdtContent>
                                  <w:r>
                                    <w:rPr>
                                      <w:color w:val="000000"/>
                                      <w:szCs w:val="24"/>
                                      <w:lang w:eastAsia="lt-LT"/>
                                    </w:rPr>
                                    <w:t>1</w:t>
                                  </w:r>
                                </w:sdtContent>
                              </w:sdt>
                              <w:r>
                                <w:rPr>
                                  <w:color w:val="000000"/>
                                  <w:szCs w:val="24"/>
                                  <w:lang w:eastAsia="lt-LT"/>
                                </w:rPr>
                                <w:t>. Konsulinis pareigūnas arba diplomatinės atstovybės ar konsulinės įstaigos įgaliotas darbuotojas (toliau – įgaliotas darbuotojas),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Kai sutuoktinio (sugyventinio) ar artimųjų giminaičių nėra, informacija apie piliečio mirties faktą gali būti teikiama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844fc40683ed4caa96f481fc6089f077"/>
                            <w:lock w:val="sdtLocked"/>
                            <w:richText/>
                          </w:sdtPr>
                          <w:sdtContent>
                            <w:p>
                              <w:pPr>
                                <w:ind w:firstLine="720"/>
                                <w:jc w:val="both"/>
                                <w:rPr>
                                  <w:color w:val="000000"/>
                                </w:rPr>
                              </w:pPr>
                              <w:sdt>
                                <w:sdtPr>
                                  <w:alias w:val="Numeris"/>
                                  <w:tag w:val="nr_844fc40683ed4caa96f481fc6089f077"/>
                                  <w:lock w:val="sdtLocked"/>
                                  <w:richText/>
                                </w:sdtPr>
                                <w:sdtContent>
                                  <w:r>
                                    <w:rPr>
                                      <w:color w:val="000000"/>
                                      <w:szCs w:val="24"/>
                                      <w:lang w:eastAsia="lt-LT"/>
                                    </w:rPr>
                                    <w:t>4</w:t>
                                  </w:r>
                                </w:sdtContent>
                              </w:sdt>
                              <w:r>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0537ac459c4a4c19be22451468a98d8d"/>
                        <w:lock w:val="sdtLocked"/>
                        <w:richText/>
                      </w:sdtPr>
                      <w:sdtContent>
                        <w:p>
                          <w:pPr>
                            <w:ind w:firstLine="720"/>
                            <w:jc w:val="both"/>
                            <w:rPr>
                              <w:rFonts w:eastAsia="Calibri"/>
                              <w:b/>
                              <w:color w:val="000000"/>
                              <w:szCs w:val="24"/>
                            </w:rPr>
                          </w:pPr>
                          <w:sdt>
                            <w:sdtPr>
                              <w:alias w:val="Numeris"/>
                              <w:tag w:val="nr_0537ac459c4a4c19be22451468a98d8d"/>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0537ac459c4a4c19be22451468a98d8d"/>
                              <w:lock w:val="sdtLocked"/>
                              <w:richText/>
                            </w:sdtPr>
                            <w:sdtContent>
                              <w:r>
                                <w:rPr>
                                  <w:rFonts w:eastAsia="Calibri"/>
                                  <w:b/>
                                  <w:color w:val="000000"/>
                                  <w:szCs w:val="24"/>
                                </w:rPr>
                                <w:t>Asmens grįžimo pažymėjimo išdavimas</w:t>
                              </w:r>
                            </w:sdtContent>
                          </w:sdt>
                        </w:p>
                        <w:sdt>
                          <w:sdtPr>
                            <w:alias w:val="20 str. 1 d."/>
                            <w:tag w:val="part_dbc51f4a21754969bdf2f005f8efc86a"/>
                            <w:lock w:val="sdtLocked"/>
                            <w:richText/>
                          </w:sdtPr>
                          <w:sdtContent>
                            <w:p>
                              <w:pPr>
                                <w:ind w:firstLine="720"/>
                                <w:jc w:val="both"/>
                                <w:rPr>
                                  <w:rFonts w:eastAsia="Calibri"/>
                                  <w:color w:val="000000"/>
                                  <w:szCs w:val="24"/>
                                </w:rPr>
                              </w:pPr>
                              <w:sdt>
                                <w:sdtPr>
                                  <w:alias w:val="Numeris"/>
                                  <w:tag w:val="nr_dbc51f4a21754969bdf2f005f8efc86a"/>
                                  <w:lock w:val="sdtLocked"/>
                                  <w:richText/>
                                </w:sdtPr>
                                <w:sdtContent>
                                  <w:r>
                                    <w:rPr>
                                      <w:rFonts w:eastAsia="Calibri"/>
                                      <w:color w:val="000000"/>
                                      <w:szCs w:val="24"/>
                                    </w:rPr>
                                    <w:t>1</w:t>
                                  </w:r>
                                </w:sdtContent>
                              </w:sdt>
                              <w:r>
                                <w:rPr>
                                  <w:rFonts w:eastAsia="Calibri"/>
                                  <w:color w:val="000000"/>
                                  <w:szCs w:val="24"/>
                                </w:rPr>
                                <w:t>. Konsulinis pareigūnas asmens grįžimo pažymėjimus išduoda:</w:t>
                              </w:r>
                            </w:p>
                            <w:sdt>
                              <w:sdtPr>
                                <w:alias w:val="20 str. 1 d. 1 p."/>
                                <w:tag w:val="part_fd279cf21ea24f29a21d4009d40f09ae"/>
                                <w:lock w:val="sdtLocked"/>
                                <w:richText/>
                              </w:sdtPr>
                              <w:sdtContent>
                                <w:p>
                                  <w:pPr>
                                    <w:ind w:firstLine="720"/>
                                    <w:jc w:val="both"/>
                                    <w:rPr>
                                      <w:rFonts w:eastAsia="Calibri"/>
                                      <w:color w:val="000000"/>
                                      <w:szCs w:val="24"/>
                                    </w:rPr>
                                  </w:pPr>
                                  <w:sdt>
                                    <w:sdtPr>
                                      <w:alias w:val="Numeris"/>
                                      <w:tag w:val="nr_fd279cf21ea24f29a21d4009d40f09ae"/>
                                      <w:lock w:val="sdtLocked"/>
                                      <w:richText/>
                                    </w:sdtPr>
                                    <w:sdtContent>
                                      <w:r>
                                        <w:rPr>
                                          <w:rFonts w:eastAsia="Calibri"/>
                                          <w:color w:val="000000"/>
                                          <w:szCs w:val="24"/>
                                        </w:rPr>
                                        <w:t>1</w:t>
                                      </w:r>
                                    </w:sdtContent>
                                  </w:sdt>
                                  <w:r>
                                    <w:rPr>
                                      <w:rFonts w:eastAsia="Calibri"/>
                                      <w:color w:val="000000"/>
                                      <w:szCs w:val="24"/>
                                    </w:rPr>
                                    <w:t>) Lietuvos Respublikos piliečiams Lietuvos Respublikos asmens tapatybės kortelės ir paso įstatymo nustatytais atvejais;</w:t>
                                  </w:r>
                                </w:p>
                              </w:sdtContent>
                            </w:sdt>
                            <w:sdt>
                              <w:sdtPr>
                                <w:alias w:val="20 str. 1 d. 2 p."/>
                                <w:tag w:val="part_d18c7f15d93e49ccb8c5a21e3c6f8317"/>
                                <w:lock w:val="sdtLocked"/>
                                <w:richText/>
                              </w:sdtPr>
                              <w:sdtContent>
                                <w:p>
                                  <w:pPr>
                                    <w:ind w:firstLine="720"/>
                                    <w:jc w:val="both"/>
                                    <w:rPr>
                                      <w:rFonts w:eastAsia="Calibri"/>
                                      <w:color w:val="000000"/>
                                      <w:szCs w:val="24"/>
                                    </w:rPr>
                                  </w:pPr>
                                  <w:sdt>
                                    <w:sdtPr>
                                      <w:alias w:val="Numeris"/>
                                      <w:tag w:val="nr_d18c7f15d93e49ccb8c5a21e3c6f8317"/>
                                      <w:lock w:val="sdtLocked"/>
                                      <w:richText/>
                                    </w:sdtPr>
                                    <w:sdtContent>
                                      <w:r>
                                        <w:rPr>
                                          <w:rFonts w:eastAsia="Calibri"/>
                                          <w:color w:val="000000"/>
                                          <w:szCs w:val="24"/>
                                        </w:rPr>
                                        <w:t>2</w:t>
                                      </w:r>
                                    </w:sdtContent>
                                  </w:sdt>
                                  <w:r>
                                    <w:rPr>
                                      <w:rFonts w:eastAsia="Calibri"/>
                                      <w:color w:val="000000"/>
                                      <w:szCs w:val="24"/>
                                    </w:rPr>
                                    <w:t>) užsienio valstybėje gimusiems nepilnamečiams vaikams, kurių tėvai ar vienas iš tėvų yra Lietuvos Respublikos piliečiai;</w:t>
                                  </w:r>
                                </w:p>
                              </w:sdtContent>
                            </w:sdt>
                            <w:sdt>
                              <w:sdtPr>
                                <w:alias w:val="20 str. 1 d. 3 p."/>
                                <w:tag w:val="part_5626c6892f054488803aad03aabf582f"/>
                                <w:lock w:val="sdtLocked"/>
                                <w:richText/>
                              </w:sdtPr>
                              <w:sdtContent>
                                <w:p>
                                  <w:pPr>
                                    <w:ind w:firstLine="720"/>
                                    <w:jc w:val="both"/>
                                    <w:rPr>
                                      <w:rFonts w:eastAsia="Calibri"/>
                                      <w:color w:val="000000"/>
                                      <w:szCs w:val="24"/>
                                    </w:rPr>
                                  </w:pPr>
                                  <w:sdt>
                                    <w:sdtPr>
                                      <w:alias w:val="Numeris"/>
                                      <w:tag w:val="nr_5626c6892f054488803aad03aabf582f"/>
                                      <w:lock w:val="sdtLocked"/>
                                      <w:richText/>
                                    </w:sdtPr>
                                    <w:sdtContent>
                                      <w:r>
                                        <w:rPr>
                                          <w:rFonts w:eastAsia="Calibri"/>
                                          <w:color w:val="000000"/>
                                          <w:szCs w:val="24"/>
                                        </w:rPr>
                                        <w:t>3</w:t>
                                      </w:r>
                                    </w:sdtContent>
                                  </w:sdt>
                                  <w:r>
                                    <w:rPr>
                                      <w:rFonts w:eastAsia="Calibri"/>
                                      <w:color w:val="000000"/>
                                      <w:szCs w:val="24"/>
                                    </w:rPr>
                                    <w:t>) leidimą gyventi Lietuvos Respublikoje turintiems asmenims be pilietybės, kurie būdami užsienio valstybėje prarado kelionės dokumentą, kurių kelionės dokumentas tapo netinkamas naudoti ar pasibaigė jo galiojimo laikas;</w:t>
                                  </w:r>
                                </w:p>
                              </w:sdtContent>
                            </w:sdt>
                            <w:sdt>
                              <w:sdtPr>
                                <w:alias w:val="20 str. 1 d. 4 p."/>
                                <w:tag w:val="part_d3f7e527c8de4a8781fa3a157ec5786a"/>
                                <w:lock w:val="sdtLocked"/>
                                <w:richText/>
                              </w:sdtPr>
                              <w:sdtContent>
                                <w:p>
                                  <w:pPr>
                                    <w:ind w:firstLine="720"/>
                                    <w:jc w:val="both"/>
                                    <w:rPr>
                                      <w:rFonts w:eastAsia="Calibri"/>
                                      <w:color w:val="000000"/>
                                      <w:szCs w:val="24"/>
                                    </w:rPr>
                                  </w:pPr>
                                  <w:sdt>
                                    <w:sdtPr>
                                      <w:alias w:val="Numeris"/>
                                      <w:tag w:val="nr_d3f7e527c8de4a8781fa3a157ec5786a"/>
                                      <w:lock w:val="sdtLocked"/>
                                      <w:richText/>
                                    </w:sdtPr>
                                    <w:sdtContent>
                                      <w:r>
                                        <w:rPr>
                                          <w:rFonts w:eastAsia="Calibri"/>
                                          <w:color w:val="000000"/>
                                          <w:szCs w:val="24"/>
                                        </w:rPr>
                                        <w:t>4</w:t>
                                      </w:r>
                                    </w:sdtContent>
                                  </w:sdt>
                                  <w:r>
                                    <w:rPr>
                                      <w:rFonts w:eastAsia="Calibri"/>
                                      <w:color w:val="000000"/>
                                      <w:szCs w:val="24"/>
                                    </w:rPr>
                                    <w:t>) užsieniečiams Lietuvos Respublikos tarptautinių sutarčių nustatytais atvejais.</w:t>
                                  </w:r>
                                </w:p>
                              </w:sdtContent>
                            </w:sdt>
                          </w:sdtContent>
                        </w:sdt>
                        <w:sdt>
                          <w:sdtPr>
                            <w:alias w:val="20 str. 2 d."/>
                            <w:tag w:val="part_50278e1839294807ae40c21edb0c8b2e"/>
                            <w:lock w:val="sdtLocked"/>
                            <w:richText/>
                          </w:sdtPr>
                          <w:sdtContent>
                            <w:p>
                              <w:pPr>
                                <w:ind w:firstLine="720"/>
                                <w:jc w:val="both"/>
                              </w:pPr>
                              <w:sdt>
                                <w:sdtPr>
                                  <w:alias w:val="Numeris"/>
                                  <w:tag w:val="nr_50278e1839294807ae40c21edb0c8b2e"/>
                                  <w:lock w:val="sdtLocked"/>
                                  <w:richText/>
                                </w:sdtPr>
                                <w:sdtContent>
                                  <w:r>
                                    <w:rPr>
                                      <w:rFonts w:eastAsia="Calibri"/>
                                      <w:color w:val="000000"/>
                                      <w:szCs w:val="24"/>
                                    </w:rPr>
                                    <w:t>2</w:t>
                                  </w:r>
                                </w:sdtContent>
                              </w:sdt>
                              <w:r>
                                <w:rPr>
                                  <w:rFonts w:eastAsia="Calibri"/>
                                  <w:color w:val="000000"/>
                                  <w:szCs w:val="24"/>
                                </w:rPr>
                                <w:t>. Asmens grįžimo pažymėjimai išduodami Lietuvos Respublikos užsienio reikalų ministro nustatyta ir su Lietuvos Respublikos vidaus reikalų ministru suderinta tvarka. Asmens grįžimo pažymėjimo formą nustato Lietuvos Respublikos vidaus reikalų ministras ir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1a9bc4cebd1b4eaaa6b3225d90e9bf8b"/>
                            <w:lock w:val="sdtLocked"/>
                            <w:richText/>
                          </w:sdtPr>
                          <w:sdtContent>
                            <w:p>
                              <w:pPr>
                                <w:ind w:firstLine="720"/>
                                <w:jc w:val="both"/>
                                <w:rPr>
                                  <w:color w:val="000000"/>
                                </w:rPr>
                              </w:pPr>
                              <w:sdt>
                                <w:sdtPr>
                                  <w:alias w:val="Numeris"/>
                                  <w:tag w:val="nr_1a9bc4cebd1b4eaaa6b3225d90e9bf8b"/>
                                  <w:lock w:val="sdtLocked"/>
                                  <w:richText/>
                                </w:sdtPr>
                                <w:sdtContent>
                                  <w:r>
                                    <w:rPr>
                                      <w:color w:val="000000"/>
                                      <w:szCs w:val="24"/>
                                    </w:rPr>
                                    <w:t>1</w:t>
                                  </w:r>
                                </w:sdtContent>
                              </w:sdt>
                              <w:r>
                                <w:rPr>
                                  <w:color w:val="000000"/>
                                  <w:szCs w:val="24"/>
                                </w:rPr>
                                <w:t xml:space="preserve">. Konsulinis pareigūnas arba įgaliotas darbuotojas priima prašymus išduoti vizas ar joms prilyginamus dokumentus. Konsulinis pareigūnas teisės aktų nustatytomis sąlygomis ir tvarka </w:t>
                              </w:r>
                              <w:r>
                                <w:rPr>
                                  <w:bCs/>
                                  <w:color w:val="000000"/>
                                  <w:szCs w:val="24"/>
                                </w:rPr>
                                <w:t>prašymus nagrinėja</w:t>
                              </w:r>
                              <w:r>
                                <w:rPr>
                                  <w:color w:val="000000"/>
                                  <w:szCs w:val="24"/>
                                </w:rPr>
                                <w:t xml:space="preserve"> ir priima sprendimus dėl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6fef72b3b8e3499dab4976800c24a89e"/>
                        <w:lock w:val="sdtLocked"/>
                        <w:richText/>
                      </w:sdtPr>
                      <w:sdtContent>
                        <w:p>
                          <w:pPr>
                            <w:ind w:left="2127" w:hanging="1418"/>
                            <w:jc w:val="both"/>
                            <w:rPr>
                              <w:b/>
                              <w:szCs w:val="24"/>
                              <w:lang w:eastAsia="lt-LT"/>
                            </w:rPr>
                          </w:pPr>
                          <w:sdt>
                            <w:sdtPr>
                              <w:alias w:val="Numeris"/>
                              <w:tag w:val="nr_6fef72b3b8e3499dab4976800c24a89e"/>
                              <w:lock w:val="sdtLocked"/>
                              <w:richText/>
                            </w:sdtPr>
                            <w:sdtContent>
                              <w:r>
                                <w:rPr>
                                  <w:b/>
                                  <w:szCs w:val="24"/>
                                  <w:lang w:eastAsia="lt-LT"/>
                                </w:rPr>
                                <w:t>25</w:t>
                              </w:r>
                            </w:sdtContent>
                          </w:sdt>
                          <w:r>
                            <w:rPr>
                              <w:b/>
                              <w:szCs w:val="24"/>
                              <w:lang w:eastAsia="lt-LT"/>
                            </w:rPr>
                            <w:t xml:space="preserve"> straipsnis. Pasų ir asmens tapatybės kortelių išdavimas, keitimas ir pilietybės klausimai</w:t>
                          </w:r>
                        </w:p>
                        <w:sdt>
                          <w:sdtPr>
                            <w:alias w:val="25 str. 1 d."/>
                            <w:tag w:val="part_bc1e88a6ade84961ba2ae46d6970d69d"/>
                            <w:lock w:val="sdtLocked"/>
                            <w:richText/>
                          </w:sdtPr>
                          <w:sdtContent>
                            <w:p>
                              <w:pPr>
                                <w:ind w:firstLine="720"/>
                                <w:jc w:val="both"/>
                                <w:rPr>
                                  <w:szCs w:val="24"/>
                                  <w:lang w:eastAsia="lt-LT"/>
                                </w:rPr>
                              </w:pPr>
                              <w:sdt>
                                <w:sdtPr>
                                  <w:alias w:val="Numeris"/>
                                  <w:tag w:val="nr_bc1e88a6ade84961ba2ae46d6970d69d"/>
                                  <w:lock w:val="sdtLocked"/>
                                  <w:richText/>
                                </w:sdtPr>
                                <w:sdtContent>
                                  <w:r>
                                    <w:rPr>
                                      <w:szCs w:val="24"/>
                                      <w:lang w:eastAsia="lt-LT"/>
                                    </w:rPr>
                                    <w:t>1</w:t>
                                  </w:r>
                                </w:sdtContent>
                              </w:sdt>
                              <w:r>
                                <w:rPr>
                                  <w:szCs w:val="24"/>
                                  <w:lang w:eastAsia="lt-LT"/>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 prie Lietuvos Respublikos vidaus reikalų ministerijos (toliau – Migracijos departamentas).</w:t>
                              </w:r>
                            </w:p>
                          </w:sdtContent>
                        </w:sdt>
                        <w:sdt>
                          <w:sdtPr>
                            <w:alias w:val="25 str. 2 d."/>
                            <w:tag w:val="part_173bfd6a8f644644b8b12cda9d53508f"/>
                            <w:lock w:val="sdtLocked"/>
                            <w:richText/>
                          </w:sdtPr>
                          <w:sdtContent>
                            <w:p>
                              <w:pPr>
                                <w:ind w:firstLine="720"/>
                                <w:jc w:val="both"/>
                                <w:rPr>
                                  <w:szCs w:val="24"/>
                                  <w:lang w:eastAsia="lt-LT"/>
                                </w:rPr>
                              </w:pPr>
                              <w:sdt>
                                <w:sdtPr>
                                  <w:alias w:val="Numeris"/>
                                  <w:tag w:val="nr_173bfd6a8f644644b8b12cda9d53508f"/>
                                  <w:lock w:val="sdtLocked"/>
                                  <w:richText/>
                                </w:sdtPr>
                                <w:sdtContent>
                                  <w:r>
                                    <w:rPr>
                                      <w:szCs w:val="24"/>
                                      <w:lang w:eastAsia="lt-LT"/>
                                    </w:rPr>
                                    <w:t>2</w:t>
                                  </w:r>
                                </w:sdtContent>
                              </w:sdt>
                              <w:r>
                                <w:rPr>
                                  <w:szCs w:val="24"/>
                                  <w:lang w:eastAsia="lt-LT"/>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konsulinis pareigūnas išduoda arba keičia pasą ar asmens tapatybės kortelę.</w:t>
                              </w:r>
                              <w:r>
                                <w:rPr>
                                  <w:color w:val="000000"/>
                                  <w:szCs w:val="24"/>
                                  <w:lang w:eastAsia="lt-LT"/>
                                </w:rPr>
                                <w:t xml:space="preserve"> </w:t>
                              </w:r>
                              <w:r>
                                <w:rPr>
                                  <w:szCs w:val="24"/>
                                  <w:lang w:eastAsia="lt-LT"/>
                                </w:rPr>
                                <w:t xml:space="preserve">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1e0e67ef585449858de9d181fd20bf89"/>
                            <w:lock w:val="sdtLocked"/>
                            <w:richText/>
                          </w:sdtPr>
                          <w:sdtContent>
                            <w:p>
                              <w:pPr>
                                <w:ind w:firstLine="720"/>
                                <w:jc w:val="both"/>
                                <w:rPr>
                                  <w:szCs w:val="24"/>
                                  <w:lang w:eastAsia="lt-LT"/>
                                </w:rPr>
                              </w:pPr>
                              <w:sdt>
                                <w:sdtPr>
                                  <w:alias w:val="Numeris"/>
                                  <w:tag w:val="nr_1e0e67ef585449858de9d181fd20bf89"/>
                                  <w:lock w:val="sdtLocked"/>
                                  <w:richText/>
                                </w:sdtPr>
                                <w:sdtContent>
                                  <w:r>
                                    <w:rPr>
                                      <w:szCs w:val="24"/>
                                      <w:lang w:eastAsia="lt-LT"/>
                                    </w:rPr>
                                    <w:t>3</w:t>
                                  </w:r>
                                </w:sdtContent>
                              </w:sdt>
                              <w:r>
                                <w:rPr>
                                  <w:szCs w:val="24"/>
                                  <w:lang w:eastAsia="lt-LT"/>
                                </w:rPr>
                                <w:t>. Konsulinis pareigūnas arba įgaliotas darbuotojas,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eb048b5fd55e45ba8b9a5ce673e29e35"/>
                            <w:lock w:val="sdtLocked"/>
                            <w:richText/>
                          </w:sdtPr>
                          <w:sdtContent>
                            <w:p>
                              <w:pPr>
                                <w:ind w:firstLine="720"/>
                                <w:jc w:val="both"/>
                                <w:rPr>
                                  <w:szCs w:val="24"/>
                                  <w:lang w:eastAsia="lt-LT"/>
                                </w:rPr>
                              </w:pPr>
                              <w:sdt>
                                <w:sdtPr>
                                  <w:alias w:val="Numeris"/>
                                  <w:tag w:val="nr_eb048b5fd55e45ba8b9a5ce673e29e35"/>
                                  <w:lock w:val="sdtLocked"/>
                                  <w:richText/>
                                </w:sdtPr>
                                <w:sdtContent>
                                  <w:r>
                                    <w:rPr>
                                      <w:szCs w:val="24"/>
                                      <w:lang w:eastAsia="lt-LT"/>
                                    </w:rPr>
                                    <w:t>4</w:t>
                                  </w:r>
                                </w:sdtContent>
                              </w:sdt>
                              <w:r>
                                <w:rPr>
                                  <w:szCs w:val="24"/>
                                  <w:lang w:eastAsia="lt-LT"/>
                                </w:rPr>
                                <w:t xml:space="preserve">. Konsulinis pareigūnas arba įgaliotas darbuotojas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25 str. 5 d."/>
                            <w:tag w:val="part_0740fb6e23a64ab1a7fa6cfd410393e5"/>
                            <w:lock w:val="sdtLocked"/>
                            <w:richText/>
                          </w:sdtPr>
                          <w:sdtContent>
                            <w:p>
                              <w:pPr>
                                <w:ind w:firstLine="720"/>
                                <w:jc w:val="both"/>
                                <w:rPr>
                                  <w:szCs w:val="24"/>
                                </w:rPr>
                              </w:pPr>
                              <w:sdt>
                                <w:sdtPr>
                                  <w:alias w:val="Numeris"/>
                                  <w:tag w:val="nr_0740fb6e23a64ab1a7fa6cfd410393e5"/>
                                  <w:lock w:val="sdtLocked"/>
                                  <w:richText/>
                                </w:sdtPr>
                                <w:sdtContent>
                                  <w:r>
                                    <w:rPr>
                                      <w:szCs w:val="24"/>
                                      <w:lang w:eastAsia="lt-LT"/>
                                    </w:rPr>
                                    <w:t>5</w:t>
                                  </w:r>
                                </w:sdtContent>
                              </w:sdt>
                              <w:r>
                                <w:rPr>
                                  <w:szCs w:val="24"/>
                                  <w:lang w:eastAsia="lt-LT"/>
                                </w:rPr>
                                <w:t>. Konsulinis pareigūnas arba įgaliotas darbuotojas Lietuvos Respublikos įstatymų nustatytais atvejais paima iš Lietuvos Respublikos piliečių negaliojančius asmens tapatybę ir pilietybę patvirtinančius dokumentus ir Lietuvos Respublikos teisės aktų nustatyta tvarka perduoda juos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5-1 str."/>
                        <w:tag w:val="part_d23d77b7d4eb4fad920d8a1801b6d46e"/>
                        <w:lock w:val="sdtLocked"/>
                        <w:richText/>
                      </w:sdtPr>
                      <w:sdtContent>
                        <w:p>
                          <w:pPr>
                            <w:ind w:firstLine="720"/>
                            <w:jc w:val="both"/>
                            <w:rPr>
                              <w:b/>
                              <w:bCs/>
                              <w:szCs w:val="24"/>
                              <w:lang w:eastAsia="lt-LT"/>
                            </w:rPr>
                          </w:pPr>
                          <w:sdt>
                            <w:sdtPr>
                              <w:alias w:val="Numeris"/>
                              <w:tag w:val="nr_d23d77b7d4eb4fad920d8a1801b6d46e"/>
                              <w:lock w:val="sdtLocked"/>
                              <w:richText/>
                            </w:sdtPr>
                            <w:sdtContent>
                              <w:r>
                                <w:rPr>
                                  <w:b/>
                                  <w:bCs/>
                                  <w:color w:val="000000"/>
                                  <w:szCs w:val="24"/>
                                </w:rPr>
                                <w:t>25</w:t>
                              </w:r>
                              <w:r>
                                <w:rPr>
                                  <w:b/>
                                  <w:bCs/>
                                  <w:color w:val="000000"/>
                                  <w:szCs w:val="24"/>
                                  <w:vertAlign w:val="superscript"/>
                                </w:rPr>
                                <w:t>1</w:t>
                              </w:r>
                            </w:sdtContent>
                          </w:sdt>
                          <w:r>
                            <w:rPr>
                              <w:b/>
                              <w:bCs/>
                              <w:color w:val="000000"/>
                              <w:szCs w:val="24"/>
                            </w:rPr>
                            <w:t xml:space="preserve"> straipsnis. </w:t>
                          </w:r>
                          <w:sdt>
                            <w:sdtPr>
                              <w:alias w:val="Pavadinimas"/>
                              <w:tag w:val="title_d23d77b7d4eb4fad920d8a1801b6d46e"/>
                              <w:lock w:val="sdtLocked"/>
                              <w:richText/>
                            </w:sdtPr>
                            <w:sdtContent>
                              <w:r>
                                <w:rPr>
                                  <w:b/>
                                  <w:bCs/>
                                  <w:color w:val="000000"/>
                                  <w:szCs w:val="24"/>
                                </w:rPr>
                                <w:t>Laikino kelionės dokumento išdavimas</w:t>
                              </w:r>
                              <w:r>
                                <w:rPr>
                                  <w:b/>
                                  <w:bCs/>
                                  <w:szCs w:val="24"/>
                                  <w:lang w:eastAsia="lt-LT"/>
                                </w:rPr>
                                <w:t xml:space="preserve"> </w:t>
                              </w:r>
                            </w:sdtContent>
                          </w:sdt>
                        </w:p>
                        <w:sdt>
                          <w:sdtPr>
                            <w:alias w:val="25-1 str. 1 d."/>
                            <w:tag w:val="part_e838834b9c054de4b2452009040794ff"/>
                            <w:lock w:val="sdtLocked"/>
                            <w:richText/>
                          </w:sdtPr>
                          <w:sdtContent>
                            <w:p>
                              <w:pPr>
                                <w:ind w:firstLine="720"/>
                                <w:jc w:val="both"/>
                              </w:pPr>
                              <w:r>
                                <w:rPr>
                                  <w:color w:val="000000"/>
                                  <w:szCs w:val="24"/>
                                </w:rPr>
                                <w:t xml:space="preserve">Konsulinis pareigūnas </w:t>
                              </w:r>
                              <w:r>
                                <w:rPr>
                                  <w:bCs/>
                                  <w:color w:val="000000"/>
                                  <w:szCs w:val="24"/>
                                </w:rPr>
                                <w:t>Lietuvos Respublikos asmens tapatybės kortelės ir paso įstatymo nustatytais atvejais</w:t>
                              </w:r>
                              <w:r>
                                <w:rPr>
                                  <w:color w:val="000000"/>
                                  <w:szCs w:val="24"/>
                                </w:rPr>
                                <w:t xml:space="preserve"> </w:t>
                              </w:r>
                              <w:r>
                                <w:rPr>
                                  <w:bCs/>
                                  <w:color w:val="000000"/>
                                  <w:szCs w:val="24"/>
                                </w:rPr>
                                <w:t>Lietuvos Respublikos</w:t>
                              </w:r>
                              <w:r>
                                <w:rPr>
                                  <w:color w:val="000000"/>
                                  <w:szCs w:val="24"/>
                                </w:rPr>
                                <w:t xml:space="preserve"> </w:t>
                              </w:r>
                              <w:r>
                                <w:rPr>
                                  <w:bCs/>
                                  <w:color w:val="000000"/>
                                  <w:szCs w:val="24"/>
                                </w:rPr>
                                <w:t>piliečio</w:t>
                              </w:r>
                              <w:r>
                                <w:rPr>
                                  <w:color w:val="000000"/>
                                  <w:szCs w:val="24"/>
                                </w:rPr>
                                <w:t xml:space="preserve"> prašymu Lietuvos Respublikos užsienio reikalų ministro nustatyta ir </w:t>
                              </w:r>
                              <w:r>
                                <w:rPr>
                                  <w:bCs/>
                                  <w:color w:val="000000"/>
                                  <w:szCs w:val="24"/>
                                </w:rPr>
                                <w:t>su Lietuvos Respublikos vidaus reikalų ministru suderinta</w:t>
                              </w:r>
                              <w:r>
                                <w:rPr>
                                  <w:color w:val="000000"/>
                                  <w:szCs w:val="24"/>
                                </w:rPr>
                                <w:t xml:space="preserve"> tvarka išduoda laikiną kelionės dokumentą – laikiną pasą, kuris galioja ne ilgiau kaip vienus metus. </w:t>
                              </w:r>
                              <w:r>
                                <w:rPr>
                                  <w:bCs/>
                                  <w:color w:val="000000"/>
                                  <w:szCs w:val="24"/>
                                </w:rPr>
                                <w:t>Laikino paso</w:t>
                              </w:r>
                              <w:r>
                                <w:rPr>
                                  <w:color w:val="000000"/>
                                  <w:szCs w:val="24"/>
                                </w:rPr>
                                <w:t xml:space="preserve"> </w:t>
                              </w:r>
                              <w:r>
                                <w:rPr>
                                  <w:bCs/>
                                  <w:color w:val="000000"/>
                                  <w:szCs w:val="24"/>
                                </w:rPr>
                                <w:t>formą nustato Lietuvos Respublikos vidaus reikalų ministras ir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sdtContent>
                    </w:sdt>
                    <w:sdt>
                      <w:sdtPr>
                        <w:alias w:val="26 str."/>
                        <w:tag w:val="part_7342ea9c889447cb87c001dfc99b34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26</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c5de72034311edb32c9f9d8ba206f8">
                            <w:r w:rsidRPr="00532B9F">
                              <w:rPr>
                                <w:rFonts w:ascii="Times New Roman" w:eastAsia="MS Mincho" w:hAnsi="Times New Roman"/>
                                <w:sz w:val="20"/>
                                <w:i/>
                                <w:iCs/>
                                <w:color w:val="0000FF" w:themeColor="hyperlink"/>
                                <w:u w:val="single"/>
                              </w:rPr>
                              <w:t>XIV-1290</w:t>
                            </w:r>
                          </w:fldSimple>
                          <w:r>
                            <w:rPr>
                              <w:rFonts w:ascii="Times New Roman" w:eastAsia="MS Mincho" w:hAnsi="Times New Roman"/>
                              <w:sz w:val="20"/>
                              <w:i/>
                              <w:iCs/>
                            </w:rPr>
                            <w:t>,
2022-06-30,
paskelbta TAR 2022-07-14, i. k. 2022-15440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b516252553f14513be2f60ed41fed97b"/>
                            <w:lock w:val="sdtLocked"/>
                            <w:richText/>
                          </w:sdtPr>
                          <w:sdtContent>
                            <w:p>
                              <w:pPr>
                                <w:ind w:firstLine="720"/>
                                <w:jc w:val="both"/>
                                <w:rPr>
                                  <w:color w:val="000000"/>
                                </w:rPr>
                              </w:pPr>
                              <w:sdt>
                                <w:sdtPr>
                                  <w:alias w:val="Numeris"/>
                                  <w:tag w:val="nr_b516252553f14513be2f60ed41fed97b"/>
                                  <w:lock w:val="sdtLocked"/>
                                  <w:richText/>
                                </w:sdtPr>
                                <w:sdtContent>
                                  <w:r>
                                    <w:rPr>
                                      <w:color w:val="000000"/>
                                      <w:szCs w:val="24"/>
                                      <w:lang w:eastAsia="lt-LT"/>
                                    </w:rPr>
                                    <w:t>1</w:t>
                                  </w:r>
                                </w:sdtContent>
                              </w:sdt>
                              <w:r>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valdymo informacinę sistemą. Į Konsulinių procedūrų valdymo informacinę sistemą duomenys įrašomi ir užsienio valstybėje gyvenančio Lietuvos Respublikos piliečio prašymu. Šie duomenys naudojami tik konsulinei pagalbai šio statuto 14 straipsnyje nurodytais atvejais teikti, o įrašant duomenis Lietuvos Respublikos piliečio prašymu, – jo nurodytais su konsulinių funkcijų vykdymu susijusiais tikslais.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16688152eea04d74b74407eba816ba75"/>
                            <w:lock w:val="sdtLocked"/>
                            <w:richText/>
                          </w:sdtPr>
                          <w:sdtContent>
                            <w:p>
                              <w:pPr>
                                <w:ind w:firstLine="720"/>
                                <w:jc w:val="both"/>
                                <w:rPr>
                                  <w:szCs w:val="24"/>
                                </w:rPr>
                              </w:pPr>
                              <w:sdt>
                                <w:sdtPr>
                                  <w:alias w:val="Numeris"/>
                                  <w:tag w:val="nr_16688152eea04d74b74407eba816ba75"/>
                                  <w:lock w:val="sdtLocked"/>
                                  <w:richText/>
                                </w:sdtPr>
                                <w:sdtContent>
                                  <w:r>
                                    <w:rPr>
                                      <w:color w:val="000000"/>
                                      <w:szCs w:val="24"/>
                                      <w:lang w:eastAsia="lt-LT"/>
                                    </w:rPr>
                                    <w:t>2</w:t>
                                  </w:r>
                                </w:sdtContent>
                              </w:sdt>
                              <w:r>
                                <w:rPr>
                                  <w:color w:val="000000"/>
                                  <w:szCs w:val="24"/>
                                  <w:lang w:eastAsia="lt-LT"/>
                                </w:rPr>
                                <w:t>. Konsulinis pareigūnas arba įgaliotas darbuotojas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9d6c0e930af44f17947095d5f5f673e1"/>
                            <w:lock w:val="sdtLocked"/>
                            <w:richText/>
                          </w:sdtPr>
                          <w:sdtContent>
                            <w:p>
                              <w:pPr>
                                <w:ind w:firstLine="720"/>
                                <w:jc w:val="both"/>
                                <w:rPr>
                                  <w:color w:val="000000"/>
                                </w:rPr>
                              </w:pPr>
                              <w:sdt>
                                <w:sdtPr>
                                  <w:alias w:val="Numeris"/>
                                  <w:tag w:val="nr_9d6c0e930af44f17947095d5f5f673e1"/>
                                  <w:lock w:val="sdtLocked"/>
                                  <w:richText/>
                                </w:sdtPr>
                                <w:sdtContent>
                                  <w:r>
                                    <w:rPr>
                                      <w:color w:val="000000"/>
                                      <w:szCs w:val="24"/>
                                      <w:lang w:eastAsia="lt-LT"/>
                                    </w:rPr>
                                    <w:t>1</w:t>
                                  </w:r>
                                </w:sdtContent>
                              </w:sdt>
                              <w:r>
                                <w:rPr>
                                  <w:color w:val="000000"/>
                                  <w:szCs w:val="24"/>
                                  <w:lang w:eastAsia="lt-LT"/>
                                </w:rPr>
                                <w:t>. Konsulinis pareigūnas arba įgaliotas darbuotojas priima asmenų prašymus dėl konsulinių pažymų išdavimo. Konsulinis pareigūnas išduoda konsulines pažymas apie jam pateiktais faktais pagrįstas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f98de9ee343e4db9b914b7916d5e1ee2"/>
                            <w:lock w:val="sdtLocked"/>
                            <w:richText/>
                          </w:sdtPr>
                          <w:sdtContent>
                            <w:p>
                              <w:pPr>
                                <w:ind w:firstLine="720"/>
                                <w:jc w:val="both"/>
                                <w:rPr>
                                  <w:color w:val="000000"/>
                                </w:rPr>
                              </w:pPr>
                              <w:sdt>
                                <w:sdtPr>
                                  <w:alias w:val="Numeris"/>
                                  <w:tag w:val="nr_f98de9ee343e4db9b914b7916d5e1ee2"/>
                                  <w:lock w:val="sdtLocked"/>
                                  <w:richText/>
                                </w:sdtPr>
                                <w:sdtContent>
                                  <w:r>
                                    <w:rPr>
                                      <w:color w:val="000000"/>
                                      <w:szCs w:val="24"/>
                                      <w:lang w:eastAsia="lt-LT"/>
                                    </w:rPr>
                                    <w:t>1</w:t>
                                  </w:r>
                                </w:sdtContent>
                              </w:sdt>
                              <w:r>
                                <w:rPr>
                                  <w:color w:val="000000"/>
                                  <w:szCs w:val="24"/>
                                  <w:lang w:eastAsia="lt-LT"/>
                                </w:rPr>
                                <w:t>. Konsulinis pareigūnas arba įgaliotas darbuotojas Lietuvos Respublikos užsienio reikalų ministro ir Lietuvos Respublikos socialinės apsaugos ir darbo ministro nustatyta tvarka priima asmenų prašymus ir kitus dokumentus, būtinus pensijai skirti ir (ar) mokėti, ir perduoda juos kompetentingoms Lietuvos Respublikos valstybės ar savivaldybių institucijoms ar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87dd203648d845569436e60092c9eecf"/>
        <w:lock w:val="sdtLocked"/>
        <w:richText/>
      </w:sdtPr>
      <w:sdtContent>
        <w:p>
          <w:pPr>
            <w:ind w:firstLine="5103"/>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87dd203648d845569436e60092c9eecf"/>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3360d0626311e99676cb74c51fe1f4">
            <w:r w:rsidRPr="00532B9F">
              <w:rPr>
                <w:rFonts w:ascii="Times New Roman" w:eastAsia="MS Mincho" w:hAnsi="Times New Roman"/>
                <w:sz w:val="20"/>
                <w:iCs/>
                <w:color w:val="0000FF" w:themeColor="hyperlink"/>
                <w:u w:val="single"/>
              </w:rPr>
              <w:t>XIII-2058</w:t>
            </w:r>
          </w:fldSimple>
          <w:r>
            <w:rPr>
              <w:rFonts w:ascii="Times New Roman" w:eastAsia="MS Mincho" w:hAnsi="Times New Roman"/>
              <w:sz w:val="20"/>
              <w:iCs/>
            </w:rPr>
            <w:t>,
2019-04-11,
paskelbta TAR 2019-04-19, i. k. 2019-06501                </w:t>
          </w:r>
        </w:p>
        <w:p>
          <w:pPr>
            <w:jc w:val="both"/>
            <w:rPr>
              <w:rFonts w:ascii="Times New Roman" w:hAnsi="Times New Roman"/>
            </w:rPr>
          </w:pPr>
          <w:r>
            <w:rPr>
              <w:rFonts w:ascii="Times New Roman" w:hAnsi="Times New Roman"/>
              <w:sz w:val="20"/>
            </w:rPr>
            <w:t>Lietuvos Respublikos konsulinio statuto 2, 8, 9, 15, 16, 17, 20, 23, 25, 26, 27, 28, 31, 33, 35, 36 ir 37 straipsnių pakeitimo ir Statuto papildymo 7-1 ir 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7cfef0131711e9b2b6e7cdb14007b4">
            <w:r w:rsidRPr="00532B9F">
              <w:rPr>
                <w:rFonts w:ascii="Times New Roman" w:eastAsia="MS Mincho" w:hAnsi="Times New Roman"/>
                <w:sz w:val="20"/>
                <w:iCs/>
                <w:color w:val="0000FF" w:themeColor="hyperlink"/>
                <w:u w:val="single"/>
              </w:rPr>
              <w:t>XIII-1869</w:t>
            </w:r>
          </w:fldSimple>
          <w:r>
            <w:rPr>
              <w:rFonts w:ascii="Times New Roman" w:eastAsia="MS Mincho" w:hAnsi="Times New Roman"/>
              <w:sz w:val="20"/>
              <w:iCs/>
            </w:rPr>
            <w:t>,
2018-12-20,
paskelbta TAR 2019-01-08, i. k. 2019-00221                </w:t>
          </w:r>
        </w:p>
        <w:p>
          <w:pPr>
            <w:jc w:val="both"/>
            <w:rPr>
              <w:rFonts w:ascii="Times New Roman" w:hAnsi="Times New Roman"/>
            </w:rPr>
          </w:pPr>
          <w:r>
            <w:rPr>
              <w:rFonts w:ascii="Times New Roman" w:hAnsi="Times New Roman"/>
              <w:sz w:val="20"/>
            </w:rPr>
            <w:t>Lietuvos Respublikos konsulinio statuto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8a3b90626311e99676cb74c51fe1f4">
            <w:r w:rsidRPr="00532B9F">
              <w:rPr>
                <w:rFonts w:ascii="Times New Roman" w:eastAsia="MS Mincho" w:hAnsi="Times New Roman"/>
                <w:sz w:val="20"/>
                <w:iCs/>
                <w:color w:val="0000FF" w:themeColor="hyperlink"/>
                <w:u w:val="single"/>
              </w:rPr>
              <w:t>XIII-2059</w:t>
            </w:r>
          </w:fldSimple>
          <w:r>
            <w:rPr>
              <w:rFonts w:ascii="Times New Roman" w:eastAsia="MS Mincho" w:hAnsi="Times New Roman"/>
              <w:sz w:val="20"/>
              <w:iCs/>
            </w:rPr>
            <w:t>,
2019-04-11,
paskelbta TAR 2019-04-19, i. k. 2019-06502                </w:t>
          </w:r>
        </w:p>
        <w:p>
          <w:pPr>
            <w:jc w:val="both"/>
            <w:rPr>
              <w:rFonts w:ascii="Times New Roman" w:hAnsi="Times New Roman"/>
            </w:rPr>
          </w:pPr>
          <w:r>
            <w:rPr>
              <w:rFonts w:ascii="Times New Roman" w:hAnsi="Times New Roman"/>
              <w:sz w:val="20"/>
            </w:rPr>
            <w:t>Lietuvos Respublikos konsulinio statuto 25 ir 26 straipsnių pakeitimo įstatymo Nr. XIII-1869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99f370979a11eb9fecb5ecd3bd711c">
            <w:r w:rsidRPr="00532B9F">
              <w:rPr>
                <w:rFonts w:ascii="Times New Roman" w:eastAsia="MS Mincho" w:hAnsi="Times New Roman"/>
                <w:sz w:val="20"/>
                <w:iCs/>
                <w:color w:val="0000FF" w:themeColor="hyperlink"/>
                <w:u w:val="single"/>
              </w:rPr>
              <w:t>XIV-226</w:t>
            </w:r>
          </w:fldSimple>
          <w:r>
            <w:rPr>
              <w:rFonts w:ascii="Times New Roman" w:eastAsia="MS Mincho" w:hAnsi="Times New Roman"/>
              <w:sz w:val="20"/>
              <w:iCs/>
            </w:rPr>
            <w:t>,
2021-03-30,
paskelbta TAR 2021-04-08, i. k. 2021-07287                </w:t>
          </w:r>
        </w:p>
        <w:p>
          <w:pPr>
            <w:jc w:val="both"/>
            <w:rPr>
              <w:rFonts w:ascii="Times New Roman" w:hAnsi="Times New Roman"/>
            </w:rPr>
          </w:pPr>
          <w:r>
            <w:rPr>
              <w:rFonts w:ascii="Times New Roman" w:hAnsi="Times New Roman"/>
              <w:sz w:val="20"/>
            </w:rPr>
            <w:t>Lietuvos Respublikos konsulinio statuto 20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c5de72034311edb32c9f9d8ba206f8">
            <w:r w:rsidRPr="00532B9F">
              <w:rPr>
                <w:rFonts w:ascii="Times New Roman" w:eastAsia="MS Mincho" w:hAnsi="Times New Roman"/>
                <w:sz w:val="20"/>
                <w:iCs/>
                <w:color w:val="0000FF" w:themeColor="hyperlink"/>
                <w:u w:val="single"/>
              </w:rPr>
              <w:t>XIV-1290</w:t>
            </w:r>
          </w:fldSimple>
          <w:r>
            <w:rPr>
              <w:rFonts w:ascii="Times New Roman" w:eastAsia="MS Mincho" w:hAnsi="Times New Roman"/>
              <w:sz w:val="20"/>
              <w:iCs/>
            </w:rPr>
            <w:t>,
2022-06-30,
paskelbta TAR 2022-07-14, i. k. 2022-15440                </w:t>
          </w:r>
        </w:p>
        <w:p>
          <w:pPr>
            <w:jc w:val="both"/>
            <w:rPr>
              <w:rFonts w:ascii="Times New Roman" w:hAnsi="Times New Roman"/>
            </w:rPr>
          </w:pPr>
          <w:r>
            <w:rPr>
              <w:rFonts w:ascii="Times New Roman" w:hAnsi="Times New Roman"/>
              <w:sz w:val="20"/>
            </w:rPr>
            <w:t>Lietuvos Respublikos konsulinio statuto 23 straipsnio pakeitimo ir 26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444ED"/>
  <w15:docId w15:val="{605836A3-E900-4CC5-A5F9-8E6520A3EC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55.xml"/>
  <Relationship Id="rId11" Type="http://schemas.openxmlformats.org/officeDocument/2006/relationships/footer" Target="footer56.xml"/>
  <Relationship Id="rId12" Type="http://schemas.openxmlformats.org/officeDocument/2006/relationships/header" Target="header57.xml"/>
  <Relationship Id="rId13" Type="http://schemas.openxmlformats.org/officeDocument/2006/relationships/footer" Target="footer5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55.xml"/>
  <Relationship Id="rId9" Type="http://schemas.openxmlformats.org/officeDocument/2006/relationships/header" Target="header5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650c8549329e4a358bb8f9aab4ab6c34"/>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96028f376f54122a9b57dd09afe0524"/>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844fc40683ed4caa96f481fc6089f077"/>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Asmens grįžimo pažymėjimo išdavimas" DocPartId="196131ba1f9645a4887fcc6f6f935a82" PartId="0537ac459c4a4c19be22451468a98d8d">
            <Part Type="strDalis" Nr="1" Abbr="20 str. 1 d." DocPartId="1cd312390cbf4a3ebd905444abdf52e1" PartId="dbc51f4a21754969bdf2f005f8efc86a">
              <Part Type="strPunktas" Nr="1" Abbr="20 str. 1 d. 1 p." DocPartId="2029c80d20fa4438905f33fcc1976e32" PartId="fd279cf21ea24f29a21d4009d40f09ae"/>
              <Part Type="strPunktas" Nr="2" Abbr="20 str. 1 d. 2 p." DocPartId="c288092a2779410695d2ee1523fa5135" PartId="d18c7f15d93e49ccb8c5a21e3c6f8317"/>
              <Part Type="strPunktas" Nr="3" Abbr="20 str. 1 d. 3 p." DocPartId="73fad75254c74eae9d70cf0b5af4da78" PartId="5626c6892f054488803aad03aabf582f"/>
              <Part Type="strPunktas" Nr="4" Abbr="20 str. 1 d. 4 p." DocPartId="834045aa0bf348eb96e767a3a05d3fe2" PartId="d3f7e527c8de4a8781fa3a157ec5786a"/>
            </Part>
            <Part Type="strDalis" Nr="2" Abbr="20 str. 2 d." DocPartId="ea51636ec7f74d6888ce90728d47002a" PartId="50278e1839294807ae40c21edb0c8b2e"/>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Šengeno vizų ir joms prilyginamų dokumentų išdavimas" DocPartId="2c9d608ea0fa4566ae75842327fcc522" PartId="1cd85b8c4b3747459d90fc6a7f35013f">
            <Part Type="strDalis" Nr="1" Abbr="23 str. 1 d." DocPartId="aeef4d9126ad4618bb3678f2df88f77e" PartId="1a9bc4cebd1b4eaaa6b3225d90e9bf8b"/>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DocPartId="0fa0491472a444c58cd7dcaba6e16fe2" PartId="6fef72b3b8e3499dab4976800c24a89e">
            <Part Type="strDalis" Nr="1" Abbr="25 str. 1 d." DocPartId="b138d8b5af404dceb2d18728babbdc11" PartId="bc1e88a6ade84961ba2ae46d6970d69d"/>
            <Part Type="strDalis" Nr="2" Abbr="25 str. 2 d." DocPartId="8ae7291b0a3f415c9b3c542f3a61b5e3" PartId="173bfd6a8f644644b8b12cda9d53508f"/>
            <Part Type="strDalis" Nr="3" Abbr="25 str. 3 d." DocPartId="155a4201bae34d3bbba83489b57252e7" PartId="1e0e67ef585449858de9d181fd20bf89"/>
            <Part Type="strDalis" Nr="4" Abbr="25 str. 4 d." DocPartId="e9aa879bf04d4a479a0ee8e71703c9da" PartId="eb048b5fd55e45ba8b9a5ce673e29e35"/>
            <Part Type="strDalis" Nr="5" Abbr="25 str. 5 d." DocPartId="24b7d7978de84c8bb918c71b079c1a39" PartId="0740fb6e23a64ab1a7fa6cfd410393e5"/>
          </Part>
          <Part Type="straipsnis" Nr="25-1" Abbr="25-1 str." Title="Laikino kelionės dokumento išdavimas" DocPartId="35290530433d444b887d111939db4ab1" PartId="d23d77b7d4eb4fad920d8a1801b6d46e">
            <Part Type="strDalis" Nr="1" Abbr="25-1 str. 1 d." DocPartId="47b462a25acf465799253260b1bea0e9" PartId="e838834b9c054de4b2452009040794ff"/>
          </Part>
          <Part Type="straipsnis" Nr="26" Abbr="26 str." DocPartId="9eef0d349cc646b2abae63d62d77d4ae" PartId="7342ea9c889447cb87c001dfc99b349d"/>
          <Part Type="straipsnis" Nr="27" Abbr="27 str." Title="Lietuvos Respublikos piliečių konsulinė registracija" DocPartId="afefbb75d7b74033b20bcd8a736560b5" PartId="cbfa4351c333480384c82db3d94a3143">
            <Part Type="strDalis" Nr="1" Abbr="27 str. 1 d." DocPartId="5e0f1c4aaba741659fb576c1359f1a66" PartId="b516252553f14513be2f60ed41fed97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16688152eea04d74b74407eba816ba75"/>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9d6c0e930af44f17947095d5f5f673e1"/>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0c4ca49f9fe6431f9f3b3b8007178401"/>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f98de9ee343e4db9b914b7916d5e1ee2"/>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87dd203648d845569436e60092c9eecf">
    <Part Type="punktas" Nr="1" Abbr="pr. 1 p." DocPartId="a7f6721880f04c4b8db600f94ae82bd3" PartId="2bc0220ca7b848088efc73fbee69bd89"/>
  </Part>
</Parts>
</file>

<file path=customXml/itemProps1.xml><?xml version="1.0" encoding="utf-8"?>
<ds:datastoreItem xmlns:ds="http://schemas.openxmlformats.org/officeDocument/2006/customXml" ds:itemID="{5C9DA754-287A-4655-9848-2DF3B019F4E8}">
  <ds:schemaRefs>
    <ds:schemaRef ds:uri="http://lrs.lt/TAIS/DocParts"/>
  </ds:schemaRefs>
</ds:datastoreItem>
</file>

<file path=docProps/app.xml><?xml version="1.0" encoding="utf-8"?>
<Properties xmlns="http://schemas.openxmlformats.org/officeDocument/2006/extended-properties">
  <Template>Normal.dotm</Template>
  <TotalTime>23</TotalTime>
  <Pages>13</Pages>
  <Words>26338</Words>
  <Characters>15013</Characters>
  <Application>Microsoft Office Word</Application>
  <DocSecurity>0</DocSecurity>
  <Lines>125</Lines>
  <Paragraphs>82</Paragraphs>
  <ScaleCrop>false</ScaleCrop>
  <Company/>
  <LinksUpToDate>false</LinksUpToDate>
  <CharactersWithSpaces>41269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2022-07-21T14:12:00Z</dcterms:modified>
  <revision>45</revision>
</coreProperties>
</file>