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2015-09-01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cbbe51c5ca2643749d5e60b5cc454c60"/>
                            <w:lock w:val="sdtLocked"/>
                            <w:richText/>
                          </w:sdtPr>
                          <w:sdtContent>
                            <w:p>
                              <w:pPr>
                                <w:widowControl w:val="0"/>
                                <w:ind w:firstLine="708"/>
                                <w:jc w:val="both"/>
                              </w:pPr>
                              <w:sdt>
                                <w:sdtPr>
                                  <w:alias w:val="Numeris"/>
                                  <w:tag w:val="nr_cbbe51c5ca2643749d5e60b5cc454c60"/>
                                  <w:lock w:val="sdtLocked"/>
                                  <w:richText/>
                                </w:sdtPr>
                                <w:sdtContent>
                                  <w:r>
                                    <w:rPr>
                                      <w:color w:val="000000"/>
                                    </w:rPr>
                                    <w:t>2</w:t>
                                  </w:r>
                                </w:sdtContent>
                              </w:sdt>
                              <w:r>
                                <w:rPr>
                                  <w:color w:val="000000"/>
                                </w:rPr>
                                <w:t>. Konsulinis pareigūnas, gavęs informacijos iš buvimo valstybės kompetentingų institucijų, kad Lietuvos Respublikos nacionalinę priklausomybę turintis laivas yra sulaikytas dėl tarptautinių saugios laivybos reikalavimų pažeidimų, praneša apie tai Lietuvos saugios laivybos administracijai.</w:t>
                              </w:r>
                            </w:p>
                          </w:sdtContent>
                        </w:sdt>
                        <w:sdt>
                          <w:sdtPr>
                            <w:alias w:val="21 str. 3 d."/>
                            <w:tag w:val="part_08c179bb6a0b4c16a5d99c5fca312395"/>
                            <w:lock w:val="sdtLocked"/>
                            <w:richText/>
                          </w:sdtPr>
                          <w:sdtContent>
                            <w:p>
                              <w:pPr>
                                <w:widowControl w:val="0"/>
                                <w:ind w:firstLine="708"/>
                                <w:jc w:val="both"/>
                                <w:rPr>
                                  <w:color w:val="000000"/>
                                </w:rPr>
                              </w:pPr>
                              <w:sdt>
                                <w:sdtPr>
                                  <w:alias w:val="Numeris"/>
                                  <w:tag w:val="nr_08c179bb6a0b4c16a5d99c5fca312395"/>
                                  <w:lock w:val="sdtLocked"/>
                                  <w:richText/>
                                </w:sdtPr>
                                <w:sdtContent>
                                  <w:r>
                                    <w:rPr>
                                      <w:color w:val="000000"/>
                                    </w:rPr>
                                    <w:t>3</w:t>
                                  </w:r>
                                </w:sdtContent>
                              </w:sdt>
                              <w:r>
                                <w:rPr>
                                  <w:color w:val="000000"/>
                                </w:rPr>
                                <w:t>. Jeigu, konsulinio pareigūno žiniomis, laivo, turinčio Lietuvos Respublikos nacionalinę priklausomybę, įplaukimas į kurį nors uostą yra nesaugus, nepageidautinas arba negalimas, konsulinis pareigūnas privalo apie tai pranešti Lietuvos saugios laivybos administracijai, Lietuvos Respublikos užsienio reikalų ministerijai ir, esant galimybei, įspėti apie tai laivo kapitoną.</w:t>
                              </w:r>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b3d30db1da3c4f50a249e019d33a8be4"/>
                        <w:lock w:val="sdtLocked"/>
                        <w:richText/>
                      </w:sdtPr>
                      <w:sdtContent>
                        <w:p>
                          <w:pPr>
                            <w:ind w:firstLine="720"/>
                            <w:jc w:val="both"/>
                            <w:rPr>
                              <w:sz w:val="22"/>
                              <w:szCs w:val="22"/>
                              <w:lang w:eastAsia="lt-LT"/>
                            </w:rPr>
                          </w:pPr>
                          <w:sdt>
                            <w:sdtPr>
                              <w:alias w:val="Numeris"/>
                              <w:tag w:val="nr_b3d30db1da3c4f50a249e019d33a8be4"/>
                              <w:lock w:val="sdtLocked"/>
                              <w:richText/>
                            </w:sdtPr>
                            <w:sdtContent>
                              <w:r>
                                <w:rPr>
                                  <w:b/>
                                  <w:sz w:val="22"/>
                                  <w:szCs w:val="22"/>
                                </w:rPr>
                                <w:t>22</w:t>
                              </w:r>
                            </w:sdtContent>
                          </w:sdt>
                          <w:r>
                            <w:rPr>
                              <w:b/>
                              <w:sz w:val="22"/>
                              <w:szCs w:val="22"/>
                            </w:rPr>
                            <w:t xml:space="preserve"> straipsnis. </w:t>
                          </w:r>
                          <w:sdt>
                            <w:sdtPr>
                              <w:alias w:val="Pavadinimas"/>
                              <w:tag w:val="title_b3d30db1da3c4f50a249e019d33a8be4"/>
                              <w:lock w:val="sdtLocked"/>
                              <w:richText/>
                            </w:sdtPr>
                            <w:sdtContent>
                              <w:r>
                                <w:rPr>
                                  <w:b/>
                                  <w:sz w:val="22"/>
                                  <w:szCs w:val="22"/>
                                </w:rPr>
                                <w:t>Valstybės</w:t>
                              </w:r>
                              <w:r>
                                <w:rPr>
                                  <w:sz w:val="22"/>
                                  <w:szCs w:val="22"/>
                                </w:rPr>
                                <w:t xml:space="preserve"> </w:t>
                              </w:r>
                              <w:r>
                                <w:rPr>
                                  <w:b/>
                                  <w:sz w:val="22"/>
                                  <w:szCs w:val="22"/>
                                </w:rPr>
                                <w:t>materialinė pagalba</w:t>
                              </w:r>
                            </w:sdtContent>
                          </w:sdt>
                        </w:p>
                        <w:sdt>
                          <w:sdtPr>
                            <w:alias w:val="22 str. 1 d."/>
                            <w:tag w:val="part_a24b6f2245994cc1a6d015df03d95f6e"/>
                            <w:lock w:val="sdtLocked"/>
                            <w:richText/>
                          </w:sdtPr>
                          <w:sdtContent>
                            <w:p>
                              <w:pPr>
                                <w:ind w:firstLine="720"/>
                                <w:jc w:val="both"/>
                                <w:rPr>
                                  <w:sz w:val="22"/>
                                  <w:szCs w:val="22"/>
                                </w:rPr>
                              </w:pPr>
                              <w:sdt>
                                <w:sdtPr>
                                  <w:alias w:val="Numeris"/>
                                  <w:tag w:val="nr_a24b6f2245994cc1a6d015df03d95f6e"/>
                                  <w:lock w:val="sdtLocked"/>
                                  <w:richText/>
                                </w:sdtPr>
                                <w:sdtContent>
                                  <w:r>
                                    <w:rPr>
                                      <w:sz w:val="22"/>
                                      <w:szCs w:val="22"/>
                                    </w:rPr>
                                    <w:t>1</w:t>
                                  </w:r>
                                </w:sdtContent>
                              </w:sdt>
                              <w:r>
                                <w:rPr>
                                  <w:sz w:val="22"/>
                                  <w:szCs w:val="22"/>
                                </w:rPr>
                                <w:t>. Valstybės materialinė pagalba teikiama užsienio valstybėse esantiems Lietuvos Respublikos piliečiams, kurie susirgo arba susižalojo, taip pat jeigu nukentėjo dėl nelaimingo atsitikimo, įvykdytos nusikalstamos veikos ar kito teisės pažeidimo. Valstybės materialinė pagalba teikiama, kai nėra galimybių nukentėjusiam Lietuvos Respublikos piliečiui gauti pagalbą iš kitų šaltinių, ir yra grąžintina.</w:t>
                              </w:r>
                            </w:p>
                          </w:sdtContent>
                        </w:sdt>
                        <w:sdt>
                          <w:sdtPr>
                            <w:alias w:val="22 str. 2 d."/>
                            <w:tag w:val="part_89716da3338e4fdaaca33b58eaa3b210"/>
                            <w:lock w:val="sdtLocked"/>
                            <w:richText/>
                          </w:sdtPr>
                          <w:sdtContent>
                            <w:p>
                              <w:pPr>
                                <w:ind w:firstLine="720"/>
                                <w:jc w:val="both"/>
                                <w:rPr>
                                  <w:sz w:val="22"/>
                                  <w:szCs w:val="22"/>
                                </w:rPr>
                              </w:pPr>
                              <w:sdt>
                                <w:sdtPr>
                                  <w:alias w:val="Numeris"/>
                                  <w:tag w:val="nr_89716da3338e4fdaaca33b58eaa3b210"/>
                                  <w:lock w:val="sdtLocked"/>
                                  <w:richText/>
                                </w:sdtPr>
                                <w:sdtContent>
                                  <w:r>
                                    <w:rPr>
                                      <w:sz w:val="22"/>
                                      <w:szCs w:val="22"/>
                                    </w:rPr>
                                    <w:t>2</w:t>
                                  </w:r>
                                </w:sdtContent>
                              </w:sdt>
                              <w:r>
                                <w:rPr>
                                  <w:sz w:val="22"/>
                                  <w:szCs w:val="22"/>
                                </w:rPr>
                                <w:t xml:space="preserve">. Jeigu, pasibaigus valstybės materialinės pagalbos grąžinimo terminui, Lietuvos Respublikos piliečiui suteikta valstybės materialinė pagalba nėra grąžinta, Lietuvos Respublikos užsienio reikalų ministras priima sprendimą dėl Lietuvos Respublikos piliečiui, nukentėjusiam užsienio valstybėje, suteiktos valstybės materialinės pagalbos išieškojimo. Lietuvos Respublikos užsienio reikalų ministro sprendimas yra vykdomasis dokumentas, vykdomas Lietuvos Respublikos civilinio proceso kodekso nustatyta tvarka. </w:t>
                              </w:r>
                            </w:p>
                          </w:sdtContent>
                        </w:sdt>
                        <w:sdt>
                          <w:sdtPr>
                            <w:alias w:val="22 str. 3 d."/>
                            <w:tag w:val="part_0930309d916c40399bb74388e8742ac9"/>
                            <w:lock w:val="sdtLocked"/>
                            <w:richText/>
                          </w:sdtPr>
                          <w:sdtContent>
                            <w:p>
                              <w:pPr>
                                <w:ind w:firstLine="720"/>
                                <w:jc w:val="both"/>
                              </w:pPr>
                              <w:sdt>
                                <w:sdtPr>
                                  <w:alias w:val="Numeris"/>
                                  <w:tag w:val="nr_0930309d916c40399bb74388e8742ac9"/>
                                  <w:lock w:val="sdtLocked"/>
                                  <w:richText/>
                                </w:sdtPr>
                                <w:sdtContent>
                                  <w:r>
                                    <w:rPr>
                                      <w:sz w:val="22"/>
                                      <w:szCs w:val="22"/>
                                    </w:rPr>
                                    <w:t>3</w:t>
                                  </w:r>
                                </w:sdtContent>
                              </w:sdt>
                              <w:r>
                                <w:rPr>
                                  <w:sz w:val="22"/>
                                  <w:szCs w:val="22"/>
                                </w:rPr>
                                <w:t>. Valstybės materialinės pagalbos Lietuvos Respublikos piliečiams, nukentėjusiems užsienio valstybėse, teikimo, grąžinimo tvarką ir terminus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0c4defa7070243978f97a1bb18af9137"/>
                        <w:lock w:val="sdtLocked"/>
                        <w:richText/>
                      </w:sdtPr>
                      <w:sdtContent>
                        <w:p>
                          <w:pPr>
                            <w:widowControl w:val="0"/>
                            <w:suppressAutoHyphens/>
                            <w:ind w:left="2268" w:hanging="1559"/>
                            <w:jc w:val="both"/>
                            <w:rPr>
                              <w:b/>
                              <w:bCs/>
                              <w:i/>
                              <w:iCs/>
                              <w:color w:val="000000"/>
                            </w:rPr>
                          </w:pPr>
                          <w:sdt>
                            <w:sdtPr>
                              <w:alias w:val="Numeris"/>
                              <w:tag w:val="nr_0c4defa7070243978f97a1bb18af9137"/>
                              <w:lock w:val="sdtLocked"/>
                              <w:richText/>
                            </w:sdtPr>
                            <w:sdtContent>
                              <w:r>
                                <w:rPr>
                                  <w:b/>
                                  <w:bCs/>
                                  <w:color w:val="000000"/>
                                </w:rPr>
                                <w:t>25</w:t>
                              </w:r>
                            </w:sdtContent>
                          </w:sdt>
                          <w:r>
                            <w:rPr>
                              <w:b/>
                              <w:bCs/>
                              <w:color w:val="000000"/>
                            </w:rPr>
                            <w:t xml:space="preserve"> straipsnis. </w:t>
                          </w:r>
                          <w:sdt>
                            <w:sdtPr>
                              <w:alias w:val="Pavadinimas"/>
                              <w:tag w:val="title_0c4defa7070243978f97a1bb18af9137"/>
                              <w:lock w:val="sdtLocked"/>
                              <w:richText/>
                            </w:sdtPr>
                            <w:sdtContent>
                              <w:r>
                                <w:rPr>
                                  <w:b/>
                                  <w:bCs/>
                                  <w:color w:val="000000"/>
                                </w:rPr>
                                <w:t xml:space="preserve">Pasų ir asmens tapatybės kortelių išdavimas, keitimas ir pilietybės klausimai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5f5d098eff9b46abb7ba2252a7ddcfe1"/>
                            <w:lock w:val="sdtLocked"/>
                            <w:richText/>
                          </w:sdtPr>
                          <w:sdtContent>
                            <w:p>
                              <w:pPr>
                                <w:ind w:firstLine="709"/>
                                <w:jc w:val="both"/>
                                <w:rPr>
                                  <w:i/>
                                  <w:iCs/>
                                  <w:color w:val="000000"/>
                                  <w:szCs w:val="24"/>
                                </w:rPr>
                              </w:pPr>
                              <w:sdt>
                                <w:sdtPr>
                                  <w:alias w:val="Numeris"/>
                                  <w:tag w:val="nr_5f5d098eff9b46abb7ba2252a7ddcfe1"/>
                                  <w:lock w:val="sdtLocked"/>
                                  <w:richText/>
                                </w:sdtPr>
                                <w:sdtContent>
                                  <w:r>
                                    <w:rPr>
                                      <w:szCs w:val="24"/>
                                    </w:rPr>
                                    <w:t>2</w:t>
                                  </w:r>
                                </w:sdtContent>
                              </w:sdt>
                              <w:r>
                                <w:rPr>
                                  <w:szCs w:val="24"/>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teritorinei policijos įstaigai, o jeigu prašyme išduoti (pakeisti) pasą</w:t>
                              </w:r>
                              <w:r>
                                <w:rPr>
                                  <w:b/>
                                  <w:szCs w:val="24"/>
                                </w:rPr>
                                <w:t xml:space="preserve"> </w:t>
                              </w:r>
                              <w:r>
                                <w:rPr>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išduoda arba keičia pasą</w:t>
                              </w:r>
                              <w:r>
                                <w:rPr>
                                  <w:b/>
                                  <w:szCs w:val="24"/>
                                </w:rPr>
                                <w:t xml:space="preserve"> </w:t>
                              </w:r>
                              <w:r>
                                <w:rPr>
                                  <w:szCs w:val="24"/>
                                </w:rPr>
                                <w:t xml:space="preserve">ar asmens tapatybės kortelę.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b467f8bfc49a4c009af234774401a563"/>
                            <w:lock w:val="sdtLocked"/>
                            <w:richText/>
                          </w:sdtPr>
                          <w:sdtContent>
                            <w:p>
                              <w:pPr>
                                <w:ind w:firstLine="709"/>
                                <w:jc w:val="both"/>
                                <w:rPr>
                                  <w:szCs w:val="24"/>
                                </w:rPr>
                              </w:pPr>
                              <w:sdt>
                                <w:sdtPr>
                                  <w:alias w:val="Numeris"/>
                                  <w:tag w:val="nr_b467f8bfc49a4c009af234774401a563"/>
                                  <w:lock w:val="sdtLocked"/>
                                  <w:richText/>
                                </w:sdtPr>
                                <w:sdtContent>
                                  <w:r>
                                    <w:rPr>
                                      <w:szCs w:val="24"/>
                                    </w:rPr>
                                    <w:t>5</w:t>
                                  </w:r>
                                </w:sdtContent>
                              </w:sdt>
                              <w:r>
                                <w:rPr>
                                  <w:szCs w:val="24"/>
                                </w:rPr>
                                <w:t>. Konsulinis pareigūnas Lietuvos Respublikos įstatymų nustatytais atvejais</w:t>
                              </w:r>
                              <w:r>
                                <w:rPr>
                                  <w:b/>
                                  <w:bCs/>
                                  <w:szCs w:val="24"/>
                                </w:rPr>
                                <w:t xml:space="preserve"> </w:t>
                              </w:r>
                              <w:r>
                                <w:rPr>
                                  <w:szCs w:val="24"/>
                                </w:rPr>
                                <w:t>paima iš Lietuvos Respublikos piliečių negaliojančius asmens tapatybę ir pilietybę patvirtinančius dokumentus ir Lietuvos Respublikos teisės aktų nustatyta tvarka</w:t>
                              </w:r>
                              <w:r>
                                <w:rPr>
                                  <w:b/>
                                  <w:bCs/>
                                  <w:szCs w:val="24"/>
                                </w:rPr>
                                <w:t xml:space="preserve"> </w:t>
                              </w:r>
                              <w:r>
                                <w:rPr>
                                  <w:szCs w:val="24"/>
                                </w:rPr>
                                <w:t xml:space="preserve">perduoda juos teritorinei policijos įstaigai.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3697c4d6e1c14388b59ecea025ea46e3"/>
                            <w:lock w:val="sdtLocked"/>
                            <w:richText/>
                          </w:sdtPr>
                          <w:sdtContent>
                            <w:p>
                              <w:pPr>
                                <w:widowControl w:val="0"/>
                                <w:ind w:firstLine="708"/>
                                <w:jc w:val="both"/>
                                <w:rPr>
                                  <w:color w:val="000000"/>
                                  <w:szCs w:val="24"/>
                                </w:rPr>
                              </w:pPr>
                              <w:r>
                                <w:rPr>
                                  <w:color w:val="000000"/>
                                  <w:szCs w:val="24"/>
                                </w:rPr>
                                <w:t>Konsulinis pareigūnas priima asmens prašymą išduoti leidimą gyventi Lietuvos Respublikoje ir jį perduoda Migracijos departamentui prie Lietuvos Respublikos vidaus reikalų ministerijos.</w:t>
                              </w:r>
                            </w:p>
                            <w:p>
                              <w:pPr>
                                <w:rPr>
                                  <w:szCs w:val="24"/>
                                </w:rPr>
                              </w:pPr>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cdc683307dde4f0ebc7921fcd6bdaef3"/>
                        <w:lock w:val="sdtLocked"/>
                        <w:richText/>
                      </w:sdtPr>
                      <w:sdtContent>
                        <w:p>
                          <w:pPr>
                            <w:widowControl w:val="0"/>
                            <w:ind w:firstLine="708"/>
                            <w:jc w:val="both"/>
                            <w:rPr>
                              <w:color w:val="000000"/>
                            </w:rPr>
                          </w:pPr>
                          <w:sdt>
                            <w:sdtPr>
                              <w:alias w:val="Numeris"/>
                              <w:tag w:val="nr_cdc683307dde4f0ebc7921fcd6bdaef3"/>
                              <w:lock w:val="sdtLocked"/>
                              <w:richText/>
                            </w:sdtPr>
                            <w:sdtContent>
                              <w:r>
                                <w:rPr>
                                  <w:b/>
                                  <w:bCs/>
                                  <w:color w:val="000000"/>
                                </w:rPr>
                                <w:t>31</w:t>
                              </w:r>
                            </w:sdtContent>
                          </w:sdt>
                          <w:r>
                            <w:rPr>
                              <w:b/>
                              <w:bCs/>
                              <w:color w:val="000000"/>
                            </w:rPr>
                            <w:t xml:space="preserve"> straipsnis. </w:t>
                          </w:r>
                          <w:sdt>
                            <w:sdtPr>
                              <w:alias w:val="Pavadinimas"/>
                              <w:tag w:val="title_cdc683307dde4f0ebc7921fcd6bdaef3"/>
                              <w:lock w:val="sdtLocked"/>
                              <w:richText/>
                            </w:sdtPr>
                            <w:sdtContent>
                              <w:r>
                                <w:rPr>
                                  <w:b/>
                                  <w:bCs/>
                                  <w:color w:val="000000"/>
                                </w:rPr>
                                <w:t>Civilinės būklės aktų registravimas</w:t>
                              </w:r>
                            </w:sdtContent>
                          </w:sdt>
                        </w:p>
                        <w:sdt>
                          <w:sdtPr>
                            <w:alias w:val="31 str. 1 d."/>
                            <w:tag w:val="part_e81931f80cca48559e02ce19ca116d00"/>
                            <w:lock w:val="sdtLocked"/>
                            <w:richText/>
                          </w:sdtPr>
                          <w:sdtContent>
                            <w:p>
                              <w:pPr>
                                <w:widowControl w:val="0"/>
                                <w:ind w:firstLine="708"/>
                                <w:jc w:val="both"/>
                                <w:rPr>
                                  <w:color w:val="000000"/>
                                </w:rPr>
                              </w:pPr>
                              <w:sdt>
                                <w:sdtPr>
                                  <w:alias w:val="Numeris"/>
                                  <w:tag w:val="nr_e81931f80cca48559e02ce19ca116d00"/>
                                  <w:lock w:val="sdtLocked"/>
                                  <w:richText/>
                                </w:sdtPr>
                                <w:sdtContent>
                                  <w:r>
                                    <w:rPr>
                                      <w:color w:val="000000"/>
                                    </w:rPr>
                                    <w:t>1</w:t>
                                  </w:r>
                                </w:sdtContent>
                              </w:sdt>
                              <w:r>
                                <w:rPr>
                                  <w:color w:val="000000"/>
                                </w:rPr>
                                <w:t>. Konsulinis pareigūnas turi teisę registruoti Lietuvos Respublikos piliečių gimimą, santuoką ir mirtį. Civilinės būklės aktų registravimo diplomatinėse atstovybėse ar konsulinėse įstaigose tvarką nustato Lietuvos Respublikos teisingumo ir Lietuvos Respublikos užsienio reikalų ministrai, suderinę su Lietuvos Respublikos vidaus reikalų ministru.</w:t>
                              </w:r>
                            </w:p>
                          </w:sdtContent>
                        </w:sdt>
                        <w:sdt>
                          <w:sdtPr>
                            <w:alias w:val="31 str. 2 d."/>
                            <w:tag w:val="part_0c251de2ef0d44a0a77ee8f03b3b2c2b"/>
                            <w:lock w:val="sdtLocked"/>
                            <w:richText/>
                          </w:sdtPr>
                          <w:sdtContent>
                            <w:p>
                              <w:pPr>
                                <w:widowControl w:val="0"/>
                                <w:ind w:firstLine="708"/>
                                <w:jc w:val="both"/>
                                <w:rPr>
                                  <w:color w:val="000000"/>
                                  <w:szCs w:val="24"/>
                                </w:rPr>
                              </w:pPr>
                              <w:sdt>
                                <w:sdtPr>
                                  <w:alias w:val="Numeris"/>
                                  <w:tag w:val="nr_0c251de2ef0d44a0a77ee8f03b3b2c2b"/>
                                  <w:lock w:val="sdtLocked"/>
                                  <w:richText/>
                                </w:sdtPr>
                                <w:sdtContent>
                                  <w:r>
                                    <w:rPr>
                                      <w:color w:val="000000"/>
                                      <w:szCs w:val="24"/>
                                    </w:rPr>
                                    <w:t>2</w:t>
                                  </w:r>
                                </w:sdtContent>
                              </w:sdt>
                              <w:r>
                                <w:rPr>
                                  <w:color w:val="000000"/>
                                  <w:szCs w:val="24"/>
                                </w:rPr>
                                <w:t>. Konsulinis pareigūnas priima nuolat užsienio valstybėje gyvenančių Lietuvos Respublikos piliečių prašymus pakeisti vardą, pavardę, tautybę, ištaisyti ir papildyti civilinės būklės aktų įrašus, atkurti prarastus civilinės būklės aktų įrašus ir perduoda juos Lietuvos Respublikos civilinės metrikacijos įstaigoms.</w:t>
                              </w:r>
                            </w:p>
                            <w:p>
                              <w:pPr>
                                <w:rPr>
                                  <w:szCs w:val="24"/>
                                </w:rPr>
                              </w:pPr>
                            </w:p>
                          </w:sdtContent>
                        </w:sdt>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f4d05df2b1604f2aaad0efe37e82b126"/>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f4d05df2b1604f2aaad0efe37e82b126"/>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BA86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cbbe51c5ca2643749d5e60b5cc454c60"/>
            <Part Type="strDalis" Nr="3" Abbr="21 str. 3 d." DocPartId="4460f1f71d3849b3818398b926e8f0b6" PartId="08c179bb6a0b4c16a5d99c5fca312395"/>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b3d30db1da3c4f50a249e019d33a8be4">
            <Part Type="strDalis" Nr="1" Abbr="22 str. 1 d." DocPartId="bec31393c0d547c0888600ff8da4c5c4" PartId="a24b6f2245994cc1a6d015df03d95f6e"/>
            <Part Type="strDalis" Nr="2" Abbr="22 str. 2 d." DocPartId="0a98de4bbd0c4cb1a365a717692cee18" PartId="89716da3338e4fdaaca33b58eaa3b210"/>
            <Part Type="strDalis" Nr="3" Abbr="22 str. 3 d." DocPartId="f200c3ef413140d89290fc9fe86b72e9" PartId="0930309d916c40399bb74388e8742ac9"/>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0c4defa7070243978f97a1bb18af9137">
            <Part Type="strDalis" Nr="1" Abbr="25 str. 1 d." DocPartId="3077de2200784bc581b9fd63c99dc710" PartId="f19af085e4cf4675b6f66fc96326cb24"/>
            <Part Type="strDalis" Nr="2" Abbr="25 str. 2 d." DocPartId="bb6972435f404629b8a3777abce360ed" PartId="5f5d098eff9b46abb7ba2252a7ddcfe1"/>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b467f8bfc49a4c009af234774401a563"/>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3697c4d6e1c14388b59ecea025ea46e3"/>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cdc683307dde4f0ebc7921fcd6bdaef3">
            <Part Type="strDalis" Nr="1" Abbr="31 str. 1 d." DocPartId="3fa396290d80437e810869e05c3177ed" PartId="e81931f80cca48559e02ce19ca116d00"/>
            <Part Type="strDalis" Nr="2" Abbr="31 str. 2 d." DocPartId="3576aade45794b70b062a7cb4472c530" PartId="0c251de2ef0d44a0a77ee8f03b3b2c2b"/>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f4d05df2b1604f2aaad0efe37e82b126">
    <Part Type="punktas" Nr="1" Abbr="pr. 1 p." DocPartId="a7f6721880f04c4b8db600f94ae82bd3" PartId="bc60cc94907a40b2bbeba380b9556e47"/>
  </Part>
</Parts>
</file>

<file path=customXml/itemProps1.xml><?xml version="1.0" encoding="utf-8"?>
<ds:datastoreItem xmlns:ds="http://schemas.openxmlformats.org/officeDocument/2006/customXml" ds:itemID="{0322E576-7FCF-497C-B333-A639EFEAE26F}">
  <ds:schemaRefs>
    <ds:schemaRef ds:uri="http://lrs.lt/TAIS/DocParts"/>
  </ds:schemaRefs>
</ds:datastoreItem>
</file>

<file path=docProps/app.xml><?xml version="1.0" encoding="utf-8"?>
<Properties xmlns="http://schemas.openxmlformats.org/officeDocument/2006/extended-properties">
  <Template>Normal.dotm</Template>
  <TotalTime>15</TotalTime>
  <Pages>12</Pages>
  <Words>22687</Words>
  <Characters>12932</Characters>
  <Application>Microsoft Office Word</Application>
  <DocSecurity>0</DocSecurity>
  <Lines>107</Lines>
  <Paragraphs>71</Paragraphs>
  <ScaleCrop>false</ScaleCrop>
  <Company/>
  <LinksUpToDate>false</LinksUpToDate>
  <CharactersWithSpaces>35548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2018-05-02T10:59:00Z</dcterms:modified>
  <revision>29</revision>
</coreProperties>
</file>