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d1c4568a6444a53ad8acde253b53891"/>
        <w:lock w:val="sdtLocked"/>
        <w:richText/>
      </w:sdtPr>
      <w:sdtContent>
        <w:p>
          <w:pPr>
            <w:jc w:val="both"/>
            <w:rPr>
              <w:rFonts w:ascii="Times New Roman" w:hAnsi="Times New Roman"/>
            </w:rPr>
          </w:pPr>
          <w:r>
            <w:rPr>
              <w:rFonts w:ascii="Times New Roman" w:hAnsi="Times New Roman"/>
              <w:b/>
              <w:i/>
            </w:rPr>
            <w:t>Suvestinė redakcija nuo 2012-07-15 iki 2012-10-31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123195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5d1c4568a6444a53ad8acde253b53891"/>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4f5d25b03354415b34b773bee401324"/>
                <w:lock w:val="sdtLocked"/>
                <w:richText/>
              </w:sdtPr>
              <w:sdtContent>
                <w:p>
                  <w:pPr>
                    <w:ind w:firstLine="709"/>
                    <w:jc w:val="both"/>
                    <w:rPr>
                      <w:color w:val="000000"/>
                    </w:rPr>
                  </w:pPr>
                  <w:sdt>
                    <w:sdtPr>
                      <w:alias w:val="Numeris"/>
                      <w:tag w:val="nr_e4f5d25b03354415b34b773bee401324"/>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b/>
                      <w:color w:val="000000"/>
                    </w:rPr>
                    <w:t>Specializuotas kasos aparatas</w:t>
                  </w:r>
                  <w:r>
                    <w:rPr>
                      <w:color w:val="000000"/>
                    </w:rPr>
                    <w:t xml:space="preserve">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color w:val="000000"/>
                    </w:rPr>
                    <w:t>Aptarnavimo įmonė</w:t>
                  </w:r>
                  <w:r>
                    <w:rPr>
                      <w:color w:val="000000"/>
                    </w:rPr>
                    <w:t xml:space="preserve">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eastAsia="MS Mincho" w:hAnsi="Times New Roman"/>
                          <w:sz w:val="20"/>
                          <w:i/>
                          <w:iCs/>
                        </w:rPr>
                        <w:t xml:space="preserve"> Neteko galios nuo 2011-01-16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fcf4c61eef2f4097b161cbc6c44d647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fcf4c61eef2f4097b161cbc6c44d647c"/>
                          <w:lock w:val="sdtLocked"/>
                          <w:richText/>
                        </w:sdtPr>
                        <w:sdtContent>
                          <w:r>
                            <w:t>10.10</w:t>
                          </w:r>
                        </w:sdtContent>
                      </w:sdt>
                      <w:r>
                        <w:t xml:space="preserve">. prekiaujantiesiems </w:t>
                      </w:r>
                      <w:r>
                        <w:rPr>
                          <w:bCs/>
                        </w:rPr>
                        <w:t>savo (nuosavybės teise priklausančiame ar kitais teisėtais pagrindais naudojamame)</w:t>
                      </w:r>
                      <w:r>
                        <w:t xml:space="preserve"> namų valdos žemės sklype, mėgėjų sodo sklype arba kitoje </w:t>
                      </w:r>
                      <w:r>
                        <w:rPr>
                          <w:color w:val="000000"/>
                        </w:rPr>
                        <w:t>žemės ūkio valdoje (ūkyje), kurių ekonominis dydis neviršija 1</w:t>
                      </w:r>
                      <w:r>
                        <w:t xml:space="preserve"> ekonominio dydžio vieneto, kaip ši sąvoka apibrėžta Lietuvos Respublikos sveikatos draudimo įstatyme (Žin., 1996, Nr. 55-1287; 2002, Nr. 123-5512), išaugintais žemės ūkio produktais ir iš jų pagamintais maisto produktais, jeigu prekiautojas prekybos vietoje turi dokumentus, patvirtinančius žemės valdymą arba naudojimą, ir asmens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06d0f32f65134756942c0481e57d1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eastAsia="MS Mincho" w:hAnsi="Times New Roman"/>
                          <w:sz w:val="20"/>
                          <w:i/>
                          <w:iCs/>
                        </w:rPr>
                        <w:t xml:space="preserve"> Neteko galios nuo 2012-05-27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8368a008bcb1477e939b33db7b659eeb"/>
                    <w:lock w:val="sdtLocked"/>
                    <w:richText/>
                  </w:sdtPr>
                  <w:sdtContent>
                    <w:p>
                      <w:pPr>
                        <w:ind w:firstLine="709"/>
                        <w:jc w:val="both"/>
                      </w:pPr>
                      <w:sdt>
                        <w:sdtPr>
                          <w:alias w:val="Numeris"/>
                          <w:tag w:val="nr_8368a008bcb1477e939b33db7b659eeb"/>
                          <w:lock w:val="sdtLocked"/>
                          <w:richText/>
                        </w:sdtPr>
                        <w:sdtContent>
                          <w:r>
                            <w:t>12.1</w:t>
                          </w:r>
                        </w:sdtContent>
                      </w:sdt>
                      <w:r>
                        <w:t xml:space="preserve">. gyventojų, kurie verčiasi individualia veikla, kaip ši sąvoka apibrėžta Lietuvos Respublikos gyventojų pajamų mokesčio įstatyme (Žin., 2002, Nr. 73-3085), ir teikia paslaugas arba parduoda savo gamybos ne maisto prekes;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1 p."/>
                <w:tag w:val="part_79e46dda950e458ab129385dfdefb8c2"/>
                <w:lock w:val="sdtLocked"/>
                <w:richText/>
              </w:sdtPr>
              <w:sdtContent>
                <w:p>
                  <w:pPr>
                    <w:ind w:firstLine="709"/>
                    <w:jc w:val="both"/>
                    <w:rPr>
                      <w:color w:val="000000"/>
                    </w:rPr>
                  </w:pPr>
                  <w:sdt>
                    <w:sdtPr>
                      <w:alias w:val="Numeris"/>
                      <w:tag w:val="nr_79e46dda950e458ab129385dfdefb8c2"/>
                      <w:lock w:val="sdtLocked"/>
                      <w:richText/>
                    </w:sdtPr>
                    <w:sdtContent>
                      <w:r>
                        <w:t>12</w:t>
                      </w:r>
                      <w:r>
                        <w:rPr>
                          <w:vertAlign w:val="superscript"/>
                        </w:rPr>
                        <w:t>1</w:t>
                      </w:r>
                    </w:sdtContent>
                  </w:sdt>
                  <w:r>
                    <w:t xml:space="preserve">. </w:t>
                  </w:r>
                  <w:r>
                    <w:rPr>
                      <w:bCs/>
                      <w:color w:val="000000"/>
                    </w:rPr>
                    <w:t>Be šio Aprašo 10–12 punktuose nurodytų atvejų, kasos aparatų naudoti nereikalaujama ir Valstybinės mokesčių inspekcijos nustatytais atvejais, kai kasos aparato naudoti neįmanoma dėl objektyvių priežasčių arba kasos aparato naudojimas sukeltų akivaizdžiai neproporcingą administracinę naštą. Tokiais atvejais Valstybinė mokesčių inspekcija, atsižvelgdama į ūkinių operacijų mastą ir pobūdį, nustato ir reikalavimus dėl šio Aprašo 10–12 punktuose nurodytų apskaitos dokumentų išrašymo.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14308fa0e3cc49eeb65c6d4ff0d33093"/>
                <w:lock w:val="sdtLocked"/>
                <w:richText/>
              </w:sdtPr>
              <w:sdtContent>
                <w:p>
                  <w:pPr>
                    <w:ind w:firstLine="709"/>
                    <w:jc w:val="both"/>
                    <w:rPr>
                      <w:color w:val="000000"/>
                    </w:rPr>
                  </w:pPr>
                  <w:sdt>
                    <w:sdtPr>
                      <w:alias w:val="Numeris"/>
                      <w:tag w:val="nr_14308fa0e3cc49eeb65c6d4ff0d33093"/>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t>Kiekvienas iš Lietuvos Respublikoje leidžiamų naudoti kasos aparatų ir prekybos (paslaugų teikimo) automatų modelių sąrašo išbraukto modelio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iš Lietuvos Respublikoje leidžiamų naudoti kasos aparatų ir prekybos (paslaugų teikimo) automatų modelių sąrašo išbraukto modelio kasos aparatą, kuris nebuvo profilaktiškai aptarnautas ar remontuotas ilgiau kaip 12 mėnesių, išskyrus šio Aprašo 27 punkte nustatytą kasos aparato aptarnavimo ar remonto laikotarpį, tačiau tik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26D4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5d1c4568a6444a53ad8acde253b53891">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4f5d25b03354415b34b773bee401324"/>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fcf4c61eef2f4097b161cbc6c44d647c"/>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Type="punktas" Nr="11.7" Abbr="11.7 p." Title="" DocPartId="01379e571b8840f8936f8086b82fee27" PartId="06d0f32f65134756942c0481e57d1613"/>
      </Part>
      <Part Type="punktas" Nr="12" Abbr="12 p." DocPartId="a3f7623c0ac0483b9ace1b9ca7371f83" PartId="02ef3ba26a574d7d8f23b768ca3676a5">
        <Part Type="punktas" Nr="12.1" Abbr="12.1 p." DocPartId="cd0b1a5f6eaa404badf8181ac7928152" PartId="8368a008bcb1477e939b33db7b659eeb"/>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Type="punktas" Nr="12-1" Abbr="12-1 p." Title="" DocPartId="17ca8b3ad2c84b0e96f2ac2160a1e7cf" PartId="79e46dda950e458ab129385dfdefb8c2"/>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14308fa0e3cc49eeb65c6d4ff0d33093"/>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069D6D73-45A2-4313-8926-949E1D11FE91}">
  <ds:schemaRefs>
    <ds:schemaRef ds:uri="http://lrs.lt/TAIS/DocParts"/>
  </ds:schemaRefs>
</ds:datastoreItem>
</file>

<file path=docProps/app.xml><?xml version="1.0" encoding="utf-8"?>
<Properties xmlns="http://schemas.openxmlformats.org/officeDocument/2006/extended-properties">
  <Template>Normal.dotm</Template>
  <TotalTime>82</TotalTime>
  <Pages>12</Pages>
  <Words>28824</Words>
  <Characters>16431</Characters>
  <Application>Microsoft Office Word</Application>
  <DocSecurity>0</DocSecurity>
  <Lines>136</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45165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2014-11-14T06:38:00Z</dcterms:modified>
  <revision>16</revision>
</coreProperties>
</file>