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237a48e18d48ec8b8bc43c9436bae1"/>
        <w:lock w:val="sdtLocked"/>
        <w:richText/>
      </w:sdtPr>
      <w:sdtContent>
        <w:p>
          <w:pPr>
            <w:jc w:val="both"/>
            <w:rPr>
              <w:rFonts w:ascii="Times New Roman" w:hAnsi="Times New Roman"/>
            </w:rPr>
          </w:pPr>
          <w:r>
            <w:rPr>
              <w:rFonts w:ascii="Times New Roman" w:hAnsi="Times New Roman"/>
              <w:b/>
              <w:i/>
            </w:rPr>
            <w:t>Suvestinė redakcija nuo 2017-05-01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1f237a48e18d48ec8b8bc43c9436bae1"/>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2005-09-01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1edaeae7681d44a28e1dd7da706da744"/>
            <w:lock w:val="sdtLocked"/>
            <w:richText/>
          </w:sdtPr>
          <w:sdtContent>
            <w:p>
              <w:pPr>
                <w:ind w:firstLine="709"/>
                <w:jc w:val="both"/>
              </w:pPr>
              <w:sdt>
                <w:sdtPr>
                  <w:alias w:val="Numeris"/>
                  <w:tag w:val="nr_1edaeae7681d44a28e1dd7da706da744"/>
                  <w:lock w:val="sdtLocked"/>
                  <w:richText/>
                </w:sdtPr>
                <w:sdtContent>
                  <w:r>
                    <w:t>3</w:t>
                  </w:r>
                </w:sdtContent>
              </w:sdt>
              <w:r>
                <w:t>. Nustatyti, kad:</w:t>
              </w:r>
            </w:p>
            <w:sdt>
              <w:sdtPr>
                <w:alias w:val="3.1 p."/>
                <w:tag w:val="part_6fdda0024c914024a0bf4049419c43ef"/>
                <w:lock w:val="sdtLocked"/>
                <w:richText/>
              </w:sdtPr>
              <w:sdtContent>
                <w:p>
                  <w:pPr>
                    <w:ind w:firstLine="709"/>
                    <w:jc w:val="both"/>
                  </w:pPr>
                  <w:sdt>
                    <w:sdtPr>
                      <w:alias w:val="Numeris"/>
                      <w:tag w:val="nr_6fdda0024c914024a0bf4049419c43ef"/>
                      <w:lock w:val="sdtLocked"/>
                      <w:richText/>
                    </w:sdtPr>
                    <w:sdtContent>
                      <w:r>
                        <w:t>3.1</w:t>
                      </w:r>
                    </w:sdtContent>
                  </w:sdt>
                  <w:r>
                    <w:t>. Valstybinė mokesčių inspekcija gali nustatyti papildomus privalomus kasos aparatų kvituose ir ataskaitose spausdinamus rekvizitus ir (ar) papildomas tokiems kasos aparatams privalomas atlikti funkcijas, taip pat kitus specialius kasos aparatų naudojimo reikalavimus;</w:t>
                  </w:r>
                </w:p>
              </w:sdtContent>
            </w:sdt>
            <w:sdt>
              <w:sdtPr>
                <w:alias w:val="3.2 p."/>
                <w:tag w:val="part_0e62770a9cc048648e4fae76f840174e"/>
                <w:lock w:val="sdtLocked"/>
                <w:richText/>
              </w:sdtPr>
              <w:sdtContent>
                <w:p>
                  <w:pPr>
                    <w:ind w:firstLine="709"/>
                    <w:jc w:val="both"/>
                  </w:pPr>
                  <w:sdt>
                    <w:sdtPr>
                      <w:alias w:val="Numeris"/>
                      <w:tag w:val="nr_0e62770a9cc048648e4fae76f840174e"/>
                      <w:lock w:val="sdtLocked"/>
                      <w:richText/>
                    </w:sdtPr>
                    <w:sdtContent>
                      <w:r>
                        <w:t>3.2</w:t>
                      </w:r>
                    </w:sdtContent>
                  </w:sdt>
                  <w:r>
                    <w:t>. ministerijos ir kitos valstybės institucijos jų reguliavimo sričiai priskirtų rūšių veiklai vykdyti gali suderinusios su:</w:t>
                  </w:r>
                </w:p>
                <w:sdt>
                  <w:sdtPr>
                    <w:alias w:val="3.2.1 p."/>
                    <w:tag w:val="part_4ca5be7334f24b979e1b859694db337c"/>
                    <w:lock w:val="sdtLocked"/>
                    <w:richText/>
                  </w:sdtPr>
                  <w:sdtContent>
                    <w:p>
                      <w:pPr>
                        <w:tabs>
                          <w:tab w:val="left" w:pos="499"/>
                        </w:tabs>
                        <w:ind w:firstLine="720"/>
                        <w:jc w:val="both"/>
                      </w:pPr>
                      <w:sdt>
                        <w:sdtPr>
                          <w:alias w:val="Numeris"/>
                          <w:tag w:val="nr_4ca5be7334f24b979e1b859694db337c"/>
                          <w:lock w:val="sdtLocked"/>
                          <w:richText/>
                        </w:sdtPr>
                        <w:sdtContent>
                          <w:r>
                            <w:rPr>
                              <w:szCs w:val="24"/>
                              <w:lang w:eastAsia="lt-LT"/>
                            </w:rPr>
                            <w:t>3.2.1</w:t>
                          </w:r>
                        </w:sdtContent>
                      </w:sdt>
                      <w:r>
                        <w:rPr>
                          <w:szCs w:val="24"/>
                          <w:lang w:eastAsia="lt-LT"/>
                        </w:rPr>
                        <w:t>. Valstybine mokesčių inspekcija – nustatyti 3.1 papunktyje nurodytą reglamentavimą;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2.2 p."/>
                    <w:tag w:val="part_38baf6ca2e244100b50cdc686db38fd5"/>
                    <w:lock w:val="sdtLocked"/>
                    <w:richText/>
                  </w:sdtPr>
                  <w:sdtContent>
                    <w:p>
                      <w:pPr>
                        <w:tabs>
                          <w:tab w:val="left" w:pos="499"/>
                        </w:tabs>
                        <w:ind w:firstLine="720"/>
                        <w:jc w:val="both"/>
                      </w:pPr>
                      <w:sdt>
                        <w:sdtPr>
                          <w:alias w:val="Numeris"/>
                          <w:tag w:val="nr_38baf6ca2e244100b50cdc686db38fd5"/>
                          <w:lock w:val="sdtLocked"/>
                          <w:richText/>
                        </w:sdtPr>
                        <w:sdtContent>
                          <w:r>
                            <w:rPr>
                              <w:szCs w:val="24"/>
                              <w:lang w:eastAsia="lt-LT"/>
                            </w:rPr>
                            <w:t>3.2.2</w:t>
                          </w:r>
                        </w:sdtContent>
                      </w:sdt>
                      <w:r>
                        <w:rPr>
                          <w:szCs w:val="24"/>
                          <w:lang w:eastAsia="lt-LT"/>
                        </w:rPr>
                        <w:t>. Finansų ministerija – nustatyti pavyzdinės formos apskaitos dokumentą, naudojamą vietoj pinigų priėmimo (pinigų išmokėjimo) kvito. Toks apskaitos dokumentas privalo turėti visus 2.1.1 papunktyje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3.3 p."/>
                <w:tag w:val="part_fc8006f1f9b542a387a2228ef06df2b6"/>
                <w:lock w:val="sdtLocked"/>
                <w:richText/>
              </w:sdtPr>
              <w:sdtContent>
                <w:p>
                  <w:pPr>
                    <w:ind w:firstLine="720"/>
                    <w:jc w:val="both"/>
                    <w:rPr>
                      <w:szCs w:val="24"/>
                      <w:lang w:eastAsia="lt-LT"/>
                    </w:rPr>
                  </w:pPr>
                  <w:sdt>
                    <w:sdtPr>
                      <w:alias w:val="Numeris"/>
                      <w:tag w:val="nr_fc8006f1f9b542a387a2228ef06df2b6"/>
                      <w:lock w:val="sdtLocked"/>
                      <w:richText/>
                    </w:sdtPr>
                    <w:sdtContent>
                      <w:r>
                        <w:rPr>
                          <w:szCs w:val="24"/>
                          <w:lang w:eastAsia="lt-LT"/>
                        </w:rPr>
                        <w:t>3.3</w:t>
                      </w:r>
                    </w:sdtContent>
                  </w:sdt>
                  <w:r>
                    <w:rPr>
                      <w:szCs w:val="24"/>
                      <w:lang w:eastAsia="lt-LT"/>
                    </w:rPr>
                    <w:t>. Nuo 2015 m. sausio 1 d. iki 2015 m. sausio 15 d. kasos aparatų kvituose mokėtinos sumos nurodomos eurais ir (arba) litais. Nurodytu laikotarpiu kasos aparatų kvituose mokėtinos sumos, prie kurių nenurodytas valiutos pavadinimas, santrumpa arba ženklas, laikomos sumomis, išreikštomis eurais.</w:t>
                  </w:r>
                </w:p>
                <w:p>
                  <w:pPr>
                    <w:ind w:firstLine="720"/>
                    <w:jc w:val="both"/>
                    <w:rPr>
                      <w:szCs w:val="24"/>
                      <w:lang w:eastAsia="lt-LT"/>
                    </w:rPr>
                  </w:pPr>
                  <w:r>
                    <w:rPr>
                      <w:szCs w:val="24"/>
                      <w:lang w:eastAsia="lt-LT"/>
                    </w:rPr>
                    <w:t xml:space="preserve">Nuo 2015 m. sausio 16 d. kasos aparatų kvituose nurodomos mokėtinos sumos laikomos išreikštomis eurais. Jeigu kasos aparatų kvituose prie mokėtinos sumos, išreikštos eurais,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 </w:t>
                  </w:r>
                </w:p>
                <w:p>
                  <w:pPr>
                    <w:ind w:firstLine="720"/>
                    <w:jc w:val="both"/>
                  </w:pPr>
                  <w:r>
                    <w:rPr>
                      <w:szCs w:val="24"/>
                      <w:lang w:eastAsia="lt-LT"/>
                    </w:rPr>
                    <w:t>Nuo 2015 m. liepos 1 d. kasos aparatų, kuriuos įmanoma perprogramuoti taip, kad kasos aparatų kvituose nebūtų nurodomas valiutos pavadinimas „litas“ arba jo santrumpa, kvituose valiutos pavadinimas „litas“ arba jo santrumpa negali būti nurodomi.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5ab4b05b6511e487eff7b424bd0f08">
                    <w:r w:rsidRPr="00532B9F">
                      <w:rPr>
                        <w:rFonts w:ascii="Times New Roman" w:eastAsia="MS Mincho" w:hAnsi="Times New Roman"/>
                        <w:sz w:val="20"/>
                        <w:i/>
                        <w:iCs/>
                        <w:color w:val="0000FF" w:themeColor="hyperlink"/>
                        <w:u w:val="single"/>
                      </w:rPr>
                      <w:t>1152</w:t>
                    </w:r>
                  </w:fldSimple>
                  <w:r>
                    <w:rPr>
                      <w:rFonts w:ascii="Times New Roman" w:eastAsia="MS Mincho" w:hAnsi="Times New Roman"/>
                      <w:sz w:val="20"/>
                      <w:i/>
                      <w:iCs/>
                    </w:rPr>
                    <w:t>,
2014-10-22,
paskelbta TAR 2014-10-24, i. k. 2014-14808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2ae7c3fcf56e4302aa72c99939164291"/>
                <w:lock w:val="sdtLocked"/>
                <w:richText/>
              </w:sdtPr>
              <w:sdtContent>
                <w:p>
                  <w:pPr>
                    <w:ind w:firstLine="709"/>
                    <w:jc w:val="both"/>
                    <w:rPr>
                      <w:color w:val="000000"/>
                    </w:rPr>
                  </w:pPr>
                  <w:sdt>
                    <w:sdtPr>
                      <w:alias w:val="Numeris"/>
                      <w:tag w:val="nr_2ae7c3fcf56e4302aa72c99939164291"/>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rPr>
                    <w:t>Aptarnavimo įmonė</w:t>
                  </w:r>
                  <w:r>
                    <w:t xml:space="preserve"> – juridinis asmuo, turintis Valstybinės mokesčių inspekcijos prie Finansų ministerijos (toliau – Valstybinė mokesčių inspekcija) nustatyta tvarka išduotą sertifikatą, leidžiantį atlikti jame įrašytų modelių kasos aparatų ir su jais susijusių įrenginių techninės priežiūros ir remonto darbus</w:t>
                  </w:r>
                  <w:r>
                    <w:rPr>
                      <w:color w:val="000000"/>
                    </w:rPr>
                    <w:t xml:space="preserve">.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b14ce92dc2f544be9535a3cada6685ea"/>
                <w:lock w:val="sdtLocked"/>
                <w:richText/>
              </w:sdtPr>
              <w:sdtContent>
                <w:p>
                  <w:pPr>
                    <w:tabs>
                      <w:tab w:val="left" w:pos="499"/>
                    </w:tabs>
                    <w:ind w:firstLine="720"/>
                    <w:jc w:val="both"/>
                    <w:rPr>
                      <w:color w:val="000000"/>
                    </w:rPr>
                  </w:pPr>
                  <w:sdt>
                    <w:sdtPr>
                      <w:alias w:val="Numeris"/>
                      <w:tag w:val="nr_b14ce92dc2f544be9535a3cada6685ea"/>
                      <w:lock w:val="sdtLocked"/>
                      <w:richText/>
                    </w:sdtPr>
                    <w:sdtContent>
                      <w:r>
                        <w:rPr>
                          <w:szCs w:val="24"/>
                          <w:lang w:eastAsia="lt-LT"/>
                        </w:rPr>
                        <w:t>5</w:t>
                      </w:r>
                    </w:sdtContent>
                  </w:sdt>
                  <w:r>
                    <w:rPr>
                      <w:szCs w:val="24"/>
                      <w:lang w:eastAsia="lt-LT"/>
                    </w:rPr>
                    <w:t>. Kiekvienam su ūkio subjektu atsiskaičiusiam asmeniui, kai šiame Apraše nustatyta atsiskaitymo vietoje įrengti kasos aparatą, privaloma išduoti kasos aparato kvitą, išskyrus šio Aprašo 10.2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a86ed85ca2644f9bab6f69762dda83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f42ffd6533064bdbac72ed0912b3ab3a"/>
                <w:lock w:val="sdtLocked"/>
                <w:richText/>
              </w:sdtPr>
              <w:sdtContent>
                <w:p>
                  <w:pPr>
                    <w:ind w:firstLine="709"/>
                    <w:jc w:val="both"/>
                    <w:rPr>
                      <w:color w:val="000000"/>
                    </w:rPr>
                  </w:pPr>
                  <w:sdt>
                    <w:sdtPr>
                      <w:alias w:val="Numeris"/>
                      <w:tag w:val="nr_f42ffd6533064bdbac72ed0912b3ab3a"/>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szCs w:val="24"/>
                      <w:lang w:eastAsia="lt-LT"/>
                    </w:rPr>
                    <w:t>Lošimų namų (kazino), automatų ir bingo salonų, totalizatoriaus ir lažybų punktų, nuotolinių lošimų laimėjimų išmokėjimo asmenims tvarką nustato Lietuvos Respublikos azartinių lošimų įstatymas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6b4859f1060d45a68ba7eaf31d43565a"/>
                    <w:lock w:val="sdtLocked"/>
                    <w:richText/>
                  </w:sdtPr>
                  <w:sdtContent>
                    <w:p>
                      <w:pPr>
                        <w:tabs>
                          <w:tab w:val="left" w:pos="499"/>
                        </w:tabs>
                        <w:ind w:firstLine="720"/>
                        <w:jc w:val="both"/>
                        <w:rPr>
                          <w:color w:val="000000"/>
                        </w:rPr>
                      </w:pPr>
                      <w:sdt>
                        <w:sdtPr>
                          <w:alias w:val="Numeris"/>
                          <w:tag w:val="nr_6b4859f1060d45a68ba7eaf31d43565a"/>
                          <w:lock w:val="sdtLocked"/>
                          <w:richText/>
                        </w:sdtPr>
                        <w:sdtContent>
                          <w:r>
                            <w:rPr>
                              <w:szCs w:val="24"/>
                              <w:lang w:eastAsia="lt-LT"/>
                            </w:rPr>
                            <w:t>10.1</w:t>
                          </w:r>
                        </w:sdtContent>
                      </w:sdt>
                      <w:r>
                        <w:rPr>
                          <w:szCs w:val="24"/>
                          <w:lang w:eastAsia="lt-LT"/>
                        </w:rPr>
                        <w:t>. kioskuose (paviljonuose), kuriuose periodinės spaudos pardavimo įplaukos sudaro 60 procentų ir daugiau paskutinių trijų mėnesių bendrųjų įplaukų ir kuriuose neprekiaujama alumi, apdorotu tabaku ir (ar) cukrumi. Kiekviename kioske (paviljone) turi būti atskirai tvarkoma įplaukų už parduotą periodinę spaudą ir bendrųjų įplaukų apskaita. Kasos aparatai šiuose kioskuose (paviljonuose) turi būti įrengti per mėnesį pasibaigus mėnesiui, per kurį minėta pardavimo įplaukų dalis nesudarė 60 procentų. Ūkio subjekto prašymu Valstybinė mokesčių inspekcija iki trijų mėnesių gali pratęsti nurodytą kasos aparatų įrengimo terminą. Įrengti kasos aparatai turi būti naudojami nuolat, neatsižvelgiant į vėliau (po kasos aparato įrengimo dienos) gautą minėto pardavimo įplaukų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2 p."/>
                    <w:tag w:val="part_ff49762f9477460dbc4bc112df70af87"/>
                    <w:lock w:val="sdtLocked"/>
                    <w:richText/>
                  </w:sdtPr>
                  <w:sdtContent>
                    <w:p>
                      <w:pPr>
                        <w:tabs>
                          <w:tab w:val="left" w:pos="499"/>
                        </w:tabs>
                        <w:ind w:firstLine="720"/>
                        <w:jc w:val="both"/>
                        <w:rPr>
                          <w:color w:val="000000"/>
                        </w:rPr>
                      </w:pPr>
                      <w:sdt>
                        <w:sdtPr>
                          <w:alias w:val="Numeris"/>
                          <w:tag w:val="nr_ff49762f9477460dbc4bc112df70af87"/>
                          <w:lock w:val="sdtLocked"/>
                          <w:richText/>
                        </w:sdtPr>
                        <w:sdtContent>
                          <w:r>
                            <w:rPr>
                              <w:szCs w:val="24"/>
                              <w:lang w:eastAsia="lt-LT"/>
                            </w:rPr>
                            <w:t>10.2</w:t>
                          </w:r>
                        </w:sdtContent>
                      </w:sdt>
                      <w:r>
                        <w:rPr>
                          <w:szCs w:val="24"/>
                          <w:lang w:eastAsia="lt-LT"/>
                        </w:rPr>
                        <w:t>. spaudos kioskų (paviljonų),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nurodytomis prekėmis ir yra įrengti kasos aparatai. Įplaukos, gautos už šiame papunktyje nurodytų bilietų pardavimą ir neregistruojamos kasos aparatu, turi būti apskaitomos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3 p."/>
                    <w:tag w:val="part_ced0537f232449b5b2cc5628edd11079"/>
                    <w:lock w:val="sdtLocked"/>
                    <w:richText/>
                  </w:sdtPr>
                  <w:sdtContent>
                    <w:p>
                      <w:pPr>
                        <w:tabs>
                          <w:tab w:val="left" w:pos="499"/>
                        </w:tabs>
                        <w:ind w:firstLine="720"/>
                        <w:jc w:val="both"/>
                        <w:rPr>
                          <w:color w:val="000000"/>
                        </w:rPr>
                      </w:pPr>
                      <w:sdt>
                        <w:sdtPr>
                          <w:alias w:val="Numeris"/>
                          <w:tag w:val="nr_ced0537f232449b5b2cc5628edd11079"/>
                          <w:lock w:val="sdtLocked"/>
                          <w:richText/>
                        </w:sdtPr>
                        <w:sdtContent>
                          <w:r>
                            <w:rPr>
                              <w:szCs w:val="24"/>
                              <w:lang w:eastAsia="lt-LT"/>
                            </w:rPr>
                            <w:t>10.3</w:t>
                          </w:r>
                        </w:sdtContent>
                      </w:sdt>
                      <w:r>
                        <w:rPr>
                          <w:szCs w:val="24"/>
                          <w:lang w:eastAsia="lt-LT"/>
                        </w:rPr>
                        <w:t>.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„Dėl Kasos darbo organizavimo ir kasos operacijų atlikimo taisyklių patvirtinimo“ (toliau – Kasos darbo organizavimo ir kasos operacijų atlikimo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e0d4cd327c7b4090bbcb679e643bdba8"/>
                    <w:lock w:val="sdtLocked"/>
                    <w:richText/>
                  </w:sdtPr>
                  <w:sdtContent>
                    <w:p>
                      <w:pPr>
                        <w:tabs>
                          <w:tab w:val="left" w:pos="499"/>
                        </w:tabs>
                        <w:ind w:firstLine="720"/>
                        <w:jc w:val="both"/>
                        <w:rPr>
                          <w:color w:val="000000"/>
                        </w:rPr>
                      </w:pPr>
                      <w:sdt>
                        <w:sdtPr>
                          <w:alias w:val="Numeris"/>
                          <w:tag w:val="nr_e0d4cd327c7b4090bbcb679e643bdba8"/>
                          <w:lock w:val="sdtLocked"/>
                          <w:richText/>
                        </w:sdtPr>
                        <w:sdtContent>
                          <w:r>
                            <w:rPr>
                              <w:szCs w:val="24"/>
                              <w:lang w:eastAsia="lt-LT"/>
                            </w:rPr>
                            <w:t>10.5</w:t>
                          </w:r>
                        </w:sdtContent>
                      </w:sdt>
                      <w:r>
                        <w:rPr>
                          <w:szCs w:val="24"/>
                          <w:lang w:eastAsia="lt-LT"/>
                        </w:rPr>
                        <w:t>. prekybos ir viešojo maitinimo ūkio subjektams arba jų padaliniams, kurie asmenis aptarnauja tik vykstančių pramogų, sporto, kultūros renginių metu ir šių renginių metu neprekiauja alkoholiniais gėrimais (išskyrus alų) bei apdorotu tabaku. Šiame papunktyje nurodyti ūkio subjektai arba jų padaliniai prekybos vietoje privalo turėti prekių įsigijimo dokumentą arba jo kopiją ir ūkio subjekto vadovo patvirtintą kainoraštį;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6 p."/>
                    <w:tag w:val="part_1287b049808a4fcfba23d6cce2487b64"/>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sz w:val="22"/>
                        </w:rPr>
                        <w:t>.</w:t>
                      </w:r>
                      <w:r>
                        <w:rPr>
                          <w:rFonts w:ascii="Times New Roman" w:eastAsia="MS Mincho" w:hAnsi="Times New Roman"/>
                          <w:sz w:val="20"/>
                          <w:i/>
                          <w:iCs/>
                        </w:rPr>
                        <w:t xml:space="preserve"> Neteko galios nuo 2011-05-01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de01500f8f6845fab13b8140825fec64"/>
                    <w:lock w:val="sdtLocked"/>
                    <w:richText/>
                  </w:sdtPr>
                  <w:sdtContent>
                    <w:p>
                      <w:pPr>
                        <w:tabs>
                          <w:tab w:val="left" w:pos="499"/>
                        </w:tabs>
                        <w:ind w:firstLine="720"/>
                        <w:jc w:val="both"/>
                      </w:pPr>
                      <w:sdt>
                        <w:sdtPr>
                          <w:alias w:val="Numeris"/>
                          <w:tag w:val="nr_de01500f8f6845fab13b8140825fec64"/>
                          <w:lock w:val="sdtLocked"/>
                          <w:richText/>
                        </w:sdtPr>
                        <w:sdtContent>
                          <w:r>
                            <w:rPr>
                              <w:szCs w:val="24"/>
                              <w:lang w:eastAsia="lt-LT"/>
                            </w:rPr>
                            <w:t>10.10</w:t>
                          </w:r>
                        </w:sdtContent>
                      </w:sdt>
                      <w:r>
                        <w:rPr>
                          <w:szCs w:val="24"/>
                          <w:lang w:eastAsia="lt-LT"/>
                        </w:rPr>
                        <w:t>. prekiaujantiesiems savo (nuosavybės teise priklausančiame ar kitais teisėtais pagrindais naudojamame) namų valdos žemės sklype, mėgėjų sodo sklype arba kitoje žemės ūkio valdoje (ūkyje), kurių ekonominis dydis neviršija 1 ekonominio dydžio vieneto, kaip ši sąvoka apibrėžta Lietuvos Respublikos sveikatos draudimo įstatyme, išaugintais žemės ūkio produktais ir iš jų pagamintais maisto produktais, jeigu prekiautojas prekybos vietoje turi dokumentus, patvirtinančius žemės valdymą arba naudojimą, ir asmens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1 p."/>
                    <w:tag w:val="part_39aad9f4253f471fa8a2eed9cd54b1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10.11</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11696ee921814f6fbd7bd1156a920672"/>
                    <w:lock w:val="sdtLocked"/>
                    <w:richText/>
                  </w:sdtPr>
                  <w:sdtContent>
                    <w:p>
                      <w:pPr>
                        <w:tabs>
                          <w:tab w:val="left" w:pos="499"/>
                        </w:tabs>
                        <w:ind w:firstLine="720"/>
                        <w:jc w:val="both"/>
                      </w:pPr>
                      <w:sdt>
                        <w:sdtPr>
                          <w:alias w:val="Numeris"/>
                          <w:tag w:val="nr_11696ee921814f6fbd7bd1156a920672"/>
                          <w:lock w:val="sdtLocked"/>
                          <w:richText/>
                        </w:sdtPr>
                        <w:sdtContent>
                          <w:r>
                            <w:rPr>
                              <w:szCs w:val="24"/>
                              <w:lang w:eastAsia="lt-LT"/>
                            </w:rPr>
                            <w:t>10.14</w:t>
                          </w:r>
                        </w:sdtContent>
                      </w:sdt>
                      <w:r>
                        <w:rPr>
                          <w:szCs w:val="24"/>
                          <w:lang w:eastAsia="lt-LT"/>
                        </w:rPr>
                        <w:t>. prekiaujant Valstybinės mokesčių inspekcijos nustatyta tvarka registruotų tiesioginio ryšio kompiuterių tinklo terminalų spausdintais loterijos bilietais, šių terminalų apskaitomais momentinės loterijos, transporto ar kultūros, meno, sporto, pramogų, švietimo, mokslo, mokymo renginių bilietais, papildant viešojo judriojo telefono ryšio pokalbių sąskaitas, taip pat kai per šiuos terminalus mokamos ir apskaitomos pinigų sumos už trečiųjų asmenų tiekiamas prekes ir teikiamas paslaugas. Šių terminalų kasos operacijų žurnalai pildomi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9801546d450a4b9bb6a5310b28dd64ed"/>
                    <w:lock w:val="sdtLocked"/>
                    <w:richText/>
                  </w:sdtPr>
                  <w:sdtContent>
                    <w:p>
                      <w:pPr>
                        <w:tabs>
                          <w:tab w:val="left" w:pos="499"/>
                        </w:tabs>
                        <w:ind w:firstLine="720"/>
                        <w:jc w:val="both"/>
                      </w:pPr>
                      <w:sdt>
                        <w:sdtPr>
                          <w:alias w:val="Numeris"/>
                          <w:tag w:val="nr_9801546d450a4b9bb6a5310b28dd64ed"/>
                          <w:lock w:val="sdtLocked"/>
                          <w:richText/>
                        </w:sdtPr>
                        <w:sdtContent>
                          <w:r>
                            <w:rPr>
                              <w:szCs w:val="24"/>
                              <w:lang w:eastAsia="lt-LT"/>
                            </w:rPr>
                            <w:t>10.17</w:t>
                          </w:r>
                        </w:sdtContent>
                      </w:sdt>
                      <w:r>
                        <w:rPr>
                          <w:szCs w:val="24"/>
                          <w:lang w:eastAsia="lt-LT"/>
                        </w:rPr>
                        <w:t>. kaimo vietovėse esančiose pirminės sveikatos priežiūros įstaigose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138016a56f4741289591aac7513f35e1"/>
                <w:lock w:val="sdtLocked"/>
                <w:richText/>
              </w:sdtPr>
              <w:sdtContent>
                <w:p>
                  <w:pPr>
                    <w:tabs>
                      <w:tab w:val="left" w:pos="499"/>
                    </w:tabs>
                    <w:ind w:firstLine="720"/>
                    <w:jc w:val="both"/>
                  </w:pPr>
                  <w:sdt>
                    <w:sdtPr>
                      <w:alias w:val="Numeris"/>
                      <w:tag w:val="nr_138016a56f4741289591aac7513f35e1"/>
                      <w:lock w:val="sdtLocked"/>
                      <w:richText/>
                    </w:sdtPr>
                    <w:sdtContent>
                      <w:r>
                        <w:rPr>
                          <w:szCs w:val="24"/>
                          <w:lang w:eastAsia="lt-LT"/>
                        </w:rPr>
                        <w:t>10</w:t>
                      </w:r>
                      <w:r>
                        <w:rPr>
                          <w:szCs w:val="24"/>
                          <w:vertAlign w:val="superscript"/>
                          <w:lang w:eastAsia="lt-LT"/>
                        </w:rPr>
                        <w:t>1</w:t>
                      </w:r>
                    </w:sdtContent>
                  </w:sdt>
                  <w:r>
                    <w:rPr>
                      <w:szCs w:val="24"/>
                      <w:lang w:eastAsia="lt-LT"/>
                    </w:rPr>
                    <w:t>. Kai šio Aprašo 10.2, 10.12 ir 10.14 papunkčiuose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c92973fac3844628feff83ce481f1f3"/>
                    <w:lock w:val="sdtLocked"/>
                    <w:richText/>
                  </w:sdtPr>
                  <w:sdtContent>
                    <w:p>
                      <w:pPr>
                        <w:tabs>
                          <w:tab w:val="left" w:pos="499"/>
                        </w:tabs>
                        <w:ind w:firstLine="720"/>
                        <w:jc w:val="both"/>
                      </w:pPr>
                      <w:sdt>
                        <w:sdtPr>
                          <w:alias w:val="Numeris"/>
                          <w:tag w:val="nr_dc92973fac3844628feff83ce481f1f3"/>
                          <w:lock w:val="sdtLocked"/>
                          <w:richText/>
                        </w:sdtPr>
                        <w:sdtContent>
                          <w:r>
                            <w:rPr>
                              <w:szCs w:val="24"/>
                              <w:lang w:eastAsia="lt-LT"/>
                            </w:rPr>
                            <w:t>11.2</w:t>
                          </w:r>
                        </w:sdtContent>
                      </w:sdt>
                      <w:r>
                        <w:rPr>
                          <w:szCs w:val="24"/>
                          <w:lang w:eastAsia="lt-LT"/>
                        </w:rPr>
                        <w:t>. kaimo vietovių pirminės sveikatos priežiūros ir slaugos įstaigose (medicinos punktuose), išskyrus šio Aprašo 10.17 papunktyje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0ca974ec41e14e6db0e523e34f52b394"/>
                    <w:lock w:val="sdtLocked"/>
                    <w:richText/>
                  </w:sdtPr>
                  <w:sdtContent>
                    <w:p>
                      <w:pPr>
                        <w:tabs>
                          <w:tab w:val="left" w:pos="499"/>
                        </w:tabs>
                        <w:ind w:firstLine="720"/>
                        <w:jc w:val="both"/>
                        <w:rPr>
                          <w:color w:val="000000"/>
                        </w:rPr>
                      </w:pPr>
                      <w:sdt>
                        <w:sdtPr>
                          <w:alias w:val="Numeris"/>
                          <w:tag w:val="nr_0ca974ec41e14e6db0e523e34f52b394"/>
                          <w:lock w:val="sdtLocked"/>
                          <w:richText/>
                        </w:sdtPr>
                        <w:sdtContent>
                          <w:r>
                            <w:rPr>
                              <w:szCs w:val="24"/>
                              <w:lang w:eastAsia="lt-LT"/>
                            </w:rPr>
                            <w:t>11.5</w:t>
                          </w:r>
                        </w:sdtContent>
                      </w:sdt>
                      <w:r>
                        <w:rPr>
                          <w:szCs w:val="24"/>
                          <w:lang w:eastAsia="lt-LT"/>
                        </w:rPr>
                        <w:t>. sugedus kasos aparatui arba pažeidus jo plombą, taip pat kitais šio Aprašo 44 punkte nustatytais atvejais, kai atitinkamą kasos aparatą naudoti draudžiama, tačiau tik tokio kasos aparato techninės priežiūros, remonto ar keitimo laikotarpiu ir tik iškvietus aptarnavimo specialistą ir (ar) užregistravus iškvietimą kasos operacijų žurnale pagal šio Aprašo 29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ddde767c35034f3681c937ba9fb4de88"/>
                    <w:lock w:val="sdtLocked"/>
                    <w:richText/>
                  </w:sdtPr>
                  <w:sdtContent>
                    <w:p>
                      <w:pPr>
                        <w:ind w:firstLine="709"/>
                        <w:jc w:val="both"/>
                      </w:pPr>
                      <w:sdt>
                        <w:sdtPr>
                          <w:alias w:val="Numeris"/>
                          <w:tag w:val="nr_ddde767c35034f3681c937ba9fb4de88"/>
                          <w:lock w:val="sdtLocked"/>
                          <w:richText/>
                        </w:sdtPr>
                        <w:sdtContent>
                          <w:r>
                            <w:t>11.7</w:t>
                          </w:r>
                        </w:sdtContent>
                      </w:sdt>
                      <w:r>
                        <w:t xml:space="preserve">. avansams, užstatams priimti (daiktų nuomos ir panašiais atvejais) ir pinigams už anksčiau kreditan parduotas prekes įnešti;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8 p."/>
                    <w:tag w:val="part_08d2e96f18854de7b41953889b6935c2"/>
                    <w:lock w:val="sdtLocked"/>
                    <w:richText/>
                  </w:sdtPr>
                  <w:sdtContent>
                    <w:p>
                      <w:pPr>
                        <w:ind w:firstLine="709"/>
                        <w:jc w:val="both"/>
                      </w:pPr>
                      <w:sdt>
                        <w:sdtPr>
                          <w:alias w:val="Numeris"/>
                          <w:tag w:val="nr_08d2e96f18854de7b41953889b6935c2"/>
                          <w:lock w:val="sdtLocked"/>
                          <w:richText/>
                        </w:sdtPr>
                        <w:sdtContent>
                          <w:r>
                            <w:t>11.8</w:t>
                          </w:r>
                        </w:sdtContent>
                      </w:sdt>
                      <w:r>
                        <w:t>. lengvuosiuose taksi automobiliuose, kuriuose įrengti Valstybinės mokesčių inspekcijos nustatyta tvarka teritorinėje valstybinėje mokesčių inspekcijoje užregistruoti taksometrai ir kiekvienam taksometrui Valstybinės mokesčių inspekcijos nustatyta tvarka pildomas taksometro kasos operacijų žurnalas. Valstybinė mokesčių inspekcija gali nustatyti atvejus, kai taksometro kasos operacijų žurnalas nepildomas.</w:t>
                      </w:r>
                      <w:r>
                        <w:rPr>
                          <w:b/>
                        </w:rPr>
                        <w:t xml:space="preserve"> </w:t>
                      </w:r>
                      <w:r>
                        <w:t xml:space="preserve">Šiame punkte nustatytu atveju pinigų priėmimo kvitas gali būti išrašomas ranka arba išspausdinamas spausdintuvu. Spausdintuvų techninius reikalavimus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sdt>
                  <w:sdtPr>
                    <w:alias w:val="11.9 pp."/>
                    <w:tag w:val="part_4a345807fc594035b7216d8d55fb0c92"/>
                    <w:lock w:val="sdtLocked"/>
                    <w:richText/>
                  </w:sdtPr>
                  <w:sdtContent>
                    <w:p>
                      <w:pPr>
                        <w:tabs>
                          <w:tab w:val="left" w:pos="499"/>
                        </w:tabs>
                        <w:ind w:firstLine="720"/>
                        <w:jc w:val="both"/>
                      </w:pPr>
                      <w:sdt>
                        <w:sdtPr>
                          <w:alias w:val="Numeris"/>
                          <w:tag w:val="nr_4a345807fc594035b7216d8d55fb0c92"/>
                          <w:lock w:val="sdtLocked"/>
                          <w:richText/>
                        </w:sdtPr>
                        <w:sdtContent>
                          <w:r>
                            <w:rPr>
                              <w:szCs w:val="24"/>
                              <w:lang w:eastAsia="lt-LT"/>
                            </w:rPr>
                            <w:t>11.9</w:t>
                          </w:r>
                        </w:sdtContent>
                      </w:sdt>
                      <w:r>
                        <w:rPr>
                          <w:szCs w:val="24"/>
                          <w:lang w:eastAsia="lt-LT"/>
                        </w:rPr>
                        <w:t>. bankams, valiutos keityklos operatoriams ir kitoms finansų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9a0e366b47fb44efbfc9792fff3ed0d1"/>
                    <w:lock w:val="sdtLocked"/>
                    <w:richText/>
                  </w:sdtPr>
                  <w:sdtContent>
                    <w:p>
                      <w:pPr>
                        <w:tabs>
                          <w:tab w:val="left" w:pos="499"/>
                        </w:tabs>
                        <w:ind w:firstLine="720"/>
                        <w:jc w:val="both"/>
                      </w:pPr>
                      <w:sdt>
                        <w:sdtPr>
                          <w:alias w:val="Numeris"/>
                          <w:tag w:val="nr_9a0e366b47fb44efbfc9792fff3ed0d1"/>
                          <w:lock w:val="sdtLocked"/>
                          <w:richText/>
                        </w:sdtPr>
                        <w:sdtContent>
                          <w:r>
                            <w:rPr>
                              <w:szCs w:val="24"/>
                              <w:lang w:eastAsia="lt-LT"/>
                            </w:rPr>
                            <w:t>12.1</w:t>
                          </w:r>
                        </w:sdtContent>
                      </w:sdt>
                      <w:r>
                        <w:rPr>
                          <w:szCs w:val="24"/>
                          <w:lang w:eastAsia="lt-LT"/>
                        </w:rPr>
                        <w:t>. gyventojų, kurie verčiasi individualia veikla, kaip ši sąvoka apibrėžta Lietuvos Respublikos gyventojų pajamų mokesčio įstatyme, ir teikia paslaugas arba parduoda savo gamybos ne maisto prekes;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eab7efd29cc648a79cef1971c7970a64"/>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cac8fbd7d1014c9696db6a2941d2e152"/>
                <w:lock w:val="sdtLocked"/>
                <w:richText/>
              </w:sdtPr>
              <w:sdtContent>
                <w:p>
                  <w:pPr>
                    <w:tabs>
                      <w:tab w:val="left" w:pos="499"/>
                    </w:tabs>
                    <w:ind w:firstLine="720"/>
                    <w:jc w:val="both"/>
                    <w:rPr>
                      <w:szCs w:val="24"/>
                      <w:lang w:eastAsia="lt-LT"/>
                    </w:rPr>
                  </w:pPr>
                  <w:sdt>
                    <w:sdtPr>
                      <w:alias w:val="Numeris"/>
                      <w:tag w:val="nr_cac8fbd7d1014c9696db6a2941d2e152"/>
                      <w:lock w:val="sdtLocked"/>
                      <w:richText/>
                    </w:sdtPr>
                    <w:sdtContent>
                      <w:r>
                        <w:rPr>
                          <w:szCs w:val="24"/>
                          <w:lang w:eastAsia="lt-LT"/>
                        </w:rPr>
                        <w:t>15</w:t>
                      </w:r>
                    </w:sdtContent>
                  </w:sdt>
                  <w:r>
                    <w:rPr>
                      <w:szCs w:val="24"/>
                      <w:lang w:eastAsia="lt-LT"/>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prižiūrinti įmonė neturi teisės ūkio subjektui perduoti neužplombuoto kasos aparato ir (ar) neužregistruoto jo techninio paso. </w:t>
                  </w:r>
                </w:p>
                <w:p>
                  <w:pPr>
                    <w:tabs>
                      <w:tab w:val="left" w:pos="499"/>
                    </w:tabs>
                    <w:ind w:firstLine="720"/>
                    <w:jc w:val="both"/>
                    <w:rPr>
                      <w:szCs w:val="24"/>
                      <w:lang w:eastAsia="lt-LT"/>
                    </w:rPr>
                  </w:pPr>
                  <w:r>
                    <w:rPr>
                      <w:szCs w:val="24"/>
                      <w:lang w:eastAsia="lt-LT"/>
                    </w:rPr>
                    <w:t>Aptarnavimo įmonės specialistas, įrengęs kasos aparatą ir užpildęs jo techninį pasą, per 3 darbo dienas pateikia pasą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dienos įrengto fiskalinio kasos aparato darbo programos (programų) kontrolinė suma (sumos).</w:t>
                  </w:r>
                  <w:r>
                    <w:rPr>
                      <w:szCs w:val="24"/>
                      <w:lang w:val="en-US" w:eastAsia="lt-LT"/>
                    </w:rPr>
                    <w:t xml:space="preserve"> </w:t>
                  </w:r>
                </w:p>
                <w:p>
                  <w:pPr>
                    <w:tabs>
                      <w:tab w:val="left" w:pos="499"/>
                    </w:tabs>
                    <w:ind w:firstLine="720"/>
                    <w:jc w:val="both"/>
                  </w:pPr>
                  <w:r>
                    <w:rPr>
                      <w:szCs w:val="24"/>
                      <w:lang w:eastAsia="lt-LT"/>
                    </w:rPr>
                    <w:t>Draudžiama naudoti kasos aparatą, kol jo techninis pasas neužregistruotas ar neperregistruotas teritorinėje valstybinėje mokesčių inspekcijoje. Atvejus ir sąlygas, kada kasos aparato techninis pasas turi būti perregistruotas,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6 p."/>
                <w:tag w:val="part_1c15ecf4bbd742b0adfaedf759f9d75c"/>
                <w:lock w:val="sdtLocked"/>
                <w:richText/>
              </w:sdtPr>
              <w:sdtContent>
                <w:p>
                  <w:pPr>
                    <w:ind w:firstLine="709"/>
                    <w:jc w:val="both"/>
                    <w:rPr>
                      <w:color w:val="000000"/>
                    </w:rPr>
                  </w:pPr>
                  <w:sdt>
                    <w:sdtPr>
                      <w:alias w:val="Numeris"/>
                      <w:tag w:val="nr_1c15ecf4bbd742b0adfaedf759f9d75c"/>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rPr>
                      <w:szCs w:val="24"/>
                      <w:lang w:eastAsia="lt-LT"/>
                    </w:rPr>
                    <w:t>Kiekvieno iš Lietuvos Respublikoje leidžiamų naudoti kasos aparatų ir prekybos (paslaugų teikimo) automatų modelių sąrašo išbraukto modelio kasos aparato profilaktinė priežiūra turi būti atlikta ne vėliau kaip per 12 mėnesių po paskutinės kasos aparato profilaktinės priežiūros ar remonto dienos. Ūkio subjektas privalo kreiptis į aptarnavimo įmonę dėl profilaktinės kasos aparato priežiūros, kaip nustatyta šio Aprašo 29 punkte, ne vėliau kaip likus 20 dienų iki 12 mėnesių termino pabaigos. Draudžiama naudoti iš Lietuvos Respublikoje leidžiamų naudoti kasos aparatų ir prekybos (paslaugų teikimo) automatų modelių sąrašo išbraukto modelio kasos aparatą, kurio profilaktinė priežiūra ar remontas nebuvo atlikti ilgiau kaip 12 mėnesių, išskyrus šio Aprašo 27 punkte nustatytą atvejį, kai techninė priežiūra ar remontas atliekami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7-1 p."/>
                <w:tag w:val="part_7dfa02f0790949c8935651765156733c"/>
                <w:lock w:val="sdtLocked"/>
                <w:richText/>
              </w:sdtPr>
              <w:sdtContent>
                <w:p>
                  <w:pPr>
                    <w:tabs>
                      <w:tab w:val="left" w:pos="499"/>
                    </w:tabs>
                    <w:ind w:firstLine="720"/>
                    <w:jc w:val="both"/>
                    <w:rPr>
                      <w:szCs w:val="24"/>
                      <w:lang w:eastAsia="lt-LT"/>
                    </w:rPr>
                  </w:pPr>
                  <w:sdt>
                    <w:sdtPr>
                      <w:alias w:val="Numeris"/>
                      <w:tag w:val="nr_7dfa02f0790949c8935651765156733c"/>
                      <w:lock w:val="sdtLocked"/>
                      <w:richText/>
                    </w:sdtPr>
                    <w:sdtContent>
                      <w:r>
                        <w:rPr>
                          <w:szCs w:val="24"/>
                          <w:lang w:eastAsia="lt-LT"/>
                        </w:rPr>
                        <w:t>17</w:t>
                      </w:r>
                      <w:r>
                        <w:rPr>
                          <w:szCs w:val="24"/>
                          <w:vertAlign w:val="superscript"/>
                          <w:lang w:eastAsia="lt-LT"/>
                        </w:rPr>
                        <w:t>1</w:t>
                      </w:r>
                    </w:sdtContent>
                  </w:sdt>
                  <w:r>
                    <w:rPr>
                      <w:szCs w:val="24"/>
                      <w:lang w:eastAsia="lt-LT"/>
                    </w:rPr>
                    <w:t>. Valstybinė mokesčių inspekcija savo sprendimu išregistruoja kasos aparatą vienu iš šių atvejų:</w:t>
                  </w:r>
                </w:p>
                <w:sdt>
                  <w:sdtPr>
                    <w:alias w:val="17-1.1 pp."/>
                    <w:tag w:val="part_23055ecad1da4353aa961276a1a685b7"/>
                    <w:lock w:val="sdtLocked"/>
                    <w:richText/>
                  </w:sdtPr>
                  <w:sdtContent>
                    <w:p>
                      <w:pPr>
                        <w:tabs>
                          <w:tab w:val="left" w:pos="499"/>
                        </w:tabs>
                        <w:ind w:firstLine="720"/>
                        <w:jc w:val="both"/>
                        <w:rPr>
                          <w:szCs w:val="24"/>
                          <w:lang w:eastAsia="lt-LT"/>
                        </w:rPr>
                      </w:pPr>
                      <w:sdt>
                        <w:sdtPr>
                          <w:alias w:val="Numeris"/>
                          <w:tag w:val="nr_23055ecad1da4353aa961276a1a685b7"/>
                          <w:lock w:val="sdtLocked"/>
                          <w:richText/>
                        </w:sdtPr>
                        <w:sdtContent>
                          <w:r>
                            <w:rPr>
                              <w:szCs w:val="24"/>
                              <w:lang w:eastAsia="lt-LT"/>
                            </w:rPr>
                            <w:t>17</w:t>
                          </w:r>
                          <w:r>
                            <w:rPr>
                              <w:szCs w:val="24"/>
                              <w:vertAlign w:val="superscript"/>
                              <w:lang w:eastAsia="lt-LT"/>
                            </w:rPr>
                            <w:t>1</w:t>
                          </w:r>
                          <w:r>
                            <w:rPr>
                              <w:szCs w:val="24"/>
                              <w:lang w:eastAsia="lt-LT"/>
                            </w:rPr>
                            <w:t>.1</w:t>
                          </w:r>
                        </w:sdtContent>
                      </w:sdt>
                      <w:r>
                        <w:rPr>
                          <w:szCs w:val="24"/>
                          <w:lang w:eastAsia="lt-LT"/>
                        </w:rPr>
                        <w:t>. kai ūkio subjektas išregistruotas iš Juridinių asmenų registro ar Mokesčių mokėtojo registro;</w:t>
                      </w:r>
                    </w:p>
                  </w:sdtContent>
                </w:sdt>
                <w:sdt>
                  <w:sdtPr>
                    <w:alias w:val="17-1.2 pp."/>
                    <w:tag w:val="part_85089f64d18b4a3db220e5296b5e4ce8"/>
                    <w:lock w:val="sdtLocked"/>
                    <w:richText/>
                  </w:sdtPr>
                  <w:sdtContent>
                    <w:p>
                      <w:pPr>
                        <w:tabs>
                          <w:tab w:val="left" w:pos="499"/>
                        </w:tabs>
                        <w:ind w:firstLine="720"/>
                        <w:jc w:val="both"/>
                        <w:rPr>
                          <w:szCs w:val="24"/>
                          <w:lang w:eastAsia="lt-LT"/>
                        </w:rPr>
                      </w:pPr>
                      <w:sdt>
                        <w:sdtPr>
                          <w:alias w:val="Numeris"/>
                          <w:tag w:val="nr_85089f64d18b4a3db220e5296b5e4ce8"/>
                          <w:lock w:val="sdtLocked"/>
                          <w:richText/>
                        </w:sdtPr>
                        <w:sdtContent>
                          <w:r>
                            <w:rPr>
                              <w:szCs w:val="24"/>
                              <w:lang w:eastAsia="lt-LT"/>
                            </w:rPr>
                            <w:t>17</w:t>
                          </w:r>
                          <w:r>
                            <w:rPr>
                              <w:szCs w:val="24"/>
                              <w:vertAlign w:val="superscript"/>
                              <w:lang w:eastAsia="lt-LT"/>
                            </w:rPr>
                            <w:t>1</w:t>
                          </w:r>
                          <w:r>
                            <w:rPr>
                              <w:szCs w:val="24"/>
                              <w:lang w:eastAsia="lt-LT"/>
                            </w:rPr>
                            <w:t>.2</w:t>
                          </w:r>
                        </w:sdtContent>
                      </w:sdt>
                      <w:r>
                        <w:rPr>
                          <w:szCs w:val="24"/>
                          <w:lang w:eastAsia="lt-LT"/>
                        </w:rPr>
                        <w:t>. kai ūkio subjektas daugiau kaip 2 metus neteikia mokesčių deklaracijų ir Valstybinės mokesčių inspekcijos nustatyta tvarka nėra laikinai atleistas nuo mokesčių deklaracijų pateikimo;</w:t>
                      </w:r>
                    </w:p>
                  </w:sdtContent>
                </w:sdt>
                <w:sdt>
                  <w:sdtPr>
                    <w:alias w:val="17-1.3 pp."/>
                    <w:tag w:val="part_82dabd1523624c4688a4e0ed1486b80c"/>
                    <w:lock w:val="sdtLocked"/>
                    <w:richText/>
                  </w:sdtPr>
                  <w:sdtContent>
                    <w:p>
                      <w:pPr>
                        <w:tabs>
                          <w:tab w:val="left" w:pos="499"/>
                        </w:tabs>
                        <w:ind w:firstLine="720"/>
                        <w:jc w:val="both"/>
                        <w:rPr>
                          <w:szCs w:val="24"/>
                          <w:lang w:eastAsia="lt-LT"/>
                        </w:rPr>
                      </w:pPr>
                      <w:sdt>
                        <w:sdtPr>
                          <w:alias w:val="Numeris"/>
                          <w:tag w:val="nr_82dabd1523624c4688a4e0ed1486b80c"/>
                          <w:lock w:val="sdtLocked"/>
                          <w:richText/>
                        </w:sdtPr>
                        <w:sdtContent>
                          <w:r>
                            <w:rPr>
                              <w:szCs w:val="24"/>
                              <w:lang w:eastAsia="lt-LT"/>
                            </w:rPr>
                            <w:t>17</w:t>
                          </w:r>
                          <w:r>
                            <w:rPr>
                              <w:szCs w:val="24"/>
                              <w:vertAlign w:val="superscript"/>
                              <w:lang w:eastAsia="lt-LT"/>
                            </w:rPr>
                            <w:t>1</w:t>
                          </w:r>
                          <w:r>
                            <w:rPr>
                              <w:szCs w:val="24"/>
                              <w:lang w:eastAsia="lt-LT"/>
                            </w:rPr>
                            <w:t>.3</w:t>
                          </w:r>
                        </w:sdtContent>
                      </w:sdt>
                      <w:r>
                        <w:rPr>
                          <w:szCs w:val="24"/>
                          <w:lang w:eastAsia="lt-LT"/>
                        </w:rPr>
                        <w:t>. kai ilgiau kaip 15 mėnesių neatlikta iš Lietuvos Respublikoje leidžiamų naudoti kasos aparatų ir prekybos (paslaugų teikimo) automatų modelių sąrašo išbraukto modelio kasos aparato profilaktinė priežiūra ar remontas;</w:t>
                      </w:r>
                    </w:p>
                  </w:sdtContent>
                </w:sdt>
                <w:sdt>
                  <w:sdtPr>
                    <w:alias w:val="17-1.4 pp."/>
                    <w:tag w:val="part_0c48a9ad3a844d98a76bbb1fb983b203"/>
                    <w:lock w:val="sdtLocked"/>
                    <w:richText/>
                  </w:sdtPr>
                  <w:sdtContent>
                    <w:p>
                      <w:pPr>
                        <w:tabs>
                          <w:tab w:val="left" w:pos="499"/>
                        </w:tabs>
                        <w:ind w:firstLine="720"/>
                        <w:jc w:val="both"/>
                      </w:pPr>
                      <w:sdt>
                        <w:sdtPr>
                          <w:alias w:val="Numeris"/>
                          <w:tag w:val="nr_0c48a9ad3a844d98a76bbb1fb983b203"/>
                          <w:lock w:val="sdtLocked"/>
                          <w:richText/>
                        </w:sdtPr>
                        <w:sdtContent>
                          <w:r>
                            <w:rPr>
                              <w:szCs w:val="24"/>
                              <w:lang w:eastAsia="lt-LT"/>
                            </w:rPr>
                            <w:t>17</w:t>
                          </w:r>
                          <w:r>
                            <w:rPr>
                              <w:szCs w:val="24"/>
                              <w:vertAlign w:val="superscript"/>
                              <w:lang w:eastAsia="lt-LT"/>
                            </w:rPr>
                            <w:t>1</w:t>
                          </w:r>
                          <w:r>
                            <w:rPr>
                              <w:szCs w:val="24"/>
                              <w:lang w:eastAsia="lt-LT"/>
                            </w:rPr>
                            <w:t>.4</w:t>
                          </w:r>
                        </w:sdtContent>
                      </w:sdt>
                      <w:r>
                        <w:rPr>
                          <w:szCs w:val="24"/>
                          <w:lang w:eastAsia="lt-LT"/>
                        </w:rPr>
                        <w:t>. kai neišregistruotas kasos aparatas, dėl kurio ūkio subjektui buvo nustatyti šio Aprašo 44 punkto pirmojoje pastraipoje nurodyti pažeidimai.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7-2 p."/>
                <w:tag w:val="part_e3ca3b9b04b24d08b94b7f8bce95901e"/>
                <w:lock w:val="sdtLocked"/>
                <w:richText/>
              </w:sdtPr>
              <w:sdtContent>
                <w:p>
                  <w:pPr>
                    <w:tabs>
                      <w:tab w:val="left" w:pos="499"/>
                    </w:tabs>
                    <w:ind w:firstLine="720"/>
                    <w:jc w:val="both"/>
                  </w:pPr>
                  <w:sdt>
                    <w:sdtPr>
                      <w:alias w:val="Numeris"/>
                      <w:tag w:val="nr_e3ca3b9b04b24d08b94b7f8bce95901e"/>
                      <w:lock w:val="sdtLocked"/>
                      <w:richText/>
                    </w:sdtPr>
                    <w:sdtContent>
                      <w:r>
                        <w:rPr>
                          <w:szCs w:val="24"/>
                          <w:lang w:eastAsia="lt-LT"/>
                        </w:rPr>
                        <w:t>17</w:t>
                      </w:r>
                      <w:r>
                        <w:rPr>
                          <w:szCs w:val="24"/>
                          <w:vertAlign w:val="superscript"/>
                          <w:lang w:eastAsia="lt-LT"/>
                        </w:rPr>
                        <w:t>2</w:t>
                      </w:r>
                    </w:sdtContent>
                  </w:sdt>
                  <w:r>
                    <w:rPr>
                      <w:szCs w:val="24"/>
                      <w:lang w:eastAsia="lt-LT"/>
                    </w:rPr>
                    <w:t>. Šio Aprašo 17</w:t>
                  </w:r>
                  <w:r>
                    <w:rPr>
                      <w:szCs w:val="24"/>
                      <w:vertAlign w:val="superscript"/>
                      <w:lang w:eastAsia="lt-LT"/>
                    </w:rPr>
                    <w:t>1</w:t>
                  </w:r>
                  <w:r>
                    <w:rPr>
                      <w:szCs w:val="24"/>
                      <w:lang w:eastAsia="lt-LT"/>
                    </w:rPr>
                    <w:t xml:space="preserve"> punkte nurodytais atvejais kasos aparatai išregistruojami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8 p."/>
                <w:tag w:val="part_0b7eb00a30fd463795099d1fcb863df2"/>
                <w:lock w:val="sdtLocked"/>
                <w:richText/>
              </w:sdtPr>
              <w:sdtContent>
                <w:p>
                  <w:pPr>
                    <w:tabs>
                      <w:tab w:val="left" w:pos="499"/>
                    </w:tabs>
                    <w:ind w:firstLine="720"/>
                    <w:jc w:val="both"/>
                  </w:pPr>
                  <w:sdt>
                    <w:sdtPr>
                      <w:alias w:val="Numeris"/>
                      <w:tag w:val="nr_0b7eb00a30fd463795099d1fcb863df2"/>
                      <w:lock w:val="sdtLocked"/>
                      <w:richText/>
                    </w:sdtPr>
                    <w:sdtContent>
                      <w:r>
                        <w:rPr>
                          <w:szCs w:val="24"/>
                          <w:lang w:eastAsia="lt-LT"/>
                        </w:rPr>
                        <w:t>18</w:t>
                      </w:r>
                    </w:sdtContent>
                  </w:sdt>
                  <w:r>
                    <w:rPr>
                      <w:szCs w:val="24"/>
                      <w:lang w:eastAsia="lt-LT"/>
                    </w:rPr>
                    <w:t>. Valstybinės mokesčių inspekcijos nustatyta tvarka pildomas atskiras kiekvieno naudojamo kasos aparato kasos operacijų žurnalas.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416486f527824c0990d35fe81b33dc27"/>
                <w:lock w:val="sdtLocked"/>
                <w:richText/>
              </w:sdtPr>
              <w:sdtContent>
                <w:p>
                  <w:pPr>
                    <w:tabs>
                      <w:tab w:val="left" w:pos="499"/>
                    </w:tabs>
                    <w:ind w:firstLine="720"/>
                    <w:jc w:val="both"/>
                    <w:rPr>
                      <w:szCs w:val="24"/>
                      <w:lang w:eastAsia="lt-LT"/>
                    </w:rPr>
                  </w:pPr>
                  <w:sdt>
                    <w:sdtPr>
                      <w:alias w:val="Numeris"/>
                      <w:tag w:val="nr_416486f527824c0990d35fe81b33dc27"/>
                      <w:lock w:val="sdtLocked"/>
                      <w:richText/>
                    </w:sdtPr>
                    <w:sdtContent>
                      <w:r>
                        <w:rPr>
                          <w:szCs w:val="24"/>
                          <w:lang w:eastAsia="lt-LT"/>
                        </w:rPr>
                        <w:t>20</w:t>
                      </w:r>
                    </w:sdtContent>
                  </w:sdt>
                  <w:r>
                    <w:rPr>
                      <w:szCs w:val="24"/>
                      <w:lang w:eastAsia="lt-LT"/>
                    </w:rPr>
                    <w:t>. Kasos aparato duomenys apie priimtų ir inkasuotų grynųjų pinigų sumas turi sutapti su kasos operacijų žurnale nurodytomis sumomis, o šiame žurnale nurodyta inkasuota suma – su kasos pajamų orderiuose įrašyta arba inkasatorių inkasuota suma.</w:t>
                  </w:r>
                </w:p>
                <w:p>
                  <w:pPr>
                    <w:tabs>
                      <w:tab w:val="left" w:pos="499"/>
                    </w:tabs>
                    <w:ind w:firstLine="720"/>
                    <w:jc w:val="both"/>
                  </w:pPr>
                  <w:r>
                    <w:rPr>
                      <w:szCs w:val="24"/>
                      <w:lang w:eastAsia="lt-LT"/>
                    </w:rPr>
                    <w:t>Pinigų inkasavimo terminą ūkio subjektai nusistato vadovaudamiesi Kasos darbo organizavimo ir kasos operacijų atlikimo taisyklėmis. Dalis pinigų pagal kasos aparatu išspausdintą kasos aparato kvitą, kuriame pažymimas grynųjų pinigų išėmimas, gali būti perkelta į tam skirtą vietą, įrengtą kasos operacijų atlikimo vietoje arba gretimoje patalpoje, kurioje grynieji pinigai kartu su kasos aparato kvitu, kuriame nurodyta pinigų išėmimo suma, saugomi iki inkasavimo.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5687b4c33ee14fa38f1eadc50061ff91"/>
                <w:lock w:val="sdtLocked"/>
                <w:richText/>
              </w:sdtPr>
              <w:sdtContent>
                <w:p>
                  <w:pPr>
                    <w:ind w:firstLine="709"/>
                    <w:jc w:val="both"/>
                    <w:rPr>
                      <w:color w:val="000000"/>
                    </w:rPr>
                  </w:pPr>
                  <w:sdt>
                    <w:sdtPr>
                      <w:alias w:val="Numeris"/>
                      <w:tag w:val="nr_5687b4c33ee14fa38f1eadc50061ff91"/>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szCs w:val="24"/>
                      <w:lang w:eastAsia="lt-LT"/>
                    </w:rPr>
                    <w:t>Nauja aptarnavimo įmonė, pakeitusi kasos aparato plombą jo techninės priežiūros ar remonto metu, apie kasos aparato plombos pakeitimą turi pranešti teritorinei valstybinei mokesčių inspekcijai, kurios aptarnaujamoje teritorijoje registruotas tas kasos aparatas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fa4de65318454342b56e764963ed237c"/>
                <w:lock w:val="sdtLocked"/>
                <w:richText/>
              </w:sdtPr>
              <w:sdtContent>
                <w:p>
                  <w:pPr>
                    <w:tabs>
                      <w:tab w:val="left" w:pos="499"/>
                    </w:tabs>
                    <w:ind w:firstLine="720"/>
                    <w:jc w:val="both"/>
                    <w:rPr>
                      <w:szCs w:val="24"/>
                      <w:lang w:eastAsia="lt-LT"/>
                    </w:rPr>
                  </w:pPr>
                  <w:sdt>
                    <w:sdtPr>
                      <w:alias w:val="Numeris"/>
                      <w:tag w:val="nr_fa4de65318454342b56e764963ed237c"/>
                      <w:lock w:val="sdtLocked"/>
                      <w:richText/>
                    </w:sdtPr>
                    <w:sdtContent>
                      <w:r>
                        <w:rPr>
                          <w:szCs w:val="24"/>
                          <w:lang w:eastAsia="lt-LT"/>
                        </w:rPr>
                        <w:t>27</w:t>
                      </w:r>
                    </w:sdtContent>
                  </w:sdt>
                  <w:r>
                    <w:rPr>
                      <w:szCs w:val="24"/>
                      <w:lang w:eastAsia="lt-LT"/>
                    </w:rPr>
                    <w:t>. Ūkio subjektas gali sudaryti ilgalaikę arba vienkartinę</w:t>
                  </w:r>
                  <w:r>
                    <w:rPr>
                      <w:szCs w:val="24"/>
                      <w:lang w:val="en-US" w:eastAsia="lt-LT"/>
                    </w:rPr>
                    <w:t xml:space="preserve"> </w:t>
                  </w:r>
                  <w:r>
                    <w:rPr>
                      <w:szCs w:val="24"/>
                      <w:lang w:eastAsia="lt-LT"/>
                    </w:rPr>
                    <w:t>kasos aparato techninės priežiūros ir (ar) remonto sutartį. Ūkio subjektas, nesudaręs ilgalaikės kasos aparato techninės priežiūros ir (ar) remonto sutarties, gali kreiptis į bet kurią šio Aprašo 22 punkte nurodytą aptarnavimo įmonę su prašymu atlikti kasos aparato techninę priežiūrą ar remontą.</w:t>
                  </w:r>
                </w:p>
                <w:p>
                  <w:pPr>
                    <w:tabs>
                      <w:tab w:val="left" w:pos="499"/>
                    </w:tabs>
                    <w:ind w:firstLine="720"/>
                    <w:jc w:val="both"/>
                    <w:rPr>
                      <w:szCs w:val="24"/>
                      <w:lang w:eastAsia="lt-LT"/>
                    </w:rPr>
                  </w:pPr>
                  <w:r>
                    <w:rPr>
                      <w:szCs w:val="24"/>
                      <w:lang w:eastAsia="lt-LT"/>
                    </w:rPr>
                    <w:t xml:space="preserve">Aptarnavimo įmonė privalo pildyti prašymų registravimo knygą (knygas), kurioje (kuriose) registruojami visi prašymai atlikti kasos aparatų techninę priežiūrą ar juos suremontuoti. Aptarnavimo įmonė prašymų registravimo knygoje turi pažymėti, ar ūkio subjekto prašymas priimtas ar jo atsisakyta. </w:t>
                  </w:r>
                </w:p>
                <w:p>
                  <w:pPr>
                    <w:tabs>
                      <w:tab w:val="left" w:pos="499"/>
                    </w:tabs>
                    <w:ind w:firstLine="720"/>
                    <w:jc w:val="both"/>
                    <w:rPr>
                      <w:szCs w:val="24"/>
                      <w:lang w:eastAsia="lt-LT"/>
                    </w:rPr>
                  </w:pPr>
                  <w:r>
                    <w:rPr>
                      <w:szCs w:val="24"/>
                      <w:lang w:eastAsia="lt-LT"/>
                    </w:rPr>
                    <w:t>Aptarnavimo įmonė, priėmusi ūkio subjekto prašymą, ne vėliau kaip per 10 dienų turi atlikti kasos aparato techninę priežiūrą ar jį suremontuoti. Jeigu dėl techninių priežasčių aptarnavimo įmonė kasos aparato suremontuoti negali, remonto laikotarpis gali būti pratęstas, bet ne ilgiau kaip 10 dienų.</w:t>
                  </w:r>
                </w:p>
                <w:p>
                  <w:pPr>
                    <w:tabs>
                      <w:tab w:val="left" w:pos="499"/>
                    </w:tabs>
                    <w:ind w:firstLine="720"/>
                    <w:jc w:val="both"/>
                  </w:pPr>
                  <w:r>
                    <w:rPr>
                      <w:szCs w:val="24"/>
                      <w:lang w:eastAsia="lt-LT"/>
                    </w:rPr>
                    <w:t>Kasos aparato techninės priežiūros ar remonto laikotarpiu darbas gali būti tęsiamas – išduodami šio Aprašo 11 punkte nurodyti dokumentai, tačiau tik užregistravus aptarnavimo įmonės iškvietimą (kreipimąsi) šio Aprašo 29 punkte nustatyta tvarka. Minėtu laikotarpiu gali būti naudojamas ir rezervinis</w:t>
                  </w:r>
                  <w:r>
                    <w:rPr>
                      <w:szCs w:val="24"/>
                      <w:lang w:val="en-US" w:eastAsia="lt-LT"/>
                    </w:rPr>
                    <w:t xml:space="preserve"> </w:t>
                  </w:r>
                  <w:r>
                    <w:rPr>
                      <w:szCs w:val="24"/>
                      <w:lang w:eastAsia="lt-LT"/>
                    </w:rPr>
                    <w:t>fiskalinis kasos aparatas.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a8a2801080684afc8d9eec6b8e52ef01"/>
                <w:lock w:val="sdtLocked"/>
                <w:richText/>
              </w:sdtPr>
              <w:sdtContent>
                <w:p>
                  <w:pPr>
                    <w:tabs>
                      <w:tab w:val="left" w:pos="499"/>
                    </w:tabs>
                    <w:ind w:firstLine="720"/>
                    <w:jc w:val="both"/>
                  </w:pPr>
                  <w:sdt>
                    <w:sdtPr>
                      <w:alias w:val="Numeris"/>
                      <w:tag w:val="nr_a8a2801080684afc8d9eec6b8e52ef01"/>
                      <w:lock w:val="sdtLocked"/>
                      <w:richText/>
                    </w:sdtPr>
                    <w:sdtContent>
                      <w:r>
                        <w:rPr>
                          <w:szCs w:val="24"/>
                          <w:lang w:eastAsia="lt-LT"/>
                        </w:rPr>
                        <w:t>29</w:t>
                      </w:r>
                    </w:sdtContent>
                  </w:sdt>
                  <w:r>
                    <w:rPr>
                      <w:szCs w:val="24"/>
                      <w:lang w:eastAsia="lt-LT"/>
                    </w:rPr>
                    <w:t xml:space="preserve">. Visi aptarnavimo įmonės iškvietimai chronologine tvarka turi būti užregistruoti sugedusio kasos aparato kasos operacijų žurnale. Kasos operacijų žurnale nurodoma iškvietimo (kreipimosi) data, laikas, kasos aparatų aptarnavimo įmonės pavadinimas. Tik užregistravus iškvietimą (kreipimąsi) gali būti tęsiamas darbas, kaip nurodyta šio Aprašo 27 punkto ketvirtojoje pastraipoje. </w:t>
                  </w:r>
                  <w:r>
                    <w:rPr>
                      <w:szCs w:val="24"/>
                      <w:lang w:val="en-US" w:eastAsia="lt-LT"/>
                    </w:rPr>
                    <w:t>Keleiviniame transporte iki reiso pabaigos darbas gali būti tęsiamas ir neužregistravus aptarnavimo įmonės iškvietimo.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8e828ef1f75b48f7a0969d71e6d9c31e"/>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0 p."/>
                <w:tag w:val="part_1b950d96bfd3467eb5ff974e7a511f94"/>
                <w:lock w:val="sdtLocked"/>
                <w:richText/>
              </w:sdtPr>
              <w:sdtContent>
                <w:p>
                  <w:pPr>
                    <w:tabs>
                      <w:tab w:val="left" w:pos="499"/>
                    </w:tabs>
                    <w:ind w:firstLine="720"/>
                    <w:jc w:val="both"/>
                  </w:pPr>
                  <w:sdt>
                    <w:sdtPr>
                      <w:alias w:val="Numeris"/>
                      <w:tag w:val="nr_1b950d96bfd3467eb5ff974e7a511f94"/>
                      <w:lock w:val="sdtLocked"/>
                      <w:richText/>
                    </w:sdtPr>
                    <w:sdtContent>
                      <w:r>
                        <w:rPr>
                          <w:szCs w:val="24"/>
                          <w:lang w:eastAsia="lt-LT"/>
                        </w:rPr>
                        <w:t>40</w:t>
                      </w:r>
                    </w:sdtContent>
                  </w:sdt>
                  <w:r>
                    <w:rPr>
                      <w:szCs w:val="24"/>
                      <w:lang w:eastAsia="lt-LT"/>
                    </w:rPr>
                    <w:t>. Tarptautiniame jūrų ar oro uoste esančioje specialioje prekybos vietoje parduodant prekes, kurios neapmokestinamos muitais ir (arba) kurioms taikomos Lietuvos Respublikos akcizų įstatymo 19 straipsnio 1 dalies 1 punkte ir (arba) Lietuvos Respublikos pridėtinės vertės mokesčio įstatymo 53 straipsnio 4 dalyje nustatytos mokesčių lengvatos, taip pat parduodant minėtas prekes reiso metu keleiviams, vykstantiems oro ar jūrų transportu į paskirties tašką už Europos Sąjungos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d7d53e5550f943df814b3839c9de4c28"/>
                <w:lock w:val="sdtLocked"/>
                <w:richText/>
              </w:sdtPr>
              <w:sdtContent>
                <w:p>
                  <w:pPr>
                    <w:ind w:firstLine="709"/>
                    <w:jc w:val="both"/>
                  </w:pPr>
                  <w:sdt>
                    <w:sdtPr>
                      <w:alias w:val="Numeris"/>
                      <w:tag w:val="nr_d7d53e5550f943df814b3839c9de4c28"/>
                      <w:lock w:val="sdtLocked"/>
                      <w:richText/>
                    </w:sdtPr>
                    <w:sdtContent>
                      <w:r>
                        <w:t>42</w:t>
                      </w:r>
                    </w:sdtContent>
                  </w:sdt>
                  <w:r>
                    <w:t xml:space="preserve">. </w:t>
                  </w:r>
                  <w:r>
                    <w:rPr>
                      <w:szCs w:val="24"/>
                      <w:lang w:eastAsia="lt-LT"/>
                    </w:rPr>
                    <w:t>Valstybinės mokesčių inspekcijos nustatytais atvejais kasos aparatai gali nespausdinti šio Aprašo 35.2.8 ir 35.2.9 papunkčiuose nurodytų duomenų</w:t>
                  </w:r>
                  <w:r>
                    <w:t>.</w:t>
                  </w:r>
                </w:p>
                <w:p>
                  <w:pPr>
                    <w:ind w:firstLine="709"/>
                    <w:jc w:val="both"/>
                  </w:pPr>
                  <w:r>
                    <w:t>Keleivinio transporto kasos aparatuose gali būti naudojama elektroninė kontrolinė juosta. Šių aparatų priežiūros įmonės specialistas, atlikdamas pirmąjį kasos aparato remontą ar profilaktinę apžiūrą, privalo suprogramuoti (nustatyti) kasos aparatą taip, kad gamintojo nustatytu būdu būtų naudojama ir spausdinama keleivinio transporto kasos aparatų elektroninė kontrolinė juosta, išskyrus tuos atvejus, kai iki šio Aprašo įsigaliojimo įrengtų ir teritorinėje valstybinėje mokesčių inspekcijoje užregistruotų kasos aparatų gamintojas nėra numatęs galimybės jais spausdinti elektroninę kontrolinę juostą arba keleivių bilietuose (kvituose) spausdinami šio Aprašo 38 punkte nurodyti išvykimo ir atvykimo stotelių pavadinimai ir dėl to nėra techninių galimybių papildomai spausdinti kontrolinę juostą.</w:t>
                  </w:r>
                </w:p>
                <w:p>
                  <w:pPr>
                    <w:ind w:firstLine="709"/>
                    <w:jc w:val="both"/>
                  </w:pPr>
                  <w:r>
                    <w:t xml:space="preserve">Keleivinio kelių transporto priemonėse įrengtų kasos aparatų spausdinami kvitai, kuriuose yra visi susisiekimo ministro nustatyti privalomi rekvizitai, gali būti naudojami kaip bilietai, tačiau jiems taikomi visi šio Aprašo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pabaiga"/>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C2EB4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1f237a48e18d48ec8b8bc43c9436bae1">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DocPartId="733fb45728c84a6d8dd57edc3175996a" PartId="91b8e7ab6c214f9499682bc4d1c3f38f"/>
      </Part>
    </Part>
    <Part Type="punktas" Nr="3" Abbr="3 p." DocPartId="ae6df0e6a78e419f87f8deacbd3ed462" PartId="1edaeae7681d44a28e1dd7da706da744">
      <Part Type="punktas" Nr="3.1" Abbr="3.1 p." DocPartId="22d47251bd294b9db11f943290e1ff85" PartId="6fdda0024c914024a0bf4049419c43ef"/>
      <Part Type="punktas" Nr="3.2" Abbr="3.2 p." DocPartId="d927a098a87f4838a79835e2b4f324d5" PartId="0e62770a9cc048648e4fae76f840174e">
        <Part Type="punktas" Nr="3.2.1" Abbr="3.2.1 p." DocPartId="3867dfac279741c19108c3191e739fbc" PartId="4ca5be7334f24b979e1b859694db337c"/>
        <Part Type="punktas" Nr="3.2.2" Abbr="3.2.2 p." DocPartId="0ff584b8570f414db42eeb1b69185ed7" PartId="38baf6ca2e244100b50cdc686db38fd5"/>
      </Part>
      <Part Type="punktas" Nr="3.3" Abbr="3.3 p." DocPartId="d22629b3334c45f3a7ffad552a27497a" PartId="fc8006f1f9b542a387a2228ef06df2b6"/>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2ae7c3fcf56e4302aa72c99939164291"/>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b14ce92dc2f544be9535a3cada6685ea"/>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a86ed85ca2644f9bab6f69762dda8379"/>
      <Part Type="punktas" Nr="8" Abbr="8 p." DocPartId="3fa744320c684328a9a1031ff7fe657a" PartId="e73415c5133549699e7edb5c1a8a8142"/>
      <Part Type="punktas" Nr="9" Abbr="9 p." DocPartId="75f539f12e054513a6e43b7515bcddb8" PartId="f42ffd6533064bdbac72ed0912b3ab3a"/>
      <Part Type="punktas" Nr="10" Abbr="10 p." DocPartId="e3f5284f0e1d48e18086382561ee89a0" PartId="eb118025825c40ddbdfb93903b2573c5">
        <Part Type="punktas" Nr="10.1" Abbr="10.1 p." DocPartId="33ad232842a54b18877a663011637dd7" PartId="6b4859f1060d45a68ba7eaf31d43565a"/>
        <Part Type="punktas" Nr="10.2" Abbr="10.2 p." DocPartId="badad963d7da489c8875de3e101bc8d7" PartId="ff49762f9477460dbc4bc112df70af87"/>
        <Part Type="punktas" Nr="10.3" Abbr="10.3 p." DocPartId="60206814cc524accad149c5a15032780" PartId="ced0537f232449b5b2cc5628edd11079"/>
        <Part Type="punktas" Nr="10.4" Abbr="10.4 p." DocPartId="9e5636573a444bd0b875b078a9a23a5b" PartId="d02feae0beb345b29f62daf3aa8231af"/>
        <Part Type="punktas" Nr="10.5" Abbr="10.5 p." DocPartId="fa0c82f919354ebd893b044b9df84d44" PartId="e0d4cd327c7b4090bbcb679e643bdba8"/>
        <Part Type="punktas" Nr="10.6" Abbr="10.6 p." DocPartId="6c3cc25ac989406da8726774f0f3f3d3" PartId="1287b049808a4fcfba23d6cce2487b64"/>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de01500f8f6845fab13b8140825fec64"/>
        <Part Type="punktas" Nr="10.11" Abbr="10.11 p." DocPartId="dd2075817627459a96f88b80e753077f" PartId="39aad9f4253f471fa8a2eed9cd54b17f"/>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11696ee921814f6fbd7bd1156a920672"/>
        <Part Type="punktas" Nr="10.15" Abbr="10.15 p." DocPartId="5d7af7eaf0dc4a5f94a989a0f5be64ef" PartId="12aa0a47ca4f47e9bd49de935ba939c4"/>
        <Part Type="punktas" Nr="10.16" Abbr="10.16 p." DocPartId="1101346176284da49abbd302cc43a4dd" PartId="7861d00751c34731bb122e562ae415a3"/>
        <Part Type="punktas" Nr="10.17" Abbr="10.17 p." DocPartId="b19b370e0a8c4c4793b05207c67cba08" PartId="9801546d450a4b9bb6a5310b28dd64ed"/>
      </Part>
      <Part Type="punktas" Nr="10-1" Abbr="10-1 p." DocPartId="1307cfe1ae0141439a426f5655327879" PartId="138016a56f4741289591aac7513f35e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dc92973fac3844628feff83ce481f1f3"/>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0ca974ec41e14e6db0e523e34f52b394"/>
        <Part Type="punktas" Nr="11.6" Abbr="11.6 p." DocPartId="da99c63462a249bd8f8605259532b7fa" PartId="52ec90a1f7d64c9a894e7608265b4e98"/>
        <Part Type="punktas" Nr="11.7" Abbr="11.7 p." DocPartId="69bd7e58a1424607859998d773eda01d" PartId="ddde767c35034f3681c937ba9fb4de88"/>
        <Part Type="punktas" Nr="11.8" Abbr="11.8 p." DocPartId="73aa7869689947a9a639c56006417885" PartId="08d2e96f18854de7b41953889b6935c2"/>
        <Part Type="punktas" Nr="11.7" Abbr="11.7 p." Title="" DocPartId="01379e571b8840f8936f8086b82fee27" PartId="06d0f32f65134756942c0481e57d1613"/>
        <Part Type="papunktis" Nr="11.9" Abbr="11.9 pp." DocPartId="236316a9d9404cbe931ce25a7f094961" PartId="4a345807fc594035b7216d8d55fb0c92"/>
      </Part>
      <Part Type="punktas" Nr="12" Abbr="12 p." DocPartId="a3f7623c0ac0483b9ace1b9ca7371f83" PartId="02ef3ba26a574d7d8f23b768ca3676a5">
        <Part Type="punktas" Nr="12.1" Abbr="12.1 p." DocPartId="cd0b1a5f6eaa404badf8181ac7928152" PartId="9a0e366b47fb44efbfc9792fff3ed0d1"/>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eab7efd29cc648a79cef1971c7970a64"/>
      </Part>
      <Part Type="punktas" Nr="12-1" Abbr="12-1 p."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cac8fbd7d1014c9696db6a2941d2e152"/>
      <Part Type="punktas" Nr="16" Abbr="16 p." DocPartId="7472af3d69e24b18a43563ae61ae0029" PartId="1c15ecf4bbd742b0adfaedf759f9d75c"/>
      <Part Type="punktas" Nr="17" Abbr="17 p." DocPartId="c2201341ab6043fe81b1828b62cb103d" PartId="f936f89baaa04c1b81f0ee7806921593"/>
      <Part Type="punktas" Nr="17-1" Abbr="17-1 p." DocPartId="5e62d7f1177244d994cd45b9c3fa3699" PartId="7dfa02f0790949c8935651765156733c">
        <Part Type="papunktis" Nr="17-1.1" Abbr="17-1.1 pp." DocPartId="5e96191fd96246bca79441b10b496b62" PartId="23055ecad1da4353aa961276a1a685b7"/>
        <Part Type="papunktis" Nr="17-1.2" Abbr="17-1.2 pp." DocPartId="8af3f3325ee745fcaa12270a8bdfc6f2" PartId="85089f64d18b4a3db220e5296b5e4ce8"/>
        <Part Type="papunktis" Nr="17-1.3" Abbr="17-1.3 pp." DocPartId="ccbe08d6de0748dc987bae57be419847" PartId="82dabd1523624c4688a4e0ed1486b80c"/>
        <Part Type="papunktis" Nr="17-1.4" Abbr="17-1.4 pp." DocPartId="17dff0a43c9c49ce92e6aaaa2609e86e" PartId="0c48a9ad3a844d98a76bbb1fb983b203"/>
      </Part>
      <Part Type="punktas" Nr="17-2" Abbr="17-2 p." DocPartId="22878120f44a4162a5e817a64775abcf" PartId="e3ca3b9b04b24d08b94b7f8bce95901e"/>
      <Part Type="punktas" Nr="18" Abbr="18 p." DocPartId="653a0c73543a4e6699d67f77a2347aa0" PartId="0b7eb00a30fd463795099d1fcb863df2"/>
      <Part Type="punktas" Nr="19" Abbr="19 p." DocPartId="88b5bc547b7f48c3b7054b26f7c03ce9" PartId="5aaab35e746643ffa0391904ca7f1799"/>
      <Part Type="punktas" Nr="20" Abbr="20 p." DocPartId="ae08fc0cfbd340b0b615864feda9c51b" PartId="416486f527824c0990d35fe81b33dc27"/>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5687b4c33ee14fa38f1eadc50061ff91"/>
      <Part Type="punktas" Nr="26" Abbr="26 p." DocPartId="de480401b0734d54992d89ed14282779" PartId="a9697d92820d4b778460fca4a87c89f5"/>
      <Part Type="punktas" Nr="27" Abbr="27 p." DocPartId="ef44a316c4b44a7d9e3ae4d61bbe72fb" PartId="fa4de65318454342b56e764963ed237c"/>
      <Part Type="punktas" Nr="28" Abbr="28 p." DocPartId="5a8e54f854384b329a0d9de46742da23" PartId="1432495d7fb946479baf49cb021e7961"/>
      <Part Type="punktas" Nr="29" Abbr="29 p." DocPartId="15487c88f36c46f9bf3024d001bcb4af" PartId="a8a2801080684afc8d9eec6b8e52ef01"/>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8e828ef1f75b48f7a0969d71e6d9c31e"/>
      <Part Type="punktas" Nr="40" Abbr="40 p." DocPartId="d994587d31474204ab0e1f3f68a44c09" PartId="1b950d96bfd3467eb5ff974e7a511f94"/>
      <Part Type="punktas" Nr="41" Abbr="41 p." DocPartId="1d784aed4cb84a8facc7f97587015b33" PartId="3d24e282a58841c6913cc8f46f7b7d67"/>
      <Part Type="punktas" Nr="42" Abbr="42 p." DocPartId="988d8cc64a0b47bb80ae29f21020d7a9" PartId="d7d53e5550f943df814b3839c9de4c28"/>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DocPartId="3c7fa67dfb6b45d0a28fa49585f896eb" PartId="0f901b385e304f01a5e4835f27c90450"/>
  </Part>
</Parts>
</file>

<file path=customXml/itemProps1.xml><?xml version="1.0" encoding="utf-8"?>
<ds:datastoreItem xmlns:ds="http://schemas.openxmlformats.org/officeDocument/2006/customXml" ds:itemID="{54F649B2-4E5F-49AB-A4DE-1643B9D55864}">
  <ds:schemaRefs>
    <ds:schemaRef ds:uri="http://lrs.lt/TAIS/DocParts"/>
  </ds:schemaRefs>
</ds:datastoreItem>
</file>

<file path=docProps/app.xml><?xml version="1.0" encoding="utf-8"?>
<Properties xmlns="http://schemas.openxmlformats.org/officeDocument/2006/extended-properties">
  <Template>Normal.dotm</Template>
  <TotalTime>104</TotalTime>
  <Pages>16</Pages>
  <Words>38613</Words>
  <Characters>22010</Characters>
  <Application>Microsoft Office Word</Application>
  <DocSecurity>0</DocSecurity>
  <Lines>183</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2017-01-13T13:43:00Z</dcterms:modified>
  <revision>20</revision>
</coreProperties>
</file>