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0fd61bdc0c449e8cb320129c5afc51"/>
        <w:lock w:val="sdtLocked"/>
        <w:richText/>
      </w:sdtPr>
      <w:sdtContent>
        <w:p>
          <w:pPr>
            <w:jc w:val="both"/>
            <w:rPr>
              <w:rFonts w:ascii="Arial" w:hAnsi="Arial"/>
            </w:rPr>
          </w:pPr>
          <w:r>
            <w:rPr>
              <w:rFonts w:ascii="Arial" w:hAnsi="Arial"/>
              <w:b/>
              <w:i/>
            </w:rPr>
            <w:t>Suvestinė redakcija nuo 2023-05-01 iki 2024-08-21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2002, Nr. </w:t>
          </w:r>
          <w:fldSimple w:instr="HYPERLINK https://www.e-tar.lt/portal/legalAct.html?documentId=TAR.A77DCEEE5DDC">
            <w:r w:rsidRPr="00532B9F">
              <w:rPr>
                <w:rFonts w:ascii="Arial" w:eastAsia="MS Mincho" w:hAnsi="Arial"/>
                <w:sz w:val="20"/>
                <w:i/>
                <w:iCs/>
                <w:color w:val="0000FF" w:themeColor="hyperlink"/>
                <w:u w:val="single"/>
              </w:rPr>
              <w:t>82-3522</w:t>
            </w:r>
          </w:fldSimple>
          <w:r>
            <w:rPr>
              <w:rFonts w:ascii="Arial" w:eastAsia="MS Mincho" w:hAnsi="Arial"/>
              <w:sz w:val="20"/>
              <w:i/>
              <w:iCs/>
            </w:rPr>
            <w:t>, i. k. 1021100NUTA00001283</w:t>
          </w:r>
        </w:p>
        <w:p>
          <w:pPr>
            <w:jc w:val="both"/>
            <w:rPr>
              <w:rFonts w:ascii="Arial" w:hAnsi="Arial"/>
              <w:sz w:val="20"/>
            </w:rPr>
          </w:pPr>
        </w:p>
        <w:p>
          <w:pPr>
            <w:rPr>
              <w:rFonts w:ascii="Arial" w:hAnsi="Arial"/>
              <w:sz w:val="20"/>
              <w:b/>
              <w:i/>
            </w:rPr>
          </w:pPr>
          <w:r>
            <w:rPr>
              <w:rFonts w:ascii="Arial" w:hAnsi="Arial"/>
              <w:sz w:val="20"/>
              <w:b/>
              <w:i/>
            </w:rPr>
            <w:t>Nauja redakcija nuo 2022-08-06:</w:t>
          </w:r>
        </w:p>
        <w:p>
          <w:pPr>
            <w:rPr>
              <w:rFonts w:ascii="Arial" w:hAnsi="Arial"/>
              <w:sz w:val="20"/>
              <w:i/>
            </w:rPr>
          </w:pPr>
          <w:r>
            <w:rPr>
              <w:rFonts w:ascii="Arial" w:hAnsi="Arial"/>
              <w:sz w:val="20"/>
              <w:i/>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pPr>
            <w:rPr>
              <w:rFonts w:ascii="Arial" w:hAnsi="Arial"/>
              <w:sz w:val="22"/>
            </w:rPr>
          </w:pPr>
        </w:p>
        <w:p>
          <w:pPr>
            <w:jc w:val="center"/>
            <w:rPr>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sdt>
          <w:sdtPr>
            <w:alias w:val="Pavadinimas"/>
            <w:tag w:val="title_2e0fd61bdc0c449e8cb320129c5afc51"/>
            <w:lock w:val="sdtLocked"/>
            <w:richText/>
          </w:sdtPr>
          <w:sdtContent>
            <w:p>
              <w:pPr>
                <w:jc w:val="center"/>
                <w:rPr>
                  <w:b/>
                  <w:caps/>
                </w:rPr>
              </w:pPr>
              <w:r>
                <w:rPr>
                  <w:b/>
                  <w:caps/>
                </w:rPr>
                <w:t xml:space="preserve">DĖL </w:t>
              </w:r>
              <w:r>
                <w:rPr>
                  <w:b/>
                  <w:caps/>
                  <w:color w:val="000000"/>
                </w:rPr>
                <w:t xml:space="preserve">atsiskaitymų už prekes ir paslaugas duomenų fiksavimo </w:t>
              </w:r>
              <w:r>
                <w:rPr>
                  <w:b/>
                  <w:caps/>
                </w:rPr>
                <w:t>TVARKOS APRAŠO PATVIRTINIMO</w:t>
              </w:r>
            </w:p>
          </w:sdtContent>
        </w:sdt>
        <w:p>
          <w:pPr>
            <w:jc w:val="center"/>
            <w:rPr>
              <w:caps/>
              <w:lang w:eastAsia="lt-LT"/>
            </w:rPr>
          </w:pPr>
        </w:p>
        <w:p>
          <w:pPr>
            <w:jc w:val="center"/>
            <w:rPr>
              <w:caps/>
              <w:lang w:eastAsia="lt-LT"/>
            </w:rPr>
          </w:pPr>
          <w:r>
            <w:rPr>
              <w:color w:val="000000"/>
            </w:rPr>
            <w:t>2002 m. rugpjūčio 13 d. Nr. 1283</w:t>
          </w:r>
        </w:p>
        <w:p>
          <w:pPr>
            <w:jc w:val="center"/>
            <w:rPr>
              <w:caps/>
              <w:lang w:eastAsia="lt-LT"/>
            </w:rPr>
          </w:pPr>
          <w:r>
            <w:rPr>
              <w:lang w:eastAsia="lt-LT"/>
            </w:rPr>
            <w:t>Vilnius</w:t>
          </w:r>
        </w:p>
        <w:p>
          <w:pPr>
            <w:jc w:val="center"/>
            <w:rPr>
              <w:caps/>
              <w:lang w:eastAsia="lt-LT"/>
            </w:rPr>
          </w:pPr>
        </w:p>
        <w:sdt>
          <w:sdtPr>
            <w:alias w:val="preambule"/>
            <w:tag w:val="part_227e242a853045a6a0256f68ccd5c6cc"/>
            <w:lock w:val="sdtLocked"/>
            <w:richText/>
          </w:sdtPr>
          <w:sdtContent>
            <w:p>
              <w:pPr>
                <w:tabs>
                  <w:tab w:val="left" w:pos="720"/>
                  <w:tab w:val="left" w:pos="1260"/>
                </w:tabs>
                <w:ind w:firstLine="720"/>
                <w:jc w:val="both"/>
                <w:rPr>
                  <w:lang w:eastAsia="lt-LT"/>
                </w:rPr>
              </w:pPr>
              <w:r>
                <w:rPr>
                  <w:lang w:eastAsia="lt-LT"/>
                </w:rPr>
                <w:t>Vadovaudamasi Lietuvos Respublikos mokesčių administravimo įstatymo 40 straipsnio 13 punktu, Lietuvos Respublikos Vyriausybė n u t a r i a:</w:t>
              </w:r>
            </w:p>
          </w:sdtContent>
        </w:sdt>
        <w:sdt>
          <w:sdtPr>
            <w:alias w:val="pastraipa"/>
            <w:tag w:val="part_d7ae5d22822648538ad49127ce60ff9c"/>
            <w:lock w:val="sdtLocked"/>
            <w:richText/>
          </w:sdtPr>
          <w:sdtContent>
            <w:p>
              <w:pPr>
                <w:tabs>
                  <w:tab w:val="left" w:pos="720"/>
                  <w:tab w:val="left" w:pos="1260"/>
                </w:tabs>
                <w:ind w:firstLine="720"/>
                <w:jc w:val="both"/>
              </w:pPr>
              <w:r>
                <w:rPr>
                  <w:lang w:eastAsia="lt-LT"/>
                </w:rPr>
                <w:t>Patvirtinti A</w:t>
              </w:r>
              <w:r>
                <w:rPr>
                  <w:color w:val="000000"/>
                </w:rPr>
                <w:t>tsiskaitymų už prekes ir paslaugas duomenų fiksavimo</w:t>
              </w:r>
              <w:r>
                <w:rPr>
                  <w:lang w:eastAsia="lt-LT"/>
                </w:rPr>
                <w:t xml:space="preserve"> tvarkos aprašą (pridedama).</w:t>
              </w:r>
              <w:r>
                <w:t xml:space="preserve"> </w:t>
              </w:r>
            </w:p>
          </w:sdtContent>
        </w:sdt>
        <w:sdt>
          <w:sdtPr>
            <w:alias w:val="signatura"/>
            <w:tag w:val="part_e75fed69317e4df391f5572de74a8c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7551d50f584b46ca90c5bcf28872e856"/>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7551d50f584b46ca90c5bcf28872e856"/>
              <w:lock w:val="sdtLocked"/>
              <w:richText/>
            </w:sdtPr>
            <w:sdtContent>
              <w:r>
                <w:rPr>
                  <w:b/>
                  <w:caps/>
                  <w:szCs w:val="24"/>
                </w:rPr>
                <w:t xml:space="preserve">ATSISKAITYMŲ UŽ PREKES IR PASLAUGAS DUOMENŲ FIKSAVIMO TVARKOS APRAŠAS </w:t>
              </w:r>
            </w:sdtContent>
          </w:sdt>
        </w:p>
        <w:p>
          <w:pPr>
            <w:jc w:val="center"/>
            <w:rPr>
              <w:b/>
              <w:caps/>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dde4a560c93042e1a3f3341f41fe6239"/>
                <w:lock w:val="sdtLocked"/>
                <w:richText/>
              </w:sdtPr>
              <w:sdtContent>
                <w:p>
                  <w:pPr>
                    <w:tabs>
                      <w:tab w:val="left" w:pos="720"/>
                      <w:tab w:val="left" w:pos="1260"/>
                    </w:tabs>
                    <w:ind w:firstLine="720"/>
                    <w:jc w:val="both"/>
                    <w:rPr>
                      <w:szCs w:val="24"/>
                    </w:rPr>
                  </w:pPr>
                  <w:sdt>
                    <w:sdtPr>
                      <w:alias w:val="Numeris"/>
                      <w:tag w:val="nr_dde4a560c93042e1a3f3341f41fe6239"/>
                      <w:lock w:val="sdtLocked"/>
                      <w:richText/>
                    </w:sdtPr>
                    <w:sdtContent>
                      <w:r>
                        <w:rPr>
                          <w:color w:val="000000"/>
                        </w:rPr>
                        <w:t>1</w:t>
                      </w:r>
                    </w:sdtContent>
                  </w:sdt>
                  <w:r>
                    <w:rPr>
                      <w:color w:val="000000"/>
                    </w:rPr>
                    <w:t>. Atsiskaitymų už prekes ir paslaugas duomenų fiksavimo tvarkos apraše (toliau – aprašas) reglamentuojama atsiskaitymų už parduodamas prekes (kai prekės superkamos, – superkamas prekes) ir teikiamas paslaugas duomenų fiksavimo naudojant kasos aparatus tvarka ir būdai, taip pat atvejai, kai kasos aparatų nereikalaujama naudoti.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0d51f4f6b2ec42b3a6d1d0ad989dbf7d"/>
                <w:lock w:val="sdtLocked"/>
                <w:richText/>
              </w:sdtPr>
              <w:sdtContent>
                <w:p>
                  <w:pPr>
                    <w:tabs>
                      <w:tab w:val="left" w:pos="720"/>
                      <w:tab w:val="left" w:pos="1260"/>
                    </w:tabs>
                    <w:ind w:firstLine="720"/>
                    <w:jc w:val="both"/>
                    <w:rPr>
                      <w:szCs w:val="24"/>
                    </w:rPr>
                  </w:pPr>
                  <w:sdt>
                    <w:sdtPr>
                      <w:alias w:val="Numeris"/>
                      <w:tag w:val="nr_0d51f4f6b2ec42b3a6d1d0ad989dbf7d"/>
                      <w:lock w:val="sdtLocked"/>
                      <w:richText/>
                    </w:sdtPr>
                    <w:sdtContent>
                      <w:r>
                        <w:rPr>
                          <w:color w:val="000000"/>
                        </w:rPr>
                        <w:t>3</w:t>
                      </w:r>
                    </w:sdtContent>
                  </w:sdt>
                  <w:r>
                    <w:rPr>
                      <w:color w:val="000000"/>
                    </w:rPr>
                    <w:t>. Apraše vartojamos sąvokos suprantamos taip, kaip jos apibrėžtos Lietuvos Respublikos finansinės apskaitos įstatyme, mokesčių įstatymuose ir kituose įstatymuose, kuriais reglamentuojamos atskiros veiklos sritys.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fc71d37294cc451b985a78a53e2af1dd"/>
                    <w:lock w:val="sdtLocked"/>
                    <w:richText/>
                  </w:sdtPr>
                  <w:sdtContent>
                    <w:p>
                      <w:pPr>
                        <w:tabs>
                          <w:tab w:val="left" w:pos="720"/>
                          <w:tab w:val="left" w:pos="1260"/>
                        </w:tabs>
                        <w:ind w:firstLine="720"/>
                        <w:jc w:val="both"/>
                        <w:rPr>
                          <w:szCs w:val="24"/>
                        </w:rPr>
                      </w:pPr>
                      <w:sdt>
                        <w:sdtPr>
                          <w:alias w:val="Numeris"/>
                          <w:tag w:val="nr_fc71d37294cc451b985a78a53e2af1dd"/>
                          <w:lock w:val="sdtLocked"/>
                          <w:richText/>
                        </w:sdtPr>
                        <w:sdtContent>
                          <w:r>
                            <w:rPr>
                              <w:color w:val="000000"/>
                            </w:rPr>
                            <w:t>23.6</w:t>
                          </w:r>
                        </w:sdtContent>
                      </w:sdt>
                      <w:r>
                        <w:rPr>
                          <w:color w:val="000000"/>
                        </w:rPr>
                        <w:t>. kai ūkio subjektai priima pinigus išrašydami finansinės apskaitos dokumentą, kuriuo pagrindžiama grynaisiais pinigais atliekama ūkinė operacija, Finansinės apskaitos įstatyme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988935bf01454bafa65c54f191ab0d79"/>
                    <w:lock w:val="sdtLocked"/>
                    <w:richText/>
                  </w:sdtPr>
                  <w:sdtContent>
                    <w:p>
                      <w:pPr>
                        <w:tabs>
                          <w:tab w:val="left" w:pos="720"/>
                          <w:tab w:val="left" w:pos="1260"/>
                        </w:tabs>
                        <w:ind w:firstLine="720"/>
                        <w:jc w:val="both"/>
                        <w:rPr>
                          <w:szCs w:val="24"/>
                        </w:rPr>
                      </w:pPr>
                      <w:sdt>
                        <w:sdtPr>
                          <w:alias w:val="Numeris"/>
                          <w:tag w:val="nr_988935bf01454bafa65c54f191ab0d79"/>
                          <w:lock w:val="sdtLocked"/>
                          <w:richText/>
                        </w:sdtPr>
                        <w:sdtContent>
                          <w:r>
                            <w:rPr>
                              <w:color w:val="000000"/>
                            </w:rPr>
                            <w:t>23.11</w:t>
                          </w:r>
                        </w:sdtContent>
                      </w:sdt>
                      <w:r>
                        <w:rPr>
                          <w:color w:val="000000"/>
                        </w:rPr>
                        <w:t>. lengvuosiuose automobiliuose, kuriais vežami keleiviai už atlygį pagal užsakymą;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f392c4cd99ff412ca302e342b70803c1"/>
                    <w:lock w:val="sdtLocked"/>
                    <w:richText/>
                  </w:sdtPr>
                  <w:sdtContent>
                    <w:p>
                      <w:pPr>
                        <w:ind w:firstLine="720"/>
                        <w:jc w:val="both"/>
                        <w:rPr>
                          <w:szCs w:val="24"/>
                        </w:rPr>
                      </w:pPr>
                      <w:sdt>
                        <w:sdtPr>
                          <w:alias w:val="Numeris"/>
                          <w:tag w:val="nr_f392c4cd99ff412ca302e342b70803c1"/>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468f98b8666c430094bcc77f9d995d8b"/>
                <w:lock w:val="sdtLocked"/>
                <w:richText/>
              </w:sdtPr>
              <w:sdtContent>
                <w:p>
                  <w:pPr>
                    <w:ind w:right="284" w:firstLine="720"/>
                    <w:jc w:val="both"/>
                    <w:rPr>
                      <w:szCs w:val="24"/>
                    </w:rPr>
                  </w:pPr>
                  <w:sdt>
                    <w:sdtPr>
                      <w:alias w:val="Numeris"/>
                      <w:tag w:val="nr_468f98b8666c430094bcc77f9d995d8b"/>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FD1285930C1">
            <w:r w:rsidRPr="00532B9F">
              <w:rPr>
                <w:rFonts w:ascii="Arial" w:eastAsia="MS Mincho" w:hAnsi="Arial"/>
                <w:sz w:val="20"/>
                <w:iCs/>
                <w:color w:val="0000FF" w:themeColor="hyperlink"/>
                <w:u w:val="single"/>
              </w:rPr>
              <w:t>1799</w:t>
            </w:r>
          </w:fldSimple>
          <w:r>
            <w:rPr>
              <w:rFonts w:ascii="Arial" w:eastAsia="MS Mincho" w:hAnsi="Arial"/>
              <w:sz w:val="20"/>
              <w:iCs/>
            </w:rPr>
            <w:t>,
2002-11-19,
Žin., 2002, Nr.
112-4994 (2002-11-22), i. k. 1021100NUTA00001799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A87D9530D9A">
            <w:r w:rsidRPr="00532B9F">
              <w:rPr>
                <w:rFonts w:ascii="Arial" w:eastAsia="MS Mincho" w:hAnsi="Arial"/>
                <w:sz w:val="20"/>
                <w:iCs/>
                <w:color w:val="0000FF" w:themeColor="hyperlink"/>
                <w:u w:val="single"/>
              </w:rPr>
              <w:t>1345</w:t>
            </w:r>
          </w:fldSimple>
          <w:r>
            <w:rPr>
              <w:rFonts w:ascii="Arial" w:eastAsia="MS Mincho" w:hAnsi="Arial"/>
              <w:sz w:val="20"/>
              <w:iCs/>
            </w:rPr>
            <w:t>,
2003-10-29,
Žin., 2003, Nr.
102-4606 (2003-10-31), i. k. 1031100NUTA00001345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CD8E6EDCEB7">
            <w:r w:rsidRPr="00532B9F">
              <w:rPr>
                <w:rFonts w:ascii="Arial" w:eastAsia="MS Mincho" w:hAnsi="Arial"/>
                <w:sz w:val="20"/>
                <w:iCs/>
                <w:color w:val="0000FF" w:themeColor="hyperlink"/>
                <w:u w:val="single"/>
              </w:rPr>
              <w:t>1250</w:t>
            </w:r>
          </w:fldSimple>
          <w:r>
            <w:rPr>
              <w:rFonts w:ascii="Arial" w:eastAsia="MS Mincho" w:hAnsi="Arial"/>
              <w:sz w:val="20"/>
              <w:iCs/>
            </w:rPr>
            <w:t>,
2004-10-05,
Žin., 2004, Nr.
148-5361 (2004-10-07), i. k. 1041100NUTA00001250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D8D90D42D3C">
            <w:r w:rsidRPr="00532B9F">
              <w:rPr>
                <w:rFonts w:ascii="Arial" w:eastAsia="MS Mincho" w:hAnsi="Arial"/>
                <w:sz w:val="20"/>
                <w:iCs/>
                <w:color w:val="0000FF" w:themeColor="hyperlink"/>
                <w:u w:val="single"/>
              </w:rPr>
              <w:t>844</w:t>
            </w:r>
          </w:fldSimple>
          <w:r>
            <w:rPr>
              <w:rFonts w:ascii="Arial" w:eastAsia="MS Mincho" w:hAnsi="Arial"/>
              <w:sz w:val="20"/>
              <w:iCs/>
            </w:rPr>
            <w:t>,
2005-08-08,
Žin., 2005, Nr.
97-3654 (2005-08-11), i. k. 1051100NUTA00000844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70C501375D9">
            <w:r w:rsidRPr="00532B9F">
              <w:rPr>
                <w:rFonts w:ascii="Arial" w:eastAsia="MS Mincho" w:hAnsi="Arial"/>
                <w:sz w:val="20"/>
                <w:iCs/>
                <w:color w:val="0000FF" w:themeColor="hyperlink"/>
                <w:u w:val="single"/>
              </w:rPr>
              <w:t>491</w:t>
            </w:r>
          </w:fldSimple>
          <w:r>
            <w:rPr>
              <w:rFonts w:ascii="Arial" w:eastAsia="MS Mincho" w:hAnsi="Arial"/>
              <w:sz w:val="20"/>
              <w:iCs/>
            </w:rPr>
            <w:t>,
2008-05-21,
Žin., 2008, Nr.
61-2315 (2008-05-29), i. k. 1081100NUTA00000491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B3E70D92438">
            <w:r w:rsidRPr="00532B9F">
              <w:rPr>
                <w:rFonts w:ascii="Arial" w:eastAsia="MS Mincho" w:hAnsi="Arial"/>
                <w:sz w:val="20"/>
                <w:iCs/>
                <w:color w:val="0000FF" w:themeColor="hyperlink"/>
                <w:u w:val="single"/>
              </w:rPr>
              <w:t>1193</w:t>
            </w:r>
          </w:fldSimple>
          <w:r>
            <w:rPr>
              <w:rFonts w:ascii="Arial" w:eastAsia="MS Mincho" w:hAnsi="Arial"/>
              <w:sz w:val="20"/>
              <w:iCs/>
            </w:rPr>
            <w:t>,
2009-09-30,
Žin., 2009, Nr.
118-5070 (2009-10-03), i. k. 1091100NUTA00001193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A5BC91B0497">
            <w:r w:rsidRPr="00532B9F">
              <w:rPr>
                <w:rFonts w:ascii="Arial" w:eastAsia="MS Mincho" w:hAnsi="Arial"/>
                <w:sz w:val="20"/>
                <w:iCs/>
                <w:color w:val="0000FF" w:themeColor="hyperlink"/>
                <w:u w:val="single"/>
              </w:rPr>
              <w:t>5</w:t>
            </w:r>
          </w:fldSimple>
          <w:r>
            <w:rPr>
              <w:rFonts w:ascii="Arial" w:eastAsia="MS Mincho" w:hAnsi="Arial"/>
              <w:sz w:val="20"/>
              <w:iCs/>
            </w:rPr>
            <w:t>,
2011-01-12,
Žin., 2011, Nr.
6-215 (2011-01-15), i. k. 1111100NUTA00000005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CBC7514CE2D">
            <w:r w:rsidRPr="00532B9F">
              <w:rPr>
                <w:rFonts w:ascii="Arial" w:eastAsia="MS Mincho" w:hAnsi="Arial"/>
                <w:sz w:val="20"/>
                <w:iCs/>
                <w:color w:val="0000FF" w:themeColor="hyperlink"/>
                <w:u w:val="single"/>
              </w:rPr>
              <w:t>297</w:t>
            </w:r>
          </w:fldSimple>
          <w:r>
            <w:rPr>
              <w:rFonts w:ascii="Arial" w:eastAsia="MS Mincho" w:hAnsi="Arial"/>
              <w:sz w:val="20"/>
              <w:iCs/>
            </w:rPr>
            <w:t>,
2011-03-16,
Žin., 2011, Nr.
33-1543 (2011-03-19), i. k. 1111100NUTA00000297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22830B28690F">
            <w:r w:rsidRPr="00532B9F">
              <w:rPr>
                <w:rFonts w:ascii="Arial" w:eastAsia="MS Mincho" w:hAnsi="Arial"/>
                <w:sz w:val="20"/>
                <w:iCs/>
                <w:color w:val="0000FF" w:themeColor="hyperlink"/>
                <w:u w:val="single"/>
              </w:rPr>
              <w:t>661</w:t>
            </w:r>
          </w:fldSimple>
          <w:r>
            <w:rPr>
              <w:rFonts w:ascii="Arial" w:eastAsia="MS Mincho" w:hAnsi="Arial"/>
              <w:sz w:val="20"/>
              <w:iCs/>
            </w:rPr>
            <w:t>,
2011-06-08,
Žin., 2011, Nr.
71-3406 (2011-06-11), i. k. 1111100NUTA00000661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3432EF1E5A8">
            <w:r w:rsidRPr="00532B9F">
              <w:rPr>
                <w:rFonts w:ascii="Arial" w:eastAsia="MS Mincho" w:hAnsi="Arial"/>
                <w:sz w:val="20"/>
                <w:iCs/>
                <w:color w:val="0000FF" w:themeColor="hyperlink"/>
                <w:u w:val="single"/>
              </w:rPr>
              <w:t>1262</w:t>
            </w:r>
          </w:fldSimple>
          <w:r>
            <w:rPr>
              <w:rFonts w:ascii="Arial" w:eastAsia="MS Mincho" w:hAnsi="Arial"/>
              <w:sz w:val="20"/>
              <w:iCs/>
            </w:rPr>
            <w:t>,
2011-10-27,
Žin., 2011, Nr.
133-6317 (2011-11-08), i. k. 1111100NUTA00001262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7BF4A922BC55">
            <w:r w:rsidRPr="00532B9F">
              <w:rPr>
                <w:rFonts w:ascii="Arial" w:eastAsia="MS Mincho" w:hAnsi="Arial"/>
                <w:sz w:val="20"/>
                <w:iCs/>
                <w:color w:val="0000FF" w:themeColor="hyperlink"/>
                <w:u w:val="single"/>
              </w:rPr>
              <w:t>566</w:t>
            </w:r>
          </w:fldSimple>
          <w:r>
            <w:rPr>
              <w:rFonts w:ascii="Arial" w:eastAsia="MS Mincho" w:hAnsi="Arial"/>
              <w:sz w:val="20"/>
              <w:iCs/>
            </w:rPr>
            <w:t>,
2012-05-23,
Žin., 2012, Nr.
60-3024 (2012-05-26), i. k. 1121100NUTA00000566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A1FCC92715F">
            <w:r w:rsidRPr="00532B9F">
              <w:rPr>
                <w:rFonts w:ascii="Arial" w:eastAsia="MS Mincho" w:hAnsi="Arial"/>
                <w:sz w:val="20"/>
                <w:iCs/>
                <w:color w:val="0000FF" w:themeColor="hyperlink"/>
                <w:u w:val="single"/>
              </w:rPr>
              <w:t>852</w:t>
            </w:r>
          </w:fldSimple>
          <w:r>
            <w:rPr>
              <w:rFonts w:ascii="Arial" w:eastAsia="MS Mincho" w:hAnsi="Arial"/>
              <w:sz w:val="20"/>
              <w:iCs/>
            </w:rPr>
            <w:t>,
2012-07-11,
Žin., 2012, Nr.
83-4375 (2012-07-14), i. k. 1121100NUTA00000852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ir kai kurių jį keitusių nutarimų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35ab4b05b6511e487eff7b424bd0f08">
            <w:r w:rsidRPr="00532B9F">
              <w:rPr>
                <w:rFonts w:ascii="Arial" w:eastAsia="MS Mincho" w:hAnsi="Arial"/>
                <w:sz w:val="20"/>
                <w:iCs/>
                <w:color w:val="0000FF" w:themeColor="hyperlink"/>
                <w:u w:val="single"/>
              </w:rPr>
              <w:t>1152</w:t>
            </w:r>
          </w:fldSimple>
          <w:r>
            <w:rPr>
              <w:rFonts w:ascii="Arial" w:eastAsia="MS Mincho" w:hAnsi="Arial"/>
              <w:sz w:val="20"/>
              <w:iCs/>
            </w:rPr>
            <w:t>,
2014-10-22,
paskelbta TAR 2014-10-24, i. k. 2014-14808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351b30d8b711e68d79c2033f194657">
            <w:r w:rsidRPr="00532B9F">
              <w:rPr>
                <w:rFonts w:ascii="Arial" w:eastAsia="MS Mincho" w:hAnsi="Arial"/>
                <w:sz w:val="20"/>
                <w:iCs/>
                <w:color w:val="0000FF" w:themeColor="hyperlink"/>
                <w:u w:val="single"/>
              </w:rPr>
              <w:t>12</w:t>
            </w:r>
          </w:fldSimple>
          <w:r>
            <w:rPr>
              <w:rFonts w:ascii="Arial" w:eastAsia="MS Mincho" w:hAnsi="Arial"/>
              <w:sz w:val="20"/>
              <w:iCs/>
            </w:rPr>
            <w:t>,
2017-01-11,
paskelbta TAR 2017-01-12, i. k. 2017-00814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f58a1f0d8df11e8a1baff673bb7216a">
            <w:r w:rsidRPr="00532B9F">
              <w:rPr>
                <w:rFonts w:ascii="Arial" w:eastAsia="MS Mincho" w:hAnsi="Arial"/>
                <w:sz w:val="20"/>
                <w:iCs/>
                <w:color w:val="0000FF" w:themeColor="hyperlink"/>
                <w:u w:val="single"/>
              </w:rPr>
              <w:t>1056</w:t>
            </w:r>
          </w:fldSimple>
          <w:r>
            <w:rPr>
              <w:rFonts w:ascii="Arial" w:eastAsia="MS Mincho" w:hAnsi="Arial"/>
              <w:sz w:val="20"/>
              <w:iCs/>
            </w:rPr>
            <w:t>,
2018-10-24,
paskelbta TAR 2018-10-26, i. k. 2018-16831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7994b022f411eabe008ea93139d588">
            <w:r w:rsidRPr="00532B9F">
              <w:rPr>
                <w:rFonts w:ascii="Arial" w:eastAsia="MS Mincho" w:hAnsi="Arial"/>
                <w:sz w:val="20"/>
                <w:iCs/>
                <w:color w:val="0000FF" w:themeColor="hyperlink"/>
                <w:u w:val="single"/>
              </w:rPr>
              <w:t>1297</w:t>
            </w:r>
          </w:fldSimple>
          <w:r>
            <w:rPr>
              <w:rFonts w:ascii="Arial" w:eastAsia="MS Mincho" w:hAnsi="Arial"/>
              <w:sz w:val="20"/>
              <w:iCs/>
            </w:rPr>
            <w:t>,
2019-12-18,
paskelbta TAR 2019-12-20, i. k. 2019-20779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241e340905911eb9fecb5ecd3bd711c">
            <w:r w:rsidRPr="00532B9F">
              <w:rPr>
                <w:rFonts w:ascii="Arial" w:eastAsia="MS Mincho" w:hAnsi="Arial"/>
                <w:sz w:val="20"/>
                <w:iCs/>
                <w:color w:val="0000FF" w:themeColor="hyperlink"/>
                <w:u w:val="single"/>
              </w:rPr>
              <w:t>180</w:t>
            </w:r>
          </w:fldSimple>
          <w:r>
            <w:rPr>
              <w:rFonts w:ascii="Arial" w:eastAsia="MS Mincho" w:hAnsi="Arial"/>
              <w:sz w:val="20"/>
              <w:iCs/>
            </w:rPr>
            <w:t>,
2021-03-24,
paskelbta TAR 2021-03-29, i. k. 2021-06231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ec2f91014b111edb4cae1b158f98ea5">
            <w:r w:rsidRPr="00532B9F">
              <w:rPr>
                <w:rFonts w:ascii="Arial" w:eastAsia="MS Mincho" w:hAnsi="Arial"/>
                <w:sz w:val="20"/>
                <w:iCs/>
                <w:color w:val="0000FF" w:themeColor="hyperlink"/>
                <w:u w:val="single"/>
              </w:rPr>
              <w:t>808</w:t>
            </w:r>
          </w:fldSimple>
          <w:r>
            <w:rPr>
              <w:rFonts w:ascii="Arial" w:eastAsia="MS Mincho" w:hAnsi="Arial"/>
              <w:sz w:val="20"/>
              <w:iCs/>
            </w:rPr>
            <w:t>,
2022-08-03,
paskelbta TAR 2022-08-05, i. k. 2022-16803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14668"/>
  <w15:docId w15:val="{32C16EF9-85D9-433C-A103-2A63B635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8.xml"/>
  <Relationship Id="rId16" Type="http://schemas.openxmlformats.org/officeDocument/2006/relationships/header" Target="header29.xml"/>
  <Relationship Id="rId17" Type="http://schemas.openxmlformats.org/officeDocument/2006/relationships/footer" Target="footer28.xml"/>
  <Relationship Id="rId18" Type="http://schemas.openxmlformats.org/officeDocument/2006/relationships/footer" Target="footer29.xml"/>
  <Relationship Id="rId19" Type="http://schemas.openxmlformats.org/officeDocument/2006/relationships/header" Target="header30.xml"/>
  <Relationship Id="rId2" Type="http://schemas.openxmlformats.org/officeDocument/2006/relationships/header" Target="header14.xml"/>
  <Relationship Id="rId20" Type="http://schemas.openxmlformats.org/officeDocument/2006/relationships/footer" Target="footer30.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SISKAITYMŲ UŽ PREKES IR PASLAUGAS DUOMENŲ FIKSAVIMO TVARKOS APRAŠO PATVIRTINIMO" DocPartId="5d3f046377954fecb9aabd89ffe981aa" PartId="2e0fd61bdc0c449e8cb320129c5afc51">
    <Part Type="preambule" DocPartId="24c3fc1972f34eae90b23d81142ae96d" PartId="227e242a853045a6a0256f68ccd5c6cc"/>
    <Part Type="pastraipa" DocPartId="8f0709f678c3418fa817787bc3c174ef" PartId="d7ae5d22822648538ad49127ce60ff9c"/>
    <Part Type="signatura" DocPartId="951dd406c87744e6b8b7ffb02073c98d" PartId="e75fed69317e4df391f5572de74a8c58"/>
  </Part>
  <Part Type="patvirtinta" Title="„ATSISKAITYMŲ UŽ PREKES IR PASLAUGAS DUOMENŲ FIKSAVIMO TVARKOS APRAŠAS“." DocPartId="f77584df7ba84729a2afe0288d48842a" PartId="7551d50f584b46ca90c5bcf28872e856">
    <Part Type="skyrius" Nr="1" Title="BENDROSIOS NUOSTATOS" DocPartId="e4166d6bfb5042908dd205b5862ace06" PartId="f03f1c73f69a45ab99017f6f5ec023a1">
      <Part Type="punktas" Nr="1" Abbr="1 p." DocPartId="3c787bf529c648628ac824d6785b717d" PartId="dde4a560c93042e1a3f3341f41fe6239"/>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0d51f4f6b2ec42b3a6d1d0ad989dbf7d"/>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fc71d37294cc451b985a78a53e2af1dd"/>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988935bf01454bafa65c54f191ab0d79"/>
        <Part Type="papunktis" Nr="23.12" Abbr="23.12 pp." DocPartId="356e6785a047458699448342a5faf3df" PartId="a1be933fc2dc479d8a97ac847743dca5"/>
        <Part Type="papunktis" Nr="23.13" Abbr="23.13 pp." DocPartId="7c5cc41e96234886b82c2e9703cde6ca" PartId="65ead39076a349a58293b9281eb33585"/>
        <Part Type="papunktis" Nr="23.14" Abbr="23.14 pp." DocPartId="8c5026c040b34889b8dfa2c27317719e" PartId="f392c4cd99ff412ca302e342b70803c1"/>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468f98b8666c430094bcc77f9d995d8b"/>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AFD17613-7033-4DF0-9567-77F63E27ACAA}">
  <ds:schemaRefs>
    <ds:schemaRef ds:uri="http://lrs.lt/TAIS/DocParts"/>
  </ds:schemaRefs>
</ds:datastoreItem>
</file>

<file path=docProps/app.xml><?xml version="1.0" encoding="utf-8"?>
<Properties xmlns="http://schemas.openxmlformats.org/officeDocument/2006/extended-properties">
  <Template>Normal.dotm</Template>
  <TotalTime>115</TotalTime>
  <Pages>7</Pages>
  <Words>15015</Words>
  <Characters>8560</Characters>
  <Application>Microsoft Office Word</Application>
  <DocSecurity>0</DocSecurity>
  <Lines>71</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23528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2022-08-09T06:03:00Z</dcterms:modified>
  <revision>29</revision>
</coreProperties>
</file>