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d1c4568a6444a53ad8acde253b53891"/>
        <w:lock w:val="sdtLocked"/>
        <w:richText/>
      </w:sdtPr>
      <w:sdtContent>
        <w:p>
          <w:pPr>
            <w:jc w:val="both"/>
            <w:rPr>
              <w:rFonts w:ascii="Times New Roman" w:hAnsi="Times New Roman"/>
            </w:rPr>
          </w:pPr>
          <w:r>
            <w:rPr>
              <w:rFonts w:ascii="Times New Roman" w:hAnsi="Times New Roman"/>
              <w:b/>
              <w:i/>
            </w:rPr>
            <w:t>Suvestinė redakcija nuo 2012-05-27 iki 2012-07-14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6123195D">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5d1c4568a6444a53ad8acde253b53891"/>
            <w:lock w:val="sdtLocked"/>
            <w:richText/>
          </w:sdtPr>
          <w:sdtContent>
            <w:p>
              <w:pPr>
                <w:jc w:val="center"/>
                <w:rPr>
                  <w:b/>
                  <w:color w:val="000000"/>
                </w:rPr>
              </w:pPr>
              <w:r>
                <w:rPr>
                  <w:b/>
                  <w:color w:val="000000"/>
                </w:rPr>
                <w:t xml:space="preserve">DĖL KASOS APARATŲ DIEGIMO IR NAUDOJIMO TVARKOS APRAŠO PATVIRTINIMO </w:t>
              </w:r>
            </w:p>
          </w:sdtContent>
        </w:sdt>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1fe1716890fb4396b0b8ec91f102340a"/>
            <w:lock w:val="sdtLocked"/>
            <w:richText/>
          </w:sdtPr>
          <w:sdtContent>
            <w:p>
              <w:pPr>
                <w:ind w:firstLine="709"/>
                <w:jc w:val="both"/>
              </w:pPr>
              <w:sdt>
                <w:sdtPr>
                  <w:alias w:val="Numeris"/>
                  <w:tag w:val="nr_1fe1716890fb4396b0b8ec91f102340a"/>
                  <w:lock w:val="sdtLocked"/>
                  <w:richText/>
                </w:sdtPr>
                <w:sdtContent>
                  <w:r>
                    <w:rPr>
                      <w:color w:val="000000"/>
                    </w:rPr>
                    <w:t>1</w:t>
                  </w:r>
                </w:sdtContent>
              </w:sdt>
              <w:r>
                <w:rPr>
                  <w:color w:val="000000"/>
                </w:rPr>
                <w:t xml:space="preserve">. Patvirtinti Kasos aparatų diegimo ir naudojimo tvarkos aprašą (pridedama).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73e5880dfe454ab0867d8feb63a02abf"/>
                <w:lock w:val="sdtLocked"/>
                <w:richText/>
              </w:sdtPr>
              <w:sdtContent>
                <w:p>
                  <w:pPr>
                    <w:ind w:firstLine="708"/>
                    <w:jc w:val="both"/>
                    <w:rPr>
                      <w:color w:val="000000"/>
                    </w:rPr>
                  </w:pPr>
                  <w:sdt>
                    <w:sdtPr>
                      <w:alias w:val="Numeris"/>
                      <w:tag w:val="nr_73e5880dfe454ab0867d8feb63a02abf"/>
                      <w:lock w:val="sdtLocked"/>
                      <w:richText/>
                    </w:sdtPr>
                    <w:sdtContent>
                      <w:r>
                        <w:rPr>
                          <w:color w:val="000000"/>
                        </w:rPr>
                        <w:t>2.1</w:t>
                      </w:r>
                    </w:sdtContent>
                  </w:sdt>
                  <w:r>
                    <w:rPr>
                      <w:color w:val="000000"/>
                    </w:rPr>
                    <w:t>. Finansų ministerijai parengti ir patvirtinti:</w:t>
                  </w:r>
                </w:p>
                <w:sdt>
                  <w:sdtPr>
                    <w:alias w:val="2.1.1 p."/>
                    <w:tag w:val="part_1c8e90d4a016436d8a31a32a2214444e"/>
                    <w:lock w:val="sdtLocked"/>
                    <w:richText/>
                  </w:sdtPr>
                  <w:sdtContent>
                    <w:p>
                      <w:pPr>
                        <w:ind w:firstLine="708"/>
                        <w:jc w:val="both"/>
                        <w:rPr>
                          <w:color w:val="000000"/>
                        </w:rPr>
                      </w:pPr>
                      <w:sdt>
                        <w:sdtPr>
                          <w:alias w:val="Numeris"/>
                          <w:tag w:val="nr_1c8e90d4a016436d8a31a32a2214444e"/>
                          <w:lock w:val="sdtLocked"/>
                          <w:richText/>
                        </w:sdtPr>
                        <w:sdtContent>
                          <w:r>
                            <w:rPr>
                              <w:color w:val="000000"/>
                            </w:rPr>
                            <w:t>2.1.1</w:t>
                          </w:r>
                        </w:sdtContent>
                      </w:sdt>
                      <w:r>
                        <w:rPr>
                          <w:color w:val="000000"/>
                        </w:rPr>
                        <w:t>. Pinigų priėmimo ir pinigų išmokėjimo kvitų naudojimo, išrašymo ir apskaitos taisykles;</w:t>
                      </w:r>
                    </w:p>
                  </w:sdtContent>
                </w:sdt>
                <w:sdt>
                  <w:sdtPr>
                    <w:alias w:val="2.1.2 p."/>
                    <w:tag w:val="part_63d718286ff14fa38cb62f811e6fd9cd"/>
                    <w:lock w:val="sdtLocked"/>
                    <w:richText/>
                  </w:sdtPr>
                  <w:sdtContent>
                    <w:p>
                      <w:pPr>
                        <w:ind w:firstLine="708"/>
                        <w:jc w:val="both"/>
                      </w:pPr>
                      <w:sdt>
                        <w:sdtPr>
                          <w:alias w:val="Numeris"/>
                          <w:tag w:val="nr_63d718286ff14fa38cb62f811e6fd9cd"/>
                          <w:lock w:val="sdtLocked"/>
                          <w:richText/>
                        </w:sdtPr>
                        <w:sdtContent>
                          <w:r>
                            <w:rPr>
                              <w:color w:val="000000"/>
                            </w:rPr>
                            <w:t>2.1.2</w:t>
                          </w:r>
                        </w:sdtContent>
                      </w:sdt>
                      <w:r>
                        <w:rPr>
                          <w:color w:val="000000"/>
                        </w:rPr>
                        <w:t>. Bilietų naudojimo ir apskaitos taisykles;</w:t>
                      </w:r>
                      <w:r>
                        <w:t xml:space="preserve"> </w:t>
                      </w:r>
                    </w:p>
                  </w:sdtContent>
                </w:sdt>
                <w:sdt>
                  <w:sdtPr>
                    <w:alias w:val="2.1.3 p."/>
                    <w:tag w:val="part_317a7eeef290488eb716f4a6608cf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eastAsia="MS Mincho" w:hAnsi="Times New Roman"/>
                          <w:sz w:val="20"/>
                          <w:i/>
                          <w:iCs/>
                        </w:rPr>
                        <w:t xml:space="preserve"> Neteko galios nuo 2005-08-12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a16f31ea3a924c60ba950231ad85ffb2"/>
                        <w:lock w:val="sdtLocked"/>
                        <w:richText/>
                      </w:sdtPr>
                      <w:sdtContent>
                        <w:p>
                          <w:pPr>
                            <w:ind w:firstLine="709"/>
                            <w:jc w:val="both"/>
                          </w:pPr>
                          <w:sdt>
                            <w:sdtPr>
                              <w:alias w:val="Numeris"/>
                              <w:tag w:val="nr_a16f31ea3a924c60ba950231ad85ffb2"/>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9019ad9de0a6479796b62c1f56c94fe2"/>
                        <w:lock w:val="sdtLocked"/>
                        <w:richText/>
                      </w:sdtPr>
                      <w:sdtContent>
                        <w:p>
                          <w:pPr>
                            <w:ind w:firstLine="709"/>
                            <w:jc w:val="both"/>
                          </w:pPr>
                          <w:sdt>
                            <w:sdtPr>
                              <w:alias w:val="Numeris"/>
                              <w:tag w:val="nr_9019ad9de0a6479796b62c1f56c94fe2"/>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955882adfd99413b88cd8e2931f4790e"/>
                        <w:lock w:val="sdtLocked"/>
                        <w:richText/>
                      </w:sdtPr>
                      <w:sdtContent>
                        <w:p>
                          <w:pPr>
                            <w:ind w:firstLine="708"/>
                            <w:jc w:val="both"/>
                          </w:pPr>
                          <w:sdt>
                            <w:sdtPr>
                              <w:alias w:val="Numeris"/>
                              <w:tag w:val="nr_955882adfd99413b88cd8e2931f4790e"/>
                              <w:lock w:val="sdtLocked"/>
                              <w:richText/>
                            </w:sdtPr>
                            <w:sdtContent>
                              <w:r>
                                <w:rPr>
                                  <w:color w:val="000000"/>
                                </w:rPr>
                                <w:t>2.2.2</w:t>
                              </w:r>
                            </w:sdtContent>
                          </w:sdt>
                          <w:r>
                            <w:t>.5</w:t>
                          </w:r>
                          <w:r>
                            <w:rPr>
                              <w:color w:val="000000"/>
                            </w:rPr>
                            <w:t>. Specialių lipdukų (plombų) gamybos, įsigijimo, apskaitos ir naudojimo (plombavimo)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sdt>
                  <w:sdtPr>
                    <w:alias w:val="2.3.3 p."/>
                    <w:tag w:val="part_91b8e7ab6c214f9499682bc4d1c3f38f"/>
                    <w:lock w:val="sdtLocked"/>
                    <w:richText/>
                  </w:sdtPr>
                  <w:sdtContent>
                    <w:p>
                      <w:pPr>
                        <w:ind w:firstLine="708"/>
                        <w:jc w:val="both"/>
                      </w:pPr>
                      <w:sdt>
                        <w:sdtPr>
                          <w:alias w:val="Numeris"/>
                          <w:tag w:val="nr_91b8e7ab6c214f9499682bc4d1c3f38f"/>
                          <w:lock w:val="sdtLocked"/>
                          <w:richText/>
                        </w:sdtPr>
                        <w:sdtContent>
                          <w:r>
                            <w:rPr>
                              <w:color w:val="000000"/>
                            </w:rPr>
                            <w:t>2.3.3</w:t>
                          </w:r>
                        </w:sdtContent>
                      </w:sdt>
                      <w:r>
                        <w:rPr>
                          <w:color w:val="000000"/>
                        </w:rPr>
                        <w:t>. iki 2004 m. gruodžio 31 d. parengti, patvirtinti ir paskelbti „Valstybės žiniose“ Kasos aparatų ir su jais susijusių įrenginių techninės priežiūros bei remonto darbų sertifikavimo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a712c9acf17041638aa0b7674fad5344"/>
            <w:lock w:val="sdtLocked"/>
            <w:richText/>
          </w:sdtPr>
          <w:sdtContent>
            <w:p>
              <w:pPr>
                <w:ind w:firstLine="709"/>
                <w:jc w:val="both"/>
                <w:rPr>
                  <w:color w:val="000000"/>
                </w:rPr>
              </w:pPr>
              <w:sdt>
                <w:sdtPr>
                  <w:alias w:val="Numeris"/>
                  <w:tag w:val="nr_a712c9acf17041638aa0b7674fad5344"/>
                  <w:lock w:val="sdtLocked"/>
                  <w:richText/>
                </w:sdtPr>
                <w:sdtContent>
                  <w:r>
                    <w:rPr>
                      <w:color w:val="000000"/>
                    </w:rPr>
                    <w:t>3</w:t>
                  </w:r>
                </w:sdtContent>
              </w:sdt>
              <w:r>
                <w:rPr>
                  <w:color w:val="000000"/>
                </w:rPr>
                <w:t>. Nustatyti, kad ministerijos ir kitos valstybės institucijos jų reguliavimo sričiai priskirtų rūšių veiklai vykdyti gali:</w:t>
              </w:r>
            </w:p>
            <w:sdt>
              <w:sdtPr>
                <w:alias w:val="3.1 p."/>
                <w:tag w:val="part_4be8652663bc44cb9446f6a3e791cbc1"/>
                <w:lock w:val="sdtLocked"/>
                <w:richText/>
              </w:sdtPr>
              <w:sdtContent>
                <w:p>
                  <w:pPr>
                    <w:ind w:firstLine="709"/>
                    <w:jc w:val="both"/>
                    <w:rPr>
                      <w:color w:val="000000"/>
                    </w:rPr>
                  </w:pPr>
                  <w:sdt>
                    <w:sdtPr>
                      <w:alias w:val="Numeris"/>
                      <w:tag w:val="nr_4be8652663bc44cb9446f6a3e791cbc1"/>
                      <w:lock w:val="sdtLocked"/>
                      <w:richText/>
                    </w:sdtPr>
                    <w:sdtContent>
                      <w:r>
                        <w:rPr>
                          <w:color w:val="000000"/>
                        </w:rPr>
                        <w:t>3.1</w:t>
                      </w:r>
                    </w:sdtContent>
                  </w:sdt>
                  <w:r>
                    <w:rPr>
                      <w:color w:val="000000"/>
                    </w:rPr>
                    <w:t>. suderinusios su Valstybine mokesčių inspekcija, nustatyti papildomus privalomus kasos aparatų kvituose ir ataskaitose spausdinamus rekvizitus ir (ar) papildomas tokiems kasos aparatams privalomas vykdyti funkcijas, taip pat kitus specialius kasos aparatų naudojimo reikalavimus;</w:t>
                  </w:r>
                </w:p>
              </w:sdtContent>
            </w:sdt>
            <w:sdt>
              <w:sdtPr>
                <w:alias w:val="3.2 p."/>
                <w:tag w:val="part_c816320e617a4f1cb71bde909653218b"/>
                <w:lock w:val="sdtLocked"/>
                <w:richText/>
              </w:sdtPr>
              <w:sdtContent>
                <w:p>
                  <w:pPr>
                    <w:ind w:firstLine="708"/>
                    <w:jc w:val="both"/>
                  </w:pPr>
                  <w:sdt>
                    <w:sdtPr>
                      <w:alias w:val="Numeris"/>
                      <w:tag w:val="nr_c816320e617a4f1cb71bde909653218b"/>
                      <w:lock w:val="sdtLocked"/>
                      <w:richText/>
                    </w:sdtPr>
                    <w:sdtContent>
                      <w:r>
                        <w:rPr>
                          <w:color w:val="000000"/>
                        </w:rPr>
                        <w:t>3.2</w:t>
                      </w:r>
                    </w:sdtContent>
                  </w:sdt>
                  <w:r>
                    <w:rPr>
                      <w:color w:val="000000"/>
                    </w:rPr>
                    <w:t>. suderinusios su Finansų ministerija, nustatyti pavyzdinės formos apskaitos dokumentą, naudojamą vietoj pinigų priėmimo (pinigų išmokėjimo) kvito. Toks apskaitos dokumentas privalo turėti visus 2.1.1 punkte nurodytose taisyklėse nustatytus pinigų priėmimo (pinigų išmokėjimo) kvito privalomus rekvizitus.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815c8b0b74e142c1b9845c423526adec"/>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815c8b0b74e142c1b9845c423526adec"/>
              <w:lock w:val="sdtLocked"/>
              <w:richText/>
            </w:sdtPr>
            <w:sdtContent>
              <w:r>
                <w:rPr>
                  <w:b/>
                  <w:color w:val="000000"/>
                </w:rPr>
                <w:t xml:space="preserve">KASOS APARATŲ DIEGIMO IR NAUDOJIMO TVARKOS APRAŠAS </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3f625aa2d57b45b2bb06d2a88be7a02d"/>
                <w:lock w:val="sdtLocked"/>
                <w:richText/>
              </w:sdtPr>
              <w:sdtContent>
                <w:p>
                  <w:pPr>
                    <w:ind w:firstLine="709"/>
                    <w:jc w:val="both"/>
                  </w:pPr>
                  <w:sdt>
                    <w:sdtPr>
                      <w:alias w:val="Numeris"/>
                      <w:tag w:val="nr_3f625aa2d57b45b2bb06d2a88be7a02d"/>
                      <w:lock w:val="sdtLocked"/>
                      <w:richText/>
                    </w:sdtPr>
                    <w:sdtContent>
                      <w:r>
                        <w:rPr>
                          <w:color w:val="000000"/>
                        </w:rPr>
                        <w:t>1</w:t>
                      </w:r>
                    </w:sdtContent>
                  </w:sdt>
                  <w:r>
                    <w:rPr>
                      <w:color w:val="000000"/>
                    </w:rPr>
                    <w:t xml:space="preserve">. Šis aprašas reglamentuoja kasos aparatų Lietuvos Respublikoje įrengimo, naudojimo, aptarnavimo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41c92f39779b4ae8a8b7d1bcd5b1a00b"/>
                <w:lock w:val="sdtLocked"/>
                <w:richText/>
              </w:sdtPr>
              <w:sdtContent>
                <w:p>
                  <w:pPr>
                    <w:ind w:firstLine="708"/>
                    <w:jc w:val="both"/>
                  </w:pPr>
                  <w:sdt>
                    <w:sdtPr>
                      <w:alias w:val="Numeris"/>
                      <w:tag w:val="nr_41c92f39779b4ae8a8b7d1bcd5b1a00b"/>
                      <w:lock w:val="sdtLocked"/>
                      <w:richText/>
                    </w:sdtPr>
                    <w:sdtContent>
                      <w:r>
                        <w:rPr>
                          <w:color w:val="000000"/>
                        </w:rPr>
                        <w:t>2</w:t>
                      </w:r>
                    </w:sdtContent>
                  </w:sdt>
                  <w:r>
                    <w:rPr>
                      <w:color w:val="000000"/>
                    </w:rPr>
                    <w:t>. Šio Aprašo reikalavimų privalo laikytis visi ūkio subjektai, kurie parduoda prekes arba teikia paslaugas asmenims, atsiskaitantiems su jais grynaisiais pinigais ir (ar) mokėjimo kortelėmis, arba superka prekes iš asmenų, atsiskaitydami su jais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 p."/>
                <w:tag w:val="part_e4f5d25b03354415b34b773bee401324"/>
                <w:lock w:val="sdtLocked"/>
                <w:richText/>
              </w:sdtPr>
              <w:sdtContent>
                <w:p>
                  <w:pPr>
                    <w:ind w:firstLine="709"/>
                    <w:jc w:val="both"/>
                    <w:rPr>
                      <w:color w:val="000000"/>
                    </w:rPr>
                  </w:pPr>
                  <w:sdt>
                    <w:sdtPr>
                      <w:alias w:val="Numeris"/>
                      <w:tag w:val="nr_e4f5d25b03354415b34b773bee401324"/>
                      <w:lock w:val="sdtLocked"/>
                      <w:richText/>
                    </w:sdtPr>
                    <w:sdtContent>
                      <w:r>
                        <w:rPr>
                          <w:color w:val="000000"/>
                        </w:rPr>
                        <w:t>3</w:t>
                      </w:r>
                    </w:sdtContent>
                  </w:sdt>
                  <w:r>
                    <w:rPr>
                      <w:color w:val="000000"/>
                    </w:rPr>
                    <w:t xml:space="preserve">. Šiame apraše vartojamos sąvokos: </w:t>
                  </w:r>
                </w:p>
                <w:p>
                  <w:pPr>
                    <w:ind w:firstLine="709"/>
                    <w:jc w:val="both"/>
                    <w:rPr>
                      <w:color w:val="000000"/>
                    </w:rPr>
                  </w:pPr>
                  <w:r>
                    <w:rPr>
                      <w:b/>
                      <w:color w:val="000000"/>
                    </w:rPr>
                    <w:t>Kasos aparatas</w:t>
                  </w:r>
                  <w:r>
                    <w:rPr>
                      <w:color w:val="000000"/>
                    </w:rPr>
                    <w:t xml:space="preserve"> – elektroninis kasos aparatas (fiskalinis ar nefiskalinis), kompiuterinė kasos sistema arba kasos terminalas, atitinkantis šių įrenginių techninius reikalavimus. </w:t>
                  </w:r>
                </w:p>
                <w:p>
                  <w:pPr>
                    <w:ind w:firstLine="709"/>
                    <w:jc w:val="both"/>
                    <w:rPr>
                      <w:color w:val="000000"/>
                    </w:rPr>
                  </w:pPr>
                  <w:r>
                    <w:rPr>
                      <w:b/>
                      <w:color w:val="000000"/>
                    </w:rPr>
                    <w:t>Nefiskalinis kasos aparatas</w:t>
                  </w:r>
                  <w:r>
                    <w:rPr>
                      <w:color w:val="000000"/>
                    </w:rPr>
                    <w:t xml:space="preserve">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b/>
                      <w:color w:val="000000"/>
                    </w:rPr>
                    <w:t>Fiskalinis kasos aparatas</w:t>
                  </w:r>
                  <w:r>
                    <w:rPr>
                      <w:color w:val="000000"/>
                    </w:rPr>
                    <w:t xml:space="preserve">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Fiskaliniai kasos aparatai gali būti ir specializuoti.</w:t>
                  </w:r>
                </w:p>
                <w:p>
                  <w:pPr>
                    <w:ind w:firstLine="709"/>
                    <w:jc w:val="both"/>
                    <w:rPr>
                      <w:color w:val="000000"/>
                    </w:rPr>
                  </w:pPr>
                  <w:r>
                    <w:rPr>
                      <w:b/>
                      <w:color w:val="000000"/>
                    </w:rPr>
                    <w:t>Specializuotas kasos aparatas</w:t>
                  </w:r>
                  <w:r>
                    <w:rPr>
                      <w:color w:val="000000"/>
                    </w:rPr>
                    <w:t xml:space="preserve"> – kasos aparatas, spausdinantis specialios formos bei turinio dokumentus ir atitinkantis papildomus techninius reikalavimus, nustatytus Valstybinės mokesčių inspekcijos prie Finansų ministerijos (toliau vadinama – Valstybinė mokesčių inspekcija) patvirtintuose Kasos aparatų bei prekybos (paslaugų teikimo) automatų, įtraukiamų į Lietuvos Respublikoje leidžiamų naudoti kasos aparatų ir prekybos (paslaugų teikimo) automatų modelių sąrašą, techniniuose reikalavimuose.</w:t>
                  </w:r>
                </w:p>
                <w:p>
                  <w:pPr>
                    <w:ind w:firstLine="709"/>
                    <w:jc w:val="both"/>
                    <w:rPr>
                      <w:color w:val="000000"/>
                    </w:rPr>
                  </w:pPr>
                  <w:r>
                    <w:rPr>
                      <w:b/>
                      <w:color w:val="000000"/>
                    </w:rPr>
                    <w:t>Kasos aparato kasa</w:t>
                  </w:r>
                  <w:r>
                    <w:rPr>
                      <w:color w:val="000000"/>
                    </w:rPr>
                    <w:t xml:space="preserve">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b/>
                      <w:color w:val="000000"/>
                    </w:rPr>
                    <w:t>Kasos aparato skyrius</w:t>
                  </w:r>
                  <w:r>
                    <w:rPr>
                      <w:color w:val="000000"/>
                    </w:rPr>
                    <w:t xml:space="preserve">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b/>
                    </w:rPr>
                    <w:t>Kasininkas</w:t>
                  </w:r>
                  <w:r>
                    <w:t xml:space="preserve">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 taip pat individualia veikla besiverčiantis gyventojas</w:t>
                  </w:r>
                  <w:r>
                    <w:rPr>
                      <w:color w:val="000000"/>
                    </w:rPr>
                    <w:t>.</w:t>
                  </w:r>
                </w:p>
                <w:p>
                  <w:pPr>
                    <w:ind w:firstLine="709"/>
                    <w:jc w:val="both"/>
                    <w:rPr>
                      <w:color w:val="000000"/>
                    </w:rPr>
                  </w:pPr>
                  <w:r>
                    <w:rPr>
                      <w:b/>
                      <w:color w:val="000000"/>
                    </w:rPr>
                    <w:t>Kasos aparato kvitas</w:t>
                  </w:r>
                  <w:r>
                    <w:rPr>
                      <w:color w:val="000000"/>
                    </w:rPr>
                    <w:t xml:space="preserve"> – kasos aparatu išspausdintas specialios formos ir turinio prekių (paslaugų) pardavimo ir (ar) prekių pirkimo dokumentas, atitinkantis kasos aparatų techninius reikalavimus. Kvite turi būti išspausdinti visi šiame apraše nustatyti rekvizitai, o pirkėjo pageidavimu papildomai įrašomi ir kituose teisės aktuose nustatyti privalomi apskaitos dokumentų rekvizitai.</w:t>
                  </w:r>
                </w:p>
                <w:p>
                  <w:pPr>
                    <w:ind w:firstLine="709"/>
                    <w:jc w:val="both"/>
                    <w:rPr>
                      <w:color w:val="000000"/>
                    </w:rPr>
                  </w:pPr>
                  <w:r>
                    <w:rPr>
                      <w:b/>
                      <w:color w:val="000000"/>
                    </w:rPr>
                    <w:t>Pinigų priėmimo kvitas</w:t>
                  </w:r>
                  <w:r>
                    <w:rPr>
                      <w:color w:val="000000"/>
                    </w:rPr>
                    <w:t xml:space="preserve"> – apskaitos dokumentas, kuris nustatytaisiais atvejais išduodamas pardavus prekę arba suteikus paslaugą. </w:t>
                  </w:r>
                </w:p>
                <w:p>
                  <w:pPr>
                    <w:ind w:firstLine="709"/>
                    <w:jc w:val="both"/>
                    <w:rPr>
                      <w:color w:val="000000"/>
                    </w:rPr>
                  </w:pPr>
                  <w:r>
                    <w:rPr>
                      <w:b/>
                      <w:color w:val="000000"/>
                    </w:rPr>
                    <w:t>Kasos operacijų atlikimo vieta</w:t>
                  </w:r>
                  <w:r>
                    <w:rPr>
                      <w:color w:val="000000"/>
                    </w:rPr>
                    <w:t xml:space="preserve">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b/>
                      <w:color w:val="000000"/>
                    </w:rPr>
                    <w:t>Asmuo</w:t>
                  </w:r>
                  <w:r>
                    <w:rPr>
                      <w:color w:val="000000"/>
                    </w:rPr>
                    <w:t xml:space="preserve"> – prekes perkantis, paslaugas gaunantis ir prekybos ar paslaugų suteikimo vietoje už jas atsiskaitantis juridinis arba fizinis asmuo. </w:t>
                  </w:r>
                </w:p>
                <w:p>
                  <w:pPr>
                    <w:ind w:firstLine="709"/>
                    <w:jc w:val="both"/>
                    <w:rPr>
                      <w:color w:val="000000"/>
                    </w:rPr>
                  </w:pPr>
                  <w:r>
                    <w:rPr>
                      <w:b/>
                      <w:color w:val="000000"/>
                    </w:rPr>
                    <w:t>Ūkio subjektas</w:t>
                  </w:r>
                  <w:r>
                    <w:rPr>
                      <w:color w:val="000000"/>
                    </w:rPr>
                    <w:t xml:space="preserve"> – Lietuvos Respublikoje įsteigtas ir veikiantis juridinis asmuo, užsienio juridinis asmuo ar jo padalinys, taip pat fizinis asmuo, kurie Lietuvos Respublikoje galiojančių teisės aktų nustatyta tvarka verčiasi ūkine komercine veikla.</w:t>
                  </w:r>
                </w:p>
                <w:p>
                  <w:pPr>
                    <w:ind w:firstLine="709"/>
                    <w:jc w:val="both"/>
                    <w:rPr>
                      <w:color w:val="000000"/>
                    </w:rPr>
                  </w:pPr>
                  <w:r>
                    <w:rPr>
                      <w:b/>
                      <w:color w:val="000000"/>
                    </w:rPr>
                    <w:t>Atsiskaitymas</w:t>
                  </w:r>
                  <w:r>
                    <w:rPr>
                      <w:color w:val="000000"/>
                    </w:rPr>
                    <w:t xml:space="preserve"> – pinigų mokėjimo veiksmas, kuriuo įvykdomas asmens piniginis įsipareigojimas ūkio subjektui arba ūkio subjekto piniginis įsipareigojimas asmeniui.</w:t>
                  </w:r>
                </w:p>
                <w:p>
                  <w:pPr>
                    <w:ind w:firstLine="709"/>
                    <w:jc w:val="both"/>
                    <w:rPr>
                      <w:color w:val="000000"/>
                    </w:rPr>
                  </w:pPr>
                  <w:r>
                    <w:rPr>
                      <w:b/>
                      <w:color w:val="000000"/>
                    </w:rPr>
                    <w:t>Aptarnavimo įmonė</w:t>
                  </w:r>
                  <w:r>
                    <w:rPr>
                      <w:color w:val="000000"/>
                    </w:rPr>
                    <w:t xml:space="preserve"> – juridinis asmuo, turintis Valstybinės mokesčių inspekcijos nustatyta tvarka išduotą sertifikatą, leidžiantį atlikti jame įrašytų modelių kasos aparatų ir su jais susijusių įrenginių techninės priežiūros ir remonto darbus. </w:t>
                  </w:r>
                </w:p>
                <w:p>
                  <w:pPr>
                    <w:ind w:firstLine="709"/>
                    <w:jc w:val="both"/>
                  </w:pPr>
                  <w:r>
                    <w:rPr>
                      <w:b/>
                      <w:color w:val="000000"/>
                    </w:rPr>
                    <w:t>Aptarnavimo įmonės specialistas</w:t>
                  </w:r>
                  <w:r>
                    <w:rPr>
                      <w:color w:val="000000"/>
                    </w:rPr>
                    <w:t xml:space="preserve"> – aptarnavimo įmonės darbuotojas, turintis Valstybinės mokesčių inspekcijos nustatyta tvarka išduotą sertifikatą, leidžiantį atlikti jame įrašytų modelių kasos aparatų ir su jais susijusių įrenginių techninės priežiūros ir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4 p."/>
                <w:tag w:val="part_1208b949f0b249dd848854daf5eee043"/>
                <w:lock w:val="sdtLocked"/>
                <w:richText/>
              </w:sdtPr>
              <w:sdtContent>
                <w:p>
                  <w:pPr>
                    <w:ind w:firstLine="709"/>
                    <w:jc w:val="both"/>
                    <w:rPr>
                      <w:color w:val="000000"/>
                    </w:rPr>
                  </w:pPr>
                  <w:sdt>
                    <w:sdtPr>
                      <w:alias w:val="Numeris"/>
                      <w:tag w:val="nr_1208b949f0b249dd848854daf5eee043"/>
                      <w:lock w:val="sdtLocked"/>
                      <w:richText/>
                    </w:sdtPr>
                    <w:sdtContent>
                      <w:r>
                        <w:rPr>
                          <w:color w:val="000000"/>
                        </w:rPr>
                        <w:t>4</w:t>
                      </w:r>
                    </w:sdtContent>
                  </w:sdt>
                  <w:r>
                    <w:rPr>
                      <w:color w:val="000000"/>
                    </w:rPr>
                    <w:t>. Kasos aparatai turi būti įrengti ir naudojami kiekvienoje atsiskaitymo vietoje (išskyrus šio aprašo 10–12 punktuose nurodytus atvejus), kurioje:</w:t>
                  </w:r>
                </w:p>
                <w:sdt>
                  <w:sdtPr>
                    <w:alias w:val="4.1 p."/>
                    <w:tag w:val="part_4362c48566cf4f53b3925d9763561620"/>
                    <w:lock w:val="sdtLocked"/>
                    <w:richText/>
                  </w:sdtPr>
                  <w:sdtContent>
                    <w:p>
                      <w:pPr>
                        <w:ind w:firstLine="709"/>
                        <w:jc w:val="both"/>
                        <w:rPr>
                          <w:color w:val="000000"/>
                        </w:rPr>
                      </w:pPr>
                      <w:sdt>
                        <w:sdtPr>
                          <w:alias w:val="Numeris"/>
                          <w:tag w:val="nr_4362c48566cf4f53b3925d9763561620"/>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25ac6b58b60f4b41b485534210d57ef1"/>
                    <w:lock w:val="sdtLocked"/>
                    <w:richText/>
                  </w:sdtPr>
                  <w:sdtContent>
                    <w:p>
                      <w:pPr>
                        <w:ind w:firstLine="709"/>
                        <w:jc w:val="both"/>
                      </w:pPr>
                      <w:sdt>
                        <w:sdtPr>
                          <w:alias w:val="Numeris"/>
                          <w:tag w:val="nr_25ac6b58b60f4b41b485534210d57ef1"/>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5 p."/>
                <w:tag w:val="part_a3b0440bc851429e8c4e6543b0a21f79"/>
                <w:lock w:val="sdtLocked"/>
                <w:richText/>
              </w:sdtPr>
              <w:sdtContent>
                <w:p>
                  <w:pPr>
                    <w:ind w:firstLine="709"/>
                    <w:jc w:val="both"/>
                    <w:rPr>
                      <w:color w:val="000000"/>
                    </w:rPr>
                  </w:pPr>
                  <w:sdt>
                    <w:sdtPr>
                      <w:alias w:val="Numeris"/>
                      <w:tag w:val="nr_a3b0440bc851429e8c4e6543b0a21f79"/>
                      <w:lock w:val="sdtLocked"/>
                      <w:richText/>
                    </w:sdtPr>
                    <w:sdtContent>
                      <w:r>
                        <w:rPr>
                          <w:color w:val="000000"/>
                        </w:rPr>
                        <w:t>5</w:t>
                      </w:r>
                    </w:sdtContent>
                  </w:sdt>
                  <w:r>
                    <w:rPr>
                      <w:color w:val="000000"/>
                    </w:rPr>
                    <w:t xml:space="preserve">. Kiekvienam su ūkio subjektu atsiskaičiusiam asmeniui, kai šiame apraše nustatyta atsiskaitymo vietoje įrengti kasos aparatą, privaloma išduoti kasos aparato kvitą, išskyrus šios tvarkos 10.2 punkte nurodytus atvejus. </w:t>
                  </w: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78f887d555a6459087cc35c9deb18c07"/>
                <w:lock w:val="sdtLocked"/>
                <w:richText/>
              </w:sdtPr>
              <w:sdtContent>
                <w:p>
                  <w:pPr>
                    <w:ind w:firstLine="709"/>
                    <w:jc w:val="both"/>
                    <w:rPr>
                      <w:color w:val="000000"/>
                    </w:rPr>
                  </w:pPr>
                  <w:sdt>
                    <w:sdtPr>
                      <w:alias w:val="Numeris"/>
                      <w:tag w:val="nr_78f887d555a6459087cc35c9deb18c07"/>
                      <w:lock w:val="sdtLocked"/>
                      <w:richText/>
                    </w:sdtPr>
                    <w:sdtContent>
                      <w:r>
                        <w:rPr>
                          <w:color w:val="000000"/>
                        </w:rPr>
                        <w:t>7</w:t>
                      </w:r>
                    </w:sdtContent>
                  </w:sdt>
                  <w:r>
                    <w:rPr>
                      <w:color w:val="000000"/>
                    </w:rPr>
                    <w:t xml:space="preserve">. Degalinėse turi būti įrengti ir naudojami specializuoti degalinių fiskaliniai kasos aparatai. </w:t>
                  </w:r>
                </w:p>
                <w:p>
                  <w:pPr>
                    <w:ind w:firstLine="709"/>
                    <w:jc w:val="both"/>
                    <w:rPr>
                      <w:color w:val="000000"/>
                    </w:rPr>
                  </w:pPr>
                  <w:r>
                    <w:rPr>
                      <w:color w:val="000000"/>
                    </w:rPr>
                    <w:t xml:space="preserve">Kartu su specializuoto degalinių kasos aparato finansinėmis dienos ataskaitomis (arba šiose ataskaitose) turi būti spausdinamos ir kasos operacijų žurnale klijuojamos kiekvienos rūšies degalų (įskaitant automobilių dujas) parduoto kiekio ataskaitos. </w:t>
                  </w:r>
                </w:p>
              </w:sdtContent>
            </w:sdt>
            <w:sdt>
              <w:sdtPr>
                <w:alias w:val="8 p."/>
                <w:tag w:val="part_e73415c5133549699e7edb5c1a8a8142"/>
                <w:lock w:val="sdtLocked"/>
                <w:richText/>
              </w:sdtPr>
              <w:sdtContent>
                <w:p>
                  <w:pPr>
                    <w:ind w:firstLine="709"/>
                    <w:jc w:val="both"/>
                    <w:rPr>
                      <w:color w:val="000000"/>
                    </w:rPr>
                  </w:pPr>
                  <w:sdt>
                    <w:sdtPr>
                      <w:alias w:val="Numeris"/>
                      <w:tag w:val="nr_e73415c5133549699e7edb5c1a8a8142"/>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p>
                  <w:pPr>
                    <w:ind w:firstLine="709"/>
                    <w:jc w:val="both"/>
                  </w:pPr>
                  <w:r>
                    <w:rPr>
                      <w:color w:val="000000"/>
                    </w:rPr>
                    <w:t>Visi ūkio subjektai tauriųjų metalų ir brangakmenių gaminių realizavimo įplaukas turi registruoti atskirame kasos aparato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9 p."/>
                <w:tag w:val="part_eb63beba84114f608968ac4fa1cbb7cf"/>
                <w:lock w:val="sdtLocked"/>
                <w:richText/>
              </w:sdtPr>
              <w:sdtContent>
                <w:p>
                  <w:pPr>
                    <w:ind w:firstLine="709"/>
                    <w:jc w:val="both"/>
                    <w:rPr>
                      <w:color w:val="000000"/>
                    </w:rPr>
                  </w:pPr>
                  <w:sdt>
                    <w:sdtPr>
                      <w:alias w:val="Numeris"/>
                      <w:tag w:val="nr_eb63beba84114f608968ac4fa1cbb7cf"/>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color w:val="000000"/>
                    </w:rPr>
                    <w:t xml:space="preserve">Lošimų namų (kazino), automatų ir bingo salonų laimėjimų išmokėjimą asmenims reglamentuoja Lietuvos Respublikos azartinių lošimų įstatymas (Žin., 2001, Nr. 43-1495). </w:t>
                  </w:r>
                </w:p>
              </w:sdtContent>
            </w:sdt>
            <w:sdt>
              <w:sdtPr>
                <w:alias w:val="10 p."/>
                <w:tag w:val="part_eb118025825c40ddbdfb93903b2573c5"/>
                <w:lock w:val="sdtLocked"/>
                <w:richText/>
              </w:sdtPr>
              <w:sdtContent>
                <w:p>
                  <w:pPr>
                    <w:ind w:firstLine="709"/>
                    <w:jc w:val="both"/>
                    <w:rPr>
                      <w:color w:val="000000"/>
                    </w:rPr>
                  </w:pPr>
                  <w:sdt>
                    <w:sdtPr>
                      <w:alias w:val="Numeris"/>
                      <w:tag w:val="nr_eb118025825c40ddbdfb93903b2573c5"/>
                      <w:lock w:val="sdtLocked"/>
                      <w:richText/>
                    </w:sdtPr>
                    <w:sdtContent>
                      <w:r>
                        <w:rPr>
                          <w:color w:val="000000"/>
                        </w:rPr>
                        <w:t>10</w:t>
                      </w:r>
                    </w:sdtContent>
                  </w:sdt>
                  <w:r>
                    <w:rPr>
                      <w:color w:val="000000"/>
                    </w:rPr>
                    <w:t xml:space="preserve">. Nereikalaujama naudoti kasos aparatų ir pirkėjui nereikalaujant išduoti pinigų priėmimo kvitų arba kitų vietoj jų naudojamų apskaitos dokumentų: </w:t>
                  </w:r>
                </w:p>
                <w:sdt>
                  <w:sdtPr>
                    <w:alias w:val="10.1 p."/>
                    <w:tag w:val="part_4280433597544d61a2c2bef11b4fb12a"/>
                    <w:lock w:val="sdtLocked"/>
                    <w:richText/>
                  </w:sdtPr>
                  <w:sdtContent>
                    <w:p>
                      <w:pPr>
                        <w:ind w:firstLine="709"/>
                        <w:jc w:val="both"/>
                        <w:rPr>
                          <w:color w:val="000000"/>
                        </w:rPr>
                      </w:pPr>
                      <w:sdt>
                        <w:sdtPr>
                          <w:alias w:val="Numeris"/>
                          <w:tag w:val="nr_4280433597544d61a2c2bef11b4fb12a"/>
                          <w:lock w:val="sdtLocked"/>
                          <w:richText/>
                        </w:sdtPr>
                        <w:sdtContent>
                          <w:r>
                            <w:rPr>
                              <w:color w:val="000000"/>
                            </w:rPr>
                            <w:t>10.1</w:t>
                          </w:r>
                        </w:sdtContent>
                      </w:sdt>
                      <w:r>
                        <w:rPr>
                          <w:color w:val="000000"/>
                        </w:rPr>
                        <w:t>. kioskuose, kuriuose periodinės spaudos pardavimo įplaukos sudaro 60 procentų ir daugiau paskutiniųjų trijų mėnesių bendrųjų įplaukų ir kuriuose neprekiaujama alumi, apdorotu tabaku ir (ar) cukrumi. Kiekviename kioske turi būti atskirai tvarkoma įplaukų už parduotą periodinę spaudą ir bendrųjų įplaukų apskaita.</w:t>
                      </w:r>
                    </w:p>
                    <w:p>
                      <w:pPr>
                        <w:ind w:firstLine="709"/>
                        <w:jc w:val="both"/>
                        <w:rPr>
                          <w:color w:val="000000"/>
                        </w:rPr>
                      </w:pPr>
                      <w:r>
                        <w:rPr>
                          <w:color w:val="000000"/>
                        </w:rPr>
                        <w:t xml:space="preserve">Kasos aparatai šiuose kioskuose turi būti įrengti per mėnesį po to mėnesio, kuriam pasibaigus minėtoji pardavimo įplaukų dalis nesudarė 60 procentų. Ūkio subjekto prašymu Valstybinė mokesčių inspekcija iki trijų mėnesių gali pratęsti nurodytąjį kasos aparatų įrengimo terminą. Įrengti kasos aparatai turi būti naudojami nuolat, neatsižvelgiant į vėliau (po kasos aparato įrengimo dienos) gautą minėtojo pardavimo įplaukų dalį; </w:t>
                      </w:r>
                    </w:p>
                  </w:sdtContent>
                </w:sdt>
                <w:sdt>
                  <w:sdtPr>
                    <w:alias w:val="10.2 p."/>
                    <w:tag w:val="part_a12635016b924cd9a5829669308e55f2"/>
                    <w:lock w:val="sdtLocked"/>
                    <w:richText/>
                  </w:sdtPr>
                  <w:sdtContent>
                    <w:p>
                      <w:pPr>
                        <w:ind w:firstLine="709"/>
                        <w:jc w:val="both"/>
                        <w:rPr>
                          <w:color w:val="000000"/>
                        </w:rPr>
                      </w:pPr>
                      <w:sdt>
                        <w:sdtPr>
                          <w:alias w:val="Numeris"/>
                          <w:tag w:val="nr_a12635016b924cd9a5829669308e55f2"/>
                          <w:lock w:val="sdtLocked"/>
                          <w:richText/>
                        </w:sdtPr>
                        <w:sdtContent>
                          <w:r>
                            <w:rPr>
                              <w:color w:val="000000"/>
                            </w:rPr>
                            <w:t>10.2</w:t>
                          </w:r>
                        </w:sdtContent>
                      </w:sdt>
                      <w:r>
                        <w:rPr>
                          <w:color w:val="000000"/>
                        </w:rPr>
                        <w:t>. spaudos kioskų,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nurodytosiomis prekėmis ir yra įrengti kasos aparatai.</w:t>
                      </w:r>
                    </w:p>
                    <w:p>
                      <w:pPr>
                        <w:ind w:firstLine="709"/>
                        <w:jc w:val="both"/>
                        <w:rPr>
                          <w:color w:val="000000"/>
                        </w:rPr>
                      </w:pPr>
                      <w:r>
                        <w:rPr>
                          <w:color w:val="000000"/>
                        </w:rPr>
                        <w:t>Įplaukos, gautos už šiame punkte nurodytų bilietų pardavimą ir neregistruojamos kasos aparatu, turi būti apskaitomos Valstybinės mokesčių inspekcijos nustatyta tvarka;</w:t>
                      </w:r>
                    </w:p>
                  </w:sdtContent>
                </w:sdt>
                <w:sdt>
                  <w:sdtPr>
                    <w:alias w:val="10.3 p."/>
                    <w:tag w:val="part_c9f7c28fc46c4643b3d91f4e582ac184"/>
                    <w:lock w:val="sdtLocked"/>
                    <w:richText/>
                  </w:sdtPr>
                  <w:sdtContent>
                    <w:p>
                      <w:pPr>
                        <w:ind w:firstLine="709"/>
                        <w:jc w:val="both"/>
                        <w:rPr>
                          <w:color w:val="000000"/>
                        </w:rPr>
                      </w:pPr>
                      <w:sdt>
                        <w:sdtPr>
                          <w:alias w:val="Numeris"/>
                          <w:tag w:val="nr_c9f7c28fc46c4643b3d91f4e582ac184"/>
                          <w:lock w:val="sdtLocked"/>
                          <w:richText/>
                        </w:sdtPr>
                        <w:sdtContent>
                          <w:r>
                            <w:rPr>
                              <w:color w:val="000000"/>
                            </w:rPr>
                            <w:t>10.3</w:t>
                          </w:r>
                        </w:sdtContent>
                      </w:sdt>
                      <w:r>
                        <w:rPr>
                          <w:color w:val="000000"/>
                        </w:rPr>
                        <w:t xml:space="preserve">.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(Žin., 2000, Nr. 15-398); </w:t>
                      </w:r>
                    </w:p>
                  </w:sdtContent>
                </w:sdt>
                <w:sdt>
                  <w:sdtPr>
                    <w:alias w:val="10.4 p."/>
                    <w:tag w:val="part_d02feae0beb345b29f62daf3aa8231af"/>
                    <w:lock w:val="sdtLocked"/>
                    <w:richText/>
                  </w:sdtPr>
                  <w:sdtContent>
                    <w:p>
                      <w:pPr>
                        <w:ind w:firstLine="709"/>
                        <w:jc w:val="both"/>
                        <w:rPr>
                          <w:color w:val="000000"/>
                        </w:rPr>
                      </w:pPr>
                      <w:sdt>
                        <w:sdtPr>
                          <w:alias w:val="Numeris"/>
                          <w:tag w:val="nr_d02feae0beb345b29f62daf3aa8231af"/>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afbe5e68f6f34c38a838805f05c37c57"/>
                    <w:lock w:val="sdtLocked"/>
                    <w:richText/>
                  </w:sdtPr>
                  <w:sdtContent>
                    <w:p>
                      <w:pPr>
                        <w:ind w:firstLine="709"/>
                        <w:jc w:val="both"/>
                        <w:rPr>
                          <w:color w:val="000000"/>
                        </w:rPr>
                      </w:pPr>
                      <w:sdt>
                        <w:sdtPr>
                          <w:alias w:val="Numeris"/>
                          <w:tag w:val="nr_afbe5e68f6f34c38a838805f05c37c57"/>
                          <w:lock w:val="sdtLocked"/>
                          <w:richText/>
                        </w:sdtPr>
                        <w:sdtContent>
                          <w:r>
                            <w:rPr>
                              <w:color w:val="000000"/>
                            </w:rPr>
                            <w:t>10.5</w:t>
                          </w:r>
                        </w:sdtContent>
                      </w:sdt>
                      <w:r>
                        <w:rPr>
                          <w:color w:val="000000"/>
                        </w:rPr>
                        <w:t xml:space="preserve">. prekybos ir viešojo maitinimo ūkio subjektams arba jų padaliniams, kurie asmenis aptarnauja tik vykstančių pramogų, sporto, kultūros renginių metu ir šių renginių metu neprekiauja alkoholiniais gėrimais (išskyrus alų) bei apdorotu tabaku. </w:t>
                      </w:r>
                    </w:p>
                    <w:p>
                      <w:pPr>
                        <w:ind w:firstLine="709"/>
                        <w:jc w:val="both"/>
                        <w:rPr>
                          <w:color w:val="000000"/>
                        </w:rPr>
                      </w:pPr>
                      <w:r>
                        <w:rPr>
                          <w:color w:val="000000"/>
                        </w:rPr>
                        <w:t xml:space="preserve">Šiame punkte nurodyti ūkio subjektai arba jų padaliniai prekybos vietoje privalo turėti prekių įsigijimo dokumentą arba jo kopiją ir ūkio subjekto vadovo patvirtintą kainoraštį; </w:t>
                      </w:r>
                    </w:p>
                  </w:sdtContent>
                </w:sdt>
                <w:sdt>
                  <w:sdtPr>
                    <w:alias w:val="10.6 p."/>
                    <w:tag w:val="part_27287a18f9514eb783f8f2be72134998"/>
                    <w:lock w:val="sdtLocked"/>
                    <w:richText/>
                  </w:sdtPr>
                  <w:sdtContent>
                    <w:p>
                      <w:pPr>
                        <w:ind w:firstLine="709"/>
                        <w:jc w:val="both"/>
                        <w:rPr>
                          <w:color w:val="000000"/>
                        </w:rPr>
                      </w:pPr>
                      <w:sdt>
                        <w:sdtPr>
                          <w:alias w:val="Numeris"/>
                          <w:tag w:val="nr_27287a18f9514eb783f8f2be72134998"/>
                          <w:lock w:val="sdtLocked"/>
                          <w:richText/>
                        </w:sdtPr>
                        <w:sdtContent>
                          <w:r>
                            <w:rPr>
                              <w:color w:val="000000"/>
                            </w:rPr>
                            <w:t>10.6</w:t>
                          </w:r>
                        </w:sdtContent>
                      </w:sdt>
                      <w:r>
                        <w:rPr>
                          <w:color w:val="000000"/>
                        </w:rPr>
                        <w:t xml:space="preserve">. bankams, išskyrus specializuotas valiutos keityklas, kurios atlieka tik valiutos keitimo operacijas ir nenaudoja bankų patvirtintų specializuotų kompiuterinių kasos programų; </w:t>
                      </w:r>
                    </w:p>
                  </w:sdtContent>
                </w:sdt>
                <w:sdt>
                  <w:sdtPr>
                    <w:alias w:val="10.7 p."/>
                    <w:tag w:val="part_30dab834454f46bca2755acc91474acf"/>
                    <w:lock w:val="sdtLocked"/>
                    <w:richText/>
                  </w:sdtPr>
                  <w:sdtContent>
                    <w:p>
                      <w:pPr>
                        <w:ind w:firstLine="709"/>
                        <w:jc w:val="both"/>
                      </w:pPr>
                      <w:sdt>
                        <w:sdtPr>
                          <w:alias w:val="Numeris"/>
                          <w:tag w:val="nr_30dab834454f46bca2755acc91474acf"/>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sdtContent>
                </w:sdt>
                <w:sdt>
                  <w:sdtPr>
                    <w:alias w:val="10.8 p."/>
                    <w:tag w:val="part_589a98d6a8ca4c04853a7045c882b2ad"/>
                    <w:lock w:val="sdtLocked"/>
                    <w:richText/>
                  </w:sdtPr>
                  <w:sdtContent>
                    <w:p>
                      <w:pPr>
                        <w:ind w:firstLine="709"/>
                        <w:jc w:val="both"/>
                        <w:rPr>
                          <w:color w:val="000000"/>
                        </w:rPr>
                      </w:pPr>
                      <w:sdt>
                        <w:sdtPr>
                          <w:alias w:val="Numeris"/>
                          <w:tag w:val="nr_589a98d6a8ca4c04853a7045c882b2ad"/>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6ad64b0e363345d49501abeed9cb00f5"/>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eastAsia="MS Mincho" w:hAnsi="Times New Roman"/>
                          <w:sz w:val="20"/>
                          <w:i/>
                          <w:iCs/>
                        </w:rPr>
                        <w:t xml:space="preserve"> Neteko galios nuo 2011-01-16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0 p."/>
                    <w:tag w:val="part_fcf4c61eef2f4097b161cbc6c44d647c"/>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fcf4c61eef2f4097b161cbc6c44d647c"/>
                          <w:lock w:val="sdtLocked"/>
                          <w:richText/>
                        </w:sdtPr>
                        <w:sdtContent>
                          <w:r>
                            <w:t>10.10</w:t>
                          </w:r>
                        </w:sdtContent>
                      </w:sdt>
                      <w:r>
                        <w:t xml:space="preserve">. prekiaujantiesiems </w:t>
                      </w:r>
                      <w:r>
                        <w:rPr>
                          <w:bCs/>
                        </w:rPr>
                        <w:t>savo (nuosavybės teise priklausančiame ar kitais teisėtais pagrindais naudojamame)</w:t>
                      </w:r>
                      <w:r>
                        <w:t xml:space="preserve"> namų valdos žemės sklype, mėgėjų sodo sklype arba kitoje </w:t>
                      </w:r>
                      <w:r>
                        <w:rPr>
                          <w:color w:val="000000"/>
                        </w:rPr>
                        <w:t>žemės ūkio valdoje (ūkyje), kurių ekonominis dydis neviršija 1</w:t>
                      </w:r>
                      <w:r>
                        <w:t xml:space="preserve"> ekonominio dydžio vieneto, kaip ši sąvoka apibrėžta Lietuvos Respublikos sveikatos draudimo įstatyme (Žin., 1996, Nr. 55-1287; 2002, Nr. 123-5512), išaugintais žemės ūkio produktais ir iš jų pagamintais maisto produktais, jeigu prekiautojas prekybos vietoje turi dokumentus, patvirtinančius žemės valdymą arba naudojimą, ir asmens dokumentą;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1 p."/>
                    <w:tag w:val="part_c45b89272d3949c59356e2053e590492"/>
                    <w:lock w:val="sdtLocked"/>
                    <w:richText/>
                  </w:sdtPr>
                  <w:sdtContent>
                    <w:p>
                      <w:pPr>
                        <w:ind w:firstLine="709"/>
                        <w:jc w:val="both"/>
                        <w:rPr>
                          <w:color w:val="000000"/>
                        </w:rPr>
                      </w:pPr>
                      <w:sdt>
                        <w:sdtPr>
                          <w:alias w:val="Numeris"/>
                          <w:tag w:val="nr_c45b89272d3949c59356e2053e590492"/>
                          <w:lock w:val="sdtLocked"/>
                          <w:richText/>
                        </w:sdtPr>
                        <w:sdtContent>
                          <w:r>
                            <w:rPr>
                              <w:color w:val="000000"/>
                            </w:rPr>
                            <w:t>10.11</w:t>
                          </w:r>
                        </w:sdtContent>
                      </w:sdt>
                      <w:r>
                        <w:rPr>
                          <w:color w:val="000000"/>
                        </w:rPr>
                        <w:t xml:space="preserve">. lengvuosiuose taksi automobiliuose, kuriuose įrengti ir teritorinėje valstybinėje mokesčių inspekcijoje užregistruoti taksometrai. Kiekvienam taksometrui turi būti pildomas teritorinėje valstybinėje mokesčių inspekcijoje užregistruotas taksometro kasos operacijų žurnalas. Taksometrų ir jų žurnalų registravimo ir pildymo taisykles nustato Valstybinė mokesčių inspekcija; </w:t>
                      </w:r>
                    </w:p>
                  </w:sdtContent>
                </w:sdt>
                <w:sdt>
                  <w:sdtPr>
                    <w:alias w:val="10.12 p."/>
                    <w:tag w:val="part_2e2fafe79604471d9bee2ea22eb8a3e2"/>
                    <w:lock w:val="sdtLocked"/>
                    <w:richText/>
                  </w:sdtPr>
                  <w:sdtContent>
                    <w:p>
                      <w:pPr>
                        <w:ind w:firstLine="709"/>
                        <w:jc w:val="both"/>
                        <w:rPr>
                          <w:color w:val="000000"/>
                        </w:rPr>
                      </w:pPr>
                      <w:sdt>
                        <w:sdtPr>
                          <w:alias w:val="Numeris"/>
                          <w:tag w:val="nr_2e2fafe79604471d9bee2ea22eb8a3e2"/>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d9dfa80b36104d07b51c67571d2ea12d"/>
                    <w:lock w:val="sdtLocked"/>
                    <w:richText/>
                  </w:sdtPr>
                  <w:sdtContent>
                    <w:p>
                      <w:pPr>
                        <w:ind w:firstLine="709"/>
                        <w:jc w:val="both"/>
                        <w:rPr>
                          <w:color w:val="000000"/>
                        </w:rPr>
                      </w:pPr>
                      <w:sdt>
                        <w:sdtPr>
                          <w:alias w:val="Numeris"/>
                          <w:tag w:val="nr_d9dfa80b36104d07b51c67571d2ea12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b7870d11d2794ef7ade42523fb7197a6"/>
                    <w:lock w:val="sdtLocked"/>
                    <w:richText/>
                  </w:sdtPr>
                  <w:sdtContent>
                    <w:p>
                      <w:pPr>
                        <w:ind w:firstLine="709"/>
                        <w:jc w:val="both"/>
                      </w:pPr>
                      <w:sdt>
                        <w:sdtPr>
                          <w:alias w:val="Numeris"/>
                          <w:tag w:val="nr_b7870d11d2794ef7ade42523fb7197a6"/>
                          <w:lock w:val="sdtLocked"/>
                          <w:richText/>
                        </w:sdtPr>
                        <w:sdtContent>
                          <w:r>
                            <w:t>10.14</w:t>
                          </w:r>
                        </w:sdtContent>
                      </w:sdt>
                      <w:r>
                        <w:t>. prekiaujant tiesioginio ryšio kompiuterių tinklo terminalų spausdintais loterijos bilietais, šių terminalų apskaitomais momentinės loterijos, transporto ar kultūros, meno, sporto, pramogų, švietimo, mokslo, mokymo renginių bilietais, viešojo judriojo telefono ryšio pokalbių sąskaitų elektroniniais papildymais, taip pat kai</w:t>
                      </w:r>
                      <w:r>
                        <w:rPr>
                          <w:color w:val="0000FF"/>
                        </w:rPr>
                        <w:t xml:space="preserve"> </w:t>
                      </w:r>
                      <w:r>
                        <w:t>per šiuos terminalus mokamos ir apskaitomos pinigų sumos</w:t>
                      </w:r>
                      <w:r>
                        <w:rPr>
                          <w:color w:val="0000FF"/>
                        </w:rPr>
                        <w:t xml:space="preserve"> </w:t>
                      </w:r>
                      <w:r>
                        <w:t>už trečiųjų asmenų tiekiamas prekes ir teikiamas</w:t>
                      </w:r>
                      <w:r>
                        <w:rPr>
                          <w:color w:val="0000FF"/>
                        </w:rPr>
                        <w:t xml:space="preserve"> </w:t>
                      </w:r>
                      <w:r>
                        <w:t xml:space="preserve">paslaugas. </w:t>
                      </w:r>
                    </w:p>
                    <w:p>
                      <w:pPr>
                        <w:ind w:firstLine="709"/>
                        <w:jc w:val="both"/>
                      </w:pPr>
                      <w:r>
                        <w:t xml:space="preserve">Kiekvienam tiesioginio ryšio kompiuterių tinklo terminalui turi būti pildomas teritorinėje valstybinėje mokesčių inspekcijoje, kurios teritorijoje jis veikia, registruotas kasos operacijų žurnalas, kurio pildymo taisykles nustato Valstybinė mokesčių inspekcija;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0C501375D9">
                        <w:r w:rsidRPr="00532B9F">
                          <w:rPr>
                            <w:rFonts w:ascii="Times New Roman" w:eastAsia="MS Mincho" w:hAnsi="Times New Roman"/>
                            <w:sz w:val="20"/>
                            <w:i/>
                            <w:iCs/>
                            <w:color w:val="0000FF" w:themeColor="hyperlink"/>
                            <w:u w:val="single"/>
                          </w:rPr>
                          <w:t>491</w:t>
                        </w:r>
                      </w:fldSimple>
                      <w:r>
                        <w:rPr>
                          <w:rFonts w:ascii="Times New Roman" w:eastAsia="MS Mincho" w:hAnsi="Times New Roman"/>
                          <w:sz w:val="20"/>
                          <w:i/>
                          <w:iCs/>
                        </w:rPr>
                        <w:t>,
2008-05-21,
Žin., 2008, Nr.
61-2315 (2008-05-29), i. k. 1081100NUTA00000491            </w:t>
                      </w:r>
                    </w:p>
                    <w:p/>
                  </w:sdtContent>
                </w:sdt>
                <w:sdt>
                  <w:sdtPr>
                    <w:alias w:val="10.15 p."/>
                    <w:tag w:val="part_12aa0a47ca4f47e9bd49de935ba939c4"/>
                    <w:lock w:val="sdtLocked"/>
                    <w:richText/>
                  </w:sdtPr>
                  <w:sdtContent>
                    <w:p>
                      <w:pPr>
                        <w:ind w:firstLine="708"/>
                        <w:jc w:val="both"/>
                      </w:pPr>
                      <w:sdt>
                        <w:sdtPr>
                          <w:alias w:val="Numeris"/>
                          <w:tag w:val="nr_12aa0a47ca4f47e9bd49de935ba939c4"/>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sdtContent>
                </w:sdt>
                <w:sdt>
                  <w:sdtPr>
                    <w:alias w:val="10.16 p."/>
                    <w:tag w:val="part_7861d00751c34731bb122e562ae415a3"/>
                    <w:lock w:val="sdtLocked"/>
                    <w:richText/>
                  </w:sdtPr>
                  <w:sdtContent>
                    <w:p>
                      <w:pPr>
                        <w:ind w:firstLine="709"/>
                        <w:jc w:val="both"/>
                      </w:pPr>
                      <w:sdt>
                        <w:sdtPr>
                          <w:alias w:val="Numeris"/>
                          <w:tag w:val="nr_7861d00751c34731bb122e562ae415a3"/>
                          <w:lock w:val="sdtLocked"/>
                          <w:richText/>
                        </w:sdtPr>
                        <w:sdtContent>
                          <w:r>
                            <w:t>10.16</w:t>
                          </w:r>
                        </w:sdtContent>
                      </w:sdt>
                      <w:r>
                        <w:t>. ne patalpose (lauke) įrengtose prekybos vietose.</w:t>
                      </w:r>
                    </w:p>
                    <w:p>
                      <w:pPr>
                        <w:ind w:firstLine="567"/>
                        <w:jc w:val="both"/>
                      </w:pPr>
                      <w:r>
                        <w:t xml:space="preserve">Ši nuostata netaikoma, jeigu prekiaujama alumi (išskyrus šio Aprašo 10.5 ir 10.7 punktuose nurodytus atvejus), apdorotu tabaku ir (ar) cukrumi;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0.17 p."/>
                    <w:tag w:val="part_e468bd4c3d674191b4e3021e5992f135"/>
                    <w:lock w:val="sdtLocked"/>
                    <w:richText/>
                  </w:sdtPr>
                  <w:sdtContent>
                    <w:p>
                      <w:pPr>
                        <w:ind w:firstLine="709"/>
                        <w:jc w:val="both"/>
                      </w:pPr>
                      <w:sdt>
                        <w:sdtPr>
                          <w:alias w:val="Numeris"/>
                          <w:tag w:val="nr_e468bd4c3d674191b4e3021e5992f135"/>
                          <w:lock w:val="sdtLocked"/>
                          <w:richText/>
                        </w:sdtPr>
                        <w:sdtContent>
                          <w:r>
                            <w:t>10.17</w:t>
                          </w:r>
                        </w:sdtContent>
                      </w:sdt>
                      <w:r>
                        <w:t xml:space="preserve">. kaimo vietovėse esančiose pirminės sveikatos priežiūros įstaigose aprūpinant gyventojus vaistiniais preparatais Gyventojų aprūpinimo vaistiniais preparatais ir medicininės paskirties produktais per kaimo vietovėse esančias pirminės sveikatos priežiūros įstaigas taisyklių, patvirtintų Lietuvos Respublikos Vyriausybės 2007 m. rugpjūčio 8 d. nutarimu Nr. 805 (Žin., 2007, Nr. 90-3574),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0-1 p."/>
                <w:tag w:val="part_0186822bd3dc4bc286f284b1daf14941"/>
                <w:lock w:val="sdtLocked"/>
                <w:richText/>
              </w:sdtPr>
              <w:sdtContent>
                <w:p>
                  <w:pPr>
                    <w:ind w:firstLine="708"/>
                    <w:jc w:val="both"/>
                  </w:pPr>
                  <w:sdt>
                    <w:sdtPr>
                      <w:alias w:val="Numeris"/>
                      <w:tag w:val="nr_0186822bd3dc4bc286f284b1daf14941"/>
                      <w:lock w:val="sdtLocked"/>
                      <w:richText/>
                    </w:sdtPr>
                    <w:sdtContent>
                      <w:r>
                        <w:rPr>
                          <w:color w:val="000000"/>
                        </w:rPr>
                        <w:t>10</w:t>
                      </w:r>
                      <w:r>
                        <w:rPr>
                          <w:color w:val="000000"/>
                          <w:vertAlign w:val="superscript"/>
                        </w:rPr>
                        <w:t>1</w:t>
                      </w:r>
                    </w:sdtContent>
                  </w:sdt>
                  <w:r>
                    <w:rPr>
                      <w:color w:val="000000"/>
                    </w:rPr>
                    <w:t>. Kai šio Aprašo 10.2, 10.12 ir 10.14 punktuose nustatytais atvejais kiekvienam asmeniui išduodamas bilietas, pinigų priėmimo kvitas ar kitas vietoj jo naudojamas apskaitos dokumentas papildomai neišrašomas.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 p."/>
                <w:tag w:val="part_d645963f02b54436971ad2a1f789f742"/>
                <w:lock w:val="sdtLocked"/>
                <w:richText/>
              </w:sdtPr>
              <w:sdtContent>
                <w:p>
                  <w:pPr>
                    <w:ind w:firstLine="709"/>
                    <w:jc w:val="both"/>
                    <w:rPr>
                      <w:color w:val="000000"/>
                    </w:rPr>
                  </w:pPr>
                  <w:sdt>
                    <w:sdtPr>
                      <w:alias w:val="Numeris"/>
                      <w:tag w:val="nr_d645963f02b54436971ad2a1f789f742"/>
                      <w:lock w:val="sdtLocked"/>
                      <w:richText/>
                    </w:sdtPr>
                    <w:sdtContent>
                      <w:r>
                        <w:rPr>
                          <w:color w:val="000000"/>
                        </w:rPr>
                        <w:t>11</w:t>
                      </w:r>
                    </w:sdtContent>
                  </w:sdt>
                  <w:r>
                    <w:rPr>
                      <w:color w:val="000000"/>
                    </w:rPr>
                    <w:t xml:space="preserve">. Naudoti kasos aparatų nereikalaujama, kai kiekvienam asmeniui išduodamas pinigų priėmimo kvitas arba kitas teisės aktų nustatytais atvejais vietoj jo naudojamas apskaitos dokumentas arba bilietas: </w:t>
                  </w:r>
                </w:p>
                <w:sdt>
                  <w:sdtPr>
                    <w:alias w:val="11.1 p."/>
                    <w:tag w:val="part_2abfd478f4ea4c259acc884e948abc0c"/>
                    <w:lock w:val="sdtLocked"/>
                    <w:richText/>
                  </w:sdtPr>
                  <w:sdtContent>
                    <w:p>
                      <w:pPr>
                        <w:ind w:firstLine="709"/>
                        <w:jc w:val="both"/>
                        <w:rPr>
                          <w:color w:val="000000"/>
                        </w:rPr>
                      </w:pPr>
                      <w:sdt>
                        <w:sdtPr>
                          <w:alias w:val="Numeris"/>
                          <w:tag w:val="nr_2abfd478f4ea4c259acc884e948abc0c"/>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7bda3c1cbe174399b9b413793e7ac5c2"/>
                    <w:lock w:val="sdtLocked"/>
                    <w:richText/>
                  </w:sdtPr>
                  <w:sdtContent>
                    <w:p>
                      <w:pPr>
                        <w:ind w:firstLine="709"/>
                        <w:jc w:val="both"/>
                      </w:pPr>
                      <w:sdt>
                        <w:sdtPr>
                          <w:alias w:val="Numeris"/>
                          <w:tag w:val="nr_7bda3c1cbe174399b9b413793e7ac5c2"/>
                          <w:lock w:val="sdtLocked"/>
                          <w:richText/>
                        </w:sdtPr>
                        <w:sdtContent>
                          <w:r>
                            <w:t>11.2</w:t>
                          </w:r>
                        </w:sdtContent>
                      </w:sdt>
                      <w:r>
                        <w:t xml:space="preserve">. kaimo vietovių pirminės sveikatos priežiūros ir slaugos įstaigose (medicinos punktuose), išskyrus šio Aprašo 10.17 punkte nurodytu atveju;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sdt>
                  <w:sdtPr>
                    <w:alias w:val="11.3 p."/>
                    <w:tag w:val="part_fa7f5491818f48ffa51d89e108f2987e"/>
                    <w:lock w:val="sdtLocked"/>
                    <w:richText/>
                  </w:sdtPr>
                  <w:sdtContent>
                    <w:p>
                      <w:pPr>
                        <w:ind w:firstLine="709"/>
                        <w:jc w:val="both"/>
                      </w:pPr>
                      <w:sdt>
                        <w:sdtPr>
                          <w:alias w:val="Numeris"/>
                          <w:tag w:val="nr_fa7f5491818f48ffa51d89e108f2987e"/>
                          <w:lock w:val="sdtLocked"/>
                          <w:richText/>
                        </w:sdtPr>
                        <w:sdtContent>
                          <w:r>
                            <w:t>11.3</w:t>
                          </w:r>
                        </w:sdtContent>
                      </w:sdt>
                      <w:r>
                        <w:t>. ne patalpose (lauke) įrengtose paslaugų teikimo vietose (turgavietėse jų administratorių nustatytiems mokesčiams</w:t>
                      </w:r>
                      <w:r>
                        <w:rPr>
                          <w:b/>
                        </w:rPr>
                        <w:t xml:space="preserve"> </w:t>
                      </w:r>
                      <w:r>
                        <w:t xml:space="preserve">priimti, nesaugomose automobilių stovėjimo aikštelėse, turto nuomos (dviračių, valčių ar kito turto nuomos ir panašiai) bei viešuosiuose tualetuose;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1.4 p."/>
                    <w:tag w:val="part_9b45ef6f025e4fe2ba94d853395cf2d1"/>
                    <w:lock w:val="sdtLocked"/>
                    <w:richText/>
                  </w:sdtPr>
                  <w:sdtContent>
                    <w:p>
                      <w:pPr>
                        <w:ind w:firstLine="708"/>
                        <w:jc w:val="both"/>
                      </w:pPr>
                      <w:sdt>
                        <w:sdtPr>
                          <w:alias w:val="Numeris"/>
                          <w:tag w:val="nr_9b45ef6f025e4fe2ba94d853395cf2d1"/>
                          <w:lock w:val="sdtLocked"/>
                          <w:richText/>
                        </w:sdtPr>
                        <w:sdtContent>
                          <w:r>
                            <w:rPr>
                              <w:color w:val="000000"/>
                            </w:rPr>
                            <w:t>11.4</w:t>
                          </w:r>
                        </w:sdtContent>
                      </w:sdt>
                      <w:r>
                        <w:rPr>
                          <w:color w:val="000000"/>
                        </w:rPr>
                        <w:t>. teatrų, muziejų, savivaldybių kultūros centrų, kino teatrų ir kino rodymo punktų, sporto, pramogų ir koncertinių įmonių bilietų kasose, kuriose parduodami tik bilietai, naudojami ir apskaitomi finansų ministro nustatyta tvarka, ir tokiems renginiams skirti informaciniai ar reklaminiai leidiniai;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5 p."/>
                    <w:tag w:val="part_adc64d1c32ab4da6bc56406d9a3cb85a"/>
                    <w:lock w:val="sdtLocked"/>
                    <w:richText/>
                  </w:sdtPr>
                  <w:sdtContent>
                    <w:p>
                      <w:pPr>
                        <w:ind w:firstLine="709"/>
                        <w:jc w:val="both"/>
                        <w:rPr>
                          <w:color w:val="000000"/>
                        </w:rPr>
                      </w:pPr>
                      <w:sdt>
                        <w:sdtPr>
                          <w:alias w:val="Numeris"/>
                          <w:tag w:val="nr_adc64d1c32ab4da6bc56406d9a3cb85a"/>
                          <w:lock w:val="sdtLocked"/>
                          <w:richText/>
                        </w:sdtPr>
                        <w:sdtContent>
                          <w:r>
                            <w:rPr>
                              <w:color w:val="000000"/>
                            </w:rPr>
                            <w:t>11.5</w:t>
                          </w:r>
                        </w:sdtContent>
                      </w:sdt>
                      <w:r>
                        <w:rPr>
                          <w:color w:val="000000"/>
                        </w:rPr>
                        <w:t>. sugedus kasos aparatui arba pažeidus jo plombą, taip pat kitais šio tvarkos Aprašo 30 ir 44 punktuose nustatytais atvejais, kai atitinkamą kasos aparatą naudoti draudžiama, tačiau tik tokio kasos aparato remonto, aptarnavimo ar keitimo laikotarpiu ir tik iškvietus aptarnavimo specialistą ir (ar) užregistravus iškvietimą kasos operacijų žurnale pagal šios tvarkos 29 punkto reikalavimus;</w:t>
                      </w:r>
                    </w:p>
                  </w:sdtContent>
                </w:sdt>
                <w:sdt>
                  <w:sdtPr>
                    <w:alias w:val="11.6 p."/>
                    <w:tag w:val="part_52ec90a1f7d64c9a894e7608265b4e98"/>
                    <w:lock w:val="sdtLocked"/>
                    <w:richText/>
                  </w:sdtPr>
                  <w:sdtContent>
                    <w:p>
                      <w:pPr>
                        <w:ind w:firstLine="709"/>
                        <w:jc w:val="both"/>
                      </w:pPr>
                      <w:sdt>
                        <w:sdtPr>
                          <w:alias w:val="Numeris"/>
                          <w:tag w:val="nr_52ec90a1f7d64c9a894e7608265b4e98"/>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sdt>
                  <w:sdtPr>
                    <w:alias w:val="11.7 p."/>
                    <w:tag w:val="part_06d0f32f65134756942c0481e57d1613"/>
                    <w:lock w:val="sdtLocked"/>
                    <w:richText/>
                  </w:sdtPr>
                  <w:sdtContent>
                    <w:p>
                      <w:pPr>
                        <w:pStyle w:val="PlainText"/>
                        <w:ind w:firstLine="567"/>
                        <w:jc w:val="both"/>
                        <w:rPr>
                          <w:rFonts w:ascii="Times New Roman" w:hAnsi="Times New Roman"/>
                          <w:b/>
                          <w:bCs/>
                          <w:sz w:val="22"/>
                        </w:rPr>
                      </w:pPr>
                      <w:r>
                        <w:rPr>
                          <w:rFonts w:ascii="Times New Roman" w:hAnsi="Times New Roman"/>
                          <w:sz w:val="22"/>
                        </w:rPr>
                        <w:t>11.7.</w:t>
                      </w:r>
                      <w:r>
                        <w:rPr>
                          <w:rFonts w:ascii="Times New Roman" w:eastAsia="MS Mincho" w:hAnsi="Times New Roman"/>
                          <w:sz w:val="20"/>
                          <w:i/>
                          <w:iCs/>
                        </w:rPr>
                        <w:t xml:space="preserve"> Neteko galios nuo 2012-05-27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432EF1E5A8">
                        <w:r w:rsidRPr="00532B9F">
                          <w:rPr>
                            <w:rFonts w:ascii="Times New Roman" w:eastAsia="MS Mincho" w:hAnsi="Times New Roman"/>
                            <w:sz w:val="20"/>
                            <w:i/>
                            <w:iCs/>
                            <w:color w:val="0000FF" w:themeColor="hyperlink"/>
                            <w:u w:val="single"/>
                          </w:rPr>
                          <w:t>1262</w:t>
                        </w:r>
                      </w:fldSimple>
                      <w:r>
                        <w:rPr>
                          <w:rFonts w:ascii="Times New Roman" w:eastAsia="MS Mincho" w:hAnsi="Times New Roman"/>
                          <w:sz w:val="20"/>
                          <w:i/>
                          <w:iCs/>
                        </w:rPr>
                        <w:t>,
2011-10-27,
Žin., 2011, Nr.
133-6317 (2011-11-08), i. k. 1111100NUTA00001262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8368a008bcb1477e939b33db7b659eeb"/>
                    <w:lock w:val="sdtLocked"/>
                    <w:richText/>
                  </w:sdtPr>
                  <w:sdtContent>
                    <w:p>
                      <w:pPr>
                        <w:ind w:firstLine="709"/>
                        <w:jc w:val="both"/>
                      </w:pPr>
                      <w:sdt>
                        <w:sdtPr>
                          <w:alias w:val="Numeris"/>
                          <w:tag w:val="nr_8368a008bcb1477e939b33db7b659eeb"/>
                          <w:lock w:val="sdtLocked"/>
                          <w:richText/>
                        </w:sdtPr>
                        <w:sdtContent>
                          <w:r>
                            <w:t>12.1</w:t>
                          </w:r>
                        </w:sdtContent>
                      </w:sdt>
                      <w:r>
                        <w:t xml:space="preserve">. gyventojų, kurie verčiasi individualia veikla, kaip ši sąvoka apibrėžta Lietuvos Respublikos gyventojų pajamų mokesčio įstatyme (Žin., 2002, Nr. 73-3085), ir teikia paslaugas arba parduoda savo gamybos ne maisto prekes;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432EF1E5A8">
                        <w:r w:rsidRPr="00532B9F">
                          <w:rPr>
                            <w:rFonts w:ascii="Times New Roman" w:eastAsia="MS Mincho" w:hAnsi="Times New Roman"/>
                            <w:sz w:val="20"/>
                            <w:i/>
                            <w:iCs/>
                            <w:color w:val="0000FF" w:themeColor="hyperlink"/>
                            <w:u w:val="single"/>
                          </w:rPr>
                          <w:t>1262</w:t>
                        </w:r>
                      </w:fldSimple>
                      <w:r>
                        <w:rPr>
                          <w:rFonts w:ascii="Times New Roman" w:eastAsia="MS Mincho" w:hAnsi="Times New Roman"/>
                          <w:sz w:val="20"/>
                          <w:i/>
                          <w:iCs/>
                        </w:rPr>
                        <w:t>,
2011-10-27,
Žin., 2011, Nr.
133-6317 (2011-11-08), i. k. 1111100NUTA00001262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0742ec8ff17547ffa13623c755b0c4db"/>
                    <w:lock w:val="sdtLocked"/>
                    <w:richText/>
                  </w:sdtPr>
                  <w:sdtContent>
                    <w:p>
                      <w:pPr>
                        <w:ind w:firstLine="709"/>
                        <w:jc w:val="both"/>
                        <w:rPr>
                          <w:color w:val="000000"/>
                        </w:rPr>
                      </w:pPr>
                      <w:sdt>
                        <w:sdtPr>
                          <w:alias w:val="Numeris"/>
                          <w:tag w:val="nr_0742ec8ff17547ffa13623c755b0c4db"/>
                          <w:lock w:val="sdtLocked"/>
                          <w:richText/>
                        </w:sdtPr>
                        <w:sdtContent>
                          <w:r>
                            <w:rPr>
                              <w:color w:val="000000"/>
                            </w:rPr>
                            <w:t>12.4</w:t>
                          </w:r>
                        </w:sdtContent>
                      </w:sdt>
                      <w:r>
                        <w:rPr>
                          <w:color w:val="000000"/>
                        </w:rPr>
                        <w:t>. avansams, užstatams priimti (daiktų nuomos ir panašiais atvejais) ir pinigams už anksčiau kreditan parduotas prekes įnešti. Šios įmokos priimamos pagal pinigų priėmimo kvitus. Kai šių ūkinių operacijų atlikimo darbo vietoje įrengtas kasos aparatas ir visi grynieji pinigai laikomi kasos aparato kasoje, dar išspausdinamas ir kasos aparato kvitas, kuriame nurodomas pinigų įdėjimas.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2-1 p."/>
                <w:tag w:val="part_79e46dda950e458ab129385dfdefb8c2"/>
                <w:lock w:val="sdtLocked"/>
                <w:richText/>
              </w:sdtPr>
              <w:sdtContent>
                <w:p>
                  <w:pPr>
                    <w:ind w:firstLine="709"/>
                    <w:jc w:val="both"/>
                    <w:rPr>
                      <w:color w:val="000000"/>
                    </w:rPr>
                  </w:pPr>
                  <w:sdt>
                    <w:sdtPr>
                      <w:alias w:val="Numeris"/>
                      <w:tag w:val="nr_79e46dda950e458ab129385dfdefb8c2"/>
                      <w:lock w:val="sdtLocked"/>
                      <w:richText/>
                    </w:sdtPr>
                    <w:sdtContent>
                      <w:r>
                        <w:t>12</w:t>
                      </w:r>
                      <w:r>
                        <w:rPr>
                          <w:vertAlign w:val="superscript"/>
                        </w:rPr>
                        <w:t>1</w:t>
                      </w:r>
                    </w:sdtContent>
                  </w:sdt>
                  <w:r>
                    <w:t xml:space="preserve">. </w:t>
                  </w:r>
                  <w:r>
                    <w:rPr>
                      <w:bCs/>
                      <w:color w:val="000000"/>
                    </w:rPr>
                    <w:t>Be šio Aprašo 10–12 punktuose nurodytų atvejų, kasos aparatų naudoti nereikalaujama ir Valstybinės mokesčių inspekcijos nustatytais atvejais, kai kasos aparato naudoti neįmanoma dėl objektyvių priežasčių arba kasos aparato naudojimas sukeltų akivaizdžiai neproporcingą administracinę naštą. Tokiais atvejais Valstybinė mokesčių inspekcija, atsižvelgdama į ūkinių operacijų mastą ir pobūdį, nustato ir reikalavimus dėl šio Aprašo 10–12 punktuose nurodytų apskaitos dokumentų išrašymo.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2d30ece57df6460db85cefa63fe78dd1"/>
                <w:lock w:val="sdtLocked"/>
                <w:richText/>
              </w:sdtPr>
              <w:sdtContent>
                <w:p>
                  <w:pPr>
                    <w:ind w:firstLine="709"/>
                    <w:jc w:val="both"/>
                  </w:pPr>
                  <w:sdt>
                    <w:sdtPr>
                      <w:alias w:val="Numeris"/>
                      <w:tag w:val="nr_2d30ece57df6460db85cefa63fe78dd1"/>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 Aprašo 16 punkte nustatytus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4 p."/>
                <w:tag w:val="part_5745672bd5ed4d25b1a62bbaffff9ea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5745672bd5ed4d25b1a62bbaffff9ea1"/>
                      <w:lock w:val="sdtLocked"/>
                      <w:richText/>
                    </w:sdtPr>
                    <w:sdtContent>
                      <w:r>
                        <w:t>14</w:t>
                      </w:r>
                    </w:sdtContent>
                  </w:sdt>
                  <w:r>
                    <w:t xml:space="preserve">. Kasos aparatą turi naudoti tik tas ūkio subjektas, kurio vardu jis užregistruotas teritorinėje valstybinėje mokesčių inspekcijoje, </w:t>
                  </w:r>
                  <w:r>
                    <w:rPr>
                      <w:bCs/>
                      <w:color w:val="000000"/>
                    </w:rPr>
                    <w:t>išskyrus tuos atvejus, kai individualia veikla besiverčiantis gyventojas, sudaręs naudojimosi kasos aparatu sutartį, naudoja kito ūkio subjekto vardu užregistruotą kasos aparatą. Tokios sutarties (sutarčių) sudarymas fiksuojamas arba apie jį pranešama Valstybinės mokesčių inspekcijos nustatyta tvarka. Valstybinė mokesčių inspekcija gali nustatyti kitus atvejus ir sąlygas, kai gali būti naudojamas kito ūkio subjekto vardu užregistruotas kasos aparatas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5 p."/>
                <w:tag w:val="part_a620cd609f7d4c219989e7fc06c4885b"/>
                <w:lock w:val="sdtLocked"/>
                <w:richText/>
              </w:sdtPr>
              <w:sdtContent>
                <w:p>
                  <w:pPr>
                    <w:ind w:firstLine="709"/>
                    <w:jc w:val="both"/>
                    <w:rPr>
                      <w:color w:val="000000"/>
                    </w:rPr>
                  </w:pPr>
                  <w:sdt>
                    <w:sdtPr>
                      <w:alias w:val="Numeris"/>
                      <w:tag w:val="nr_a620cd609f7d4c219989e7fc06c4885b"/>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 Aprašo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rPr>
                      <w:color w:val="000000"/>
                    </w:rPr>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p>
                  <w:pPr>
                    <w:ind w:firstLine="709"/>
                    <w:jc w:val="both"/>
                  </w:pPr>
                  <w:r>
                    <w:rPr>
                      <w:bCs/>
                      <w:color w:val="000000"/>
                    </w:rPr>
                    <w:t>Tais atvejais, kai individualia veikla besiverčiantis gyventojas, turėdamas naudojimosi kasos aparatu sutartį, naudoja kito ūkio subjekto vardu užregistruotą kasos aparatą, kasos aparato perregistruoti nereikalaujama, jei įvykdomos šio Aprašo 14 punkte nurodytos sąlygos. Valstybinė mokesčių inspekcija gali nustatyti kitus atvejus ir sąlygas, kai kasos aparato išregistruoti ar perregistruoti nebūtina.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6 p."/>
                <w:tag w:val="part_14308fa0e3cc49eeb65c6d4ff0d33093"/>
                <w:lock w:val="sdtLocked"/>
                <w:richText/>
              </w:sdtPr>
              <w:sdtContent>
                <w:p>
                  <w:pPr>
                    <w:ind w:firstLine="709"/>
                    <w:jc w:val="both"/>
                    <w:rPr>
                      <w:color w:val="000000"/>
                    </w:rPr>
                  </w:pPr>
                  <w:sdt>
                    <w:sdtPr>
                      <w:alias w:val="Numeris"/>
                      <w:tag w:val="nr_14308fa0e3cc49eeb65c6d4ff0d33093"/>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rPr>
                      <w:color w:val="000000"/>
                    </w:rPr>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p>
                <w:p>
                  <w:pPr>
                    <w:ind w:firstLine="709"/>
                    <w:jc w:val="both"/>
                  </w:pPr>
                  <w:r>
                    <w:t>Kiekvienas iš Lietuvos Respublikoje leidžiamų naudoti kasos aparatų ir prekybos (paslaugų teikimo) automatų modelių sąrašo išbraukto modelio kasos aparatas turi būti profilaktiškai aptarnautas ne vėliau kaip per 12 mėnesių po paskutinio kasos aparato profilaktinio aptarnavimo ar remonto. Ūkio subjektas privalo kreiptis į aptarnavimo įmonę dėl profilaktinės kasos aparato apžiūros, kaip numatyta šio Aprašo 29 punkte, ne vėliau kaip likus 20 dienų iki 12 mėnesių termino pabaigos. Draudžiama naudoti iš Lietuvos Respublikoje leidžiamų naudoti kasos aparatų ir prekybos (paslaugų teikimo) automatų modelių sąrašo išbraukto modelio kasos aparatą, kuris nebuvo profilaktiškai aptarnautas ar remontuotas ilgiau kaip 12 mėnesių, išskyrus šio Aprašo 27 punkte nustatytą kasos aparato aptarnavimo ar remonto laikotarpį, tačiau tik iškvietus aptarnavimo specialistą ir (ar) užregistravus iškvietimą kasos operacijų žurnale pagal šio Aprašo 29 punkto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17 p."/>
                <w:tag w:val="part_f936f89baaa04c1b81f0ee7806921593"/>
                <w:lock w:val="sdtLocked"/>
                <w:richText/>
              </w:sdtPr>
              <w:sdtContent>
                <w:p>
                  <w:pPr>
                    <w:ind w:firstLine="709"/>
                    <w:jc w:val="both"/>
                  </w:pPr>
                  <w:sdt>
                    <w:sdtPr>
                      <w:alias w:val="Numeris"/>
                      <w:tag w:val="nr_f936f89baaa04c1b81f0ee7806921593"/>
                      <w:lock w:val="sdtLocked"/>
                      <w:richText/>
                    </w:sdtPr>
                    <w:sdtContent>
                      <w:r>
                        <w:rPr>
                          <w:color w:val="000000"/>
                        </w:rPr>
                        <w:t>17</w:t>
                      </w:r>
                    </w:sdtContent>
                  </w:sdt>
                  <w:r>
                    <w:rPr>
                      <w:color w:val="000000"/>
                    </w:rPr>
                    <w:t>. Kai šio Aprašo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8 p."/>
                <w:tag w:val="part_20e40bf0afb9452a889d1760da064a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rPr>
                  </w:pPr>
                  <w:sdt>
                    <w:sdtPr>
                      <w:alias w:val="Numeris"/>
                      <w:tag w:val="nr_20e40bf0afb9452a889d1760da064aca"/>
                      <w:lock w:val="sdtLocked"/>
                      <w:richText/>
                    </w:sdtPr>
                    <w:sdtContent>
                      <w:r>
                        <w:t>18</w:t>
                      </w:r>
                    </w:sdtContent>
                  </w:sdt>
                  <w:r>
                    <w:t>. Kiekvienam naudojamam kasos aparatui turi būti pildomas atskiras Valstybinės mokesčių inspekcijos nustatyta tvarka įformintas kasos aparato kasos operacijų žurnalas. Šiame žurnale turi būti kasos aparato kiekvienos darbo dienos ataskaita („Z“), išskyrus šio punkto antrojoje pastraipoje nurodytus atvejus.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kasos aparatą naudojančio gyventojo, įklijuotos ir įregistruotos kasos aparato kasos operacijų žurnale. Žurnalas per darbo dieną laikomas kasos operacijų atlikimo vietoje. Transporto priemonėse ir kitose nestacionariose atsiskaitymo vietose gali būti laikoma kasos aparato kasos operacijų žurnalo titulinio lapo kopija. Užpildytas kasos operacijų žurnalas saugomas 10 metų. Valstybinė mokesčių inspekcija individualia veikla besiverčiantiems gyventojams gali nustatyti kitokią kasos aparato kasos operacijų žurnalo laikymo prekybos vietoje tvarką.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r>
                    <w:t xml:space="preserve">Kasos aparatų, kurie veikia (išduoda prekę ar suteikia paslaugą ir registruoja įplaukas) be kasininko ar kito darbuotojo (automatinės degalinės, prekybos ir paslaugų automatai), dienos ataskaitas galima spausdinti tik atliekant inkasavimą, bet ne rečiau kaip kartą per mėnesį. Šių aparatų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 Automatinių degalinių kasos operacijų žurnalai gali būti laikomi ūkio subjekto buhalterijoje, juose klijuojamos visos išspausdintos dienos ataskaitos („Z“), kurių bendra įplaukų suma gali būti registruojama vienu įrašu ne rečiau kaip kartą per mėnesį.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9 p."/>
                <w:tag w:val="part_5aaab35e746643ffa0391904ca7f1799"/>
                <w:lock w:val="sdtLocked"/>
                <w:richText/>
              </w:sdtPr>
              <w:sdtContent>
                <w:p>
                  <w:pPr>
                    <w:ind w:firstLine="709"/>
                    <w:jc w:val="both"/>
                  </w:pPr>
                  <w:sdt>
                    <w:sdtPr>
                      <w:alias w:val="Numeris"/>
                      <w:tag w:val="nr_5aaab35e746643ffa0391904ca7f1799"/>
                      <w:lock w:val="sdtLocked"/>
                      <w:richText/>
                    </w:sdtPr>
                    <w:sdtContent>
                      <w:r>
                        <w:rPr>
                          <w:color w:val="000000"/>
                        </w:rPr>
                        <w:t>19</w:t>
                      </w:r>
                    </w:sdtContent>
                  </w:sdt>
                  <w:r>
                    <w:rPr>
                      <w:color w:val="000000"/>
                    </w:rPr>
                    <w:t xml:space="preserve">. Kasos aparatas nuo neteisėto atidarymo turi būti apsaugotas plomba arba šio Aprašo 23 punkte nurodytu lipduku (toliau vadinama – plomba).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0 p."/>
                <w:tag w:val="part_e2ebe9e1432d49a4bffd05054a2f1a1e"/>
                <w:lock w:val="sdtLocked"/>
                <w:richText/>
              </w:sdtPr>
              <w:sdtContent>
                <w:p>
                  <w:pPr>
                    <w:ind w:firstLine="709"/>
                    <w:jc w:val="both"/>
                    <w:rPr>
                      <w:color w:val="000000"/>
                    </w:rPr>
                  </w:pPr>
                  <w:sdt>
                    <w:sdtPr>
                      <w:alias w:val="Numeris"/>
                      <w:tag w:val="nr_e2ebe9e1432d49a4bffd05054a2f1a1e"/>
                      <w:lock w:val="sdtLocked"/>
                      <w:richText/>
                    </w:sdtPr>
                    <w:sdtContent>
                      <w:r>
                        <w:rPr>
                          <w:color w:val="000000"/>
                        </w:rPr>
                        <w:t>20</w:t>
                      </w:r>
                    </w:sdtContent>
                  </w:sdt>
                  <w:r>
                    <w:rPr>
                      <w:color w:val="000000"/>
                    </w:rPr>
                    <w:t xml:space="preserve">. Kasos aparato duomenys apie priimtų ir inkasuotų grynųjų pinigų sumas turi sutapti su kasos operacijų žurnale įrašytomis sumomis, o šiame žurnale nurodyta inkasuota suma – su kasos pajamų orderiuose įrašyta arba inkasatorių inkasuota suma. </w:t>
                  </w:r>
                </w:p>
                <w:p>
                  <w:pPr>
                    <w:ind w:firstLine="709"/>
                    <w:jc w:val="both"/>
                    <w:rPr>
                      <w:color w:val="000000"/>
                    </w:rPr>
                  </w:pPr>
                  <w:r>
                    <w:rPr>
                      <w:color w:val="000000"/>
                    </w:rPr>
                    <w:t>Pinigų inkasavimo terminą ūkio subjektai nusistato vadovaudamiesi Kasos darbo organizavimo ir kasos operacijų atlikimo taisyklėmis, patvirtintomis Lietuvos Respublikos Vyriausybės 2000 m. vasario 17 d. nutarimu Nr. 179.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Kontroliuojančių institucijų patikrinimo metu šie pinigai pateikiami kartu su jų perkėlimą patvirtinančiais kvitais.</w:t>
                  </w:r>
                </w:p>
                <w:p>
                  <w:pPr>
                    <w:ind w:firstLine="709"/>
                    <w:jc w:val="both"/>
                    <w:rPr>
                      <w:color w:val="000000"/>
                    </w:rPr>
                  </w:pPr>
                  <w:r>
                    <w:rPr>
                      <w:color w:val="000000"/>
                    </w:rPr>
                    <w:t>Klaidų taisymas (kai klaida pastebėta baigus spausdinti kvitą ar pirkėjas atsisako sumokėti teisingai išspausdintą sumą) ir prekių grąžinimas įforminami surašant klaidos taisymo ar grąžinamos prekės priėmimo aktą, prie kurio pridedamas klaidingai išspausdintas ar grąžinamos prekės pardavimo kvitas (visais atvejais originalas) ir pinigų išėmimo iš kasos aparato kasos kvitas. Tik tokiu būdu įformintuose aktuose užfiksuota grąžinimų ir taisymų suma dienos pabaigoje registruojama atitinkamoje kasos operacijų žurnalo grafoje ir pagrindžia kasos aparate užregistruotos inkasuotinos realizacijos sumos sumažėjimą.</w:t>
                  </w:r>
                </w:p>
              </w:sdtContent>
            </w:sdt>
            <w:sdt>
              <w:sdtPr>
                <w:alias w:val="21 p."/>
                <w:tag w:val="part_b00ca6aa4c034b5fae2da80496856fa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00ca6aa4c034b5fae2da80496856fa0"/>
                      <w:lock w:val="sdtLocked"/>
                      <w:richText/>
                    </w:sdtPr>
                    <w:sdtContent>
                      <w:r>
                        <w:t>21</w:t>
                      </w:r>
                    </w:sdtContent>
                  </w:sdt>
                  <w:r>
                    <w:t xml:space="preserve">. Kasos aparato kasoje ir kasos operacijų atlikimo vietoje draudžiama laikyti neapskaitytus (taip pat asmeninius) pinigus. Kasos aparatu apskaitytų pinigų kiekis turi sutapti su kasos aparato kasoje ir kasos operacijų atlikimo vietoje laikomų pinigų kiekiu.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Valstybinė mokesčių inspekcija individualia veikla besiverčiantiems gyventojams gali nustatyti kitokią pinigų laikymo kasos operacijų atlikimo vietoje tvarką.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 xml:space="preserve">Kai prie vieno kasos aparato vienu metu dirba keli kasininkai ir kasos aparatu tvarkoma atskira kiekvieno kasininko įplaukų apskaita, kiekvienam kasininkui įrengiama atskira kasos aparato kasa.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22 p."/>
                <w:tag w:val="part_f3fdc9dc293f4dcfa3dbd55558f796f0"/>
                <w:lock w:val="sdtLocked"/>
                <w:richText/>
              </w:sdtPr>
              <w:sdtContent>
                <w:p>
                  <w:pPr>
                    <w:ind w:firstLine="708"/>
                    <w:jc w:val="both"/>
                    <w:rPr>
                      <w:color w:val="000000"/>
                    </w:rPr>
                  </w:pPr>
                  <w:sdt>
                    <w:sdtPr>
                      <w:alias w:val="Numeris"/>
                      <w:tag w:val="nr_f3fdc9dc293f4dcfa3dbd55558f796f0"/>
                      <w:lock w:val="sdtLocked"/>
                      <w:richText/>
                    </w:sdtPr>
                    <w:sdtContent>
                      <w:r>
                        <w:rPr>
                          <w:color w:val="000000"/>
                        </w:rPr>
                        <w:t>22</w:t>
                      </w:r>
                    </w:sdtContent>
                  </w:sdt>
                  <w:r>
                    <w:rPr>
                      <w:color w:val="000000"/>
                    </w:rPr>
                    <w:t>. Kasos aparatų ir su jais susijusių techninių įrenginių priežiūrą ir remontą gali atlikti tik juridiniai asmenys ir užsienio juridinių asmenų filialai, įregistruoti Lietuvos Respublikoje ir turintys sertifikatą, leidžiantį atlikti jame įrašytų modelių kasos aparatų techninės priežiūros ir remonto darbus. Sertifikatų išdavimo taisykles nustato Valstybinė mokesčių inspekcija.</w:t>
                  </w:r>
                </w:p>
                <w:p>
                  <w:pPr>
                    <w:ind w:firstLine="708"/>
                    <w:jc w:val="both"/>
                  </w:pPr>
                  <w:r>
                    <w:rPr>
                      <w:color w:val="000000"/>
                    </w:rPr>
                    <w:t>Kasos aparatą aptarnauja jį įrengusi aptarnavimo įmonė ar kita tokių modelių kasos aparatus prižiūrinti aptarnavimo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5b4b730268954eb197d772cdfa921f2f"/>
                <w:lock w:val="sdtLocked"/>
                <w:richText/>
              </w:sdtPr>
              <w:sdtContent>
                <w:p>
                  <w:pPr>
                    <w:ind w:firstLine="709"/>
                    <w:jc w:val="both"/>
                    <w:rPr>
                      <w:color w:val="000000"/>
                    </w:rPr>
                  </w:pPr>
                  <w:sdt>
                    <w:sdtPr>
                      <w:alias w:val="Numeris"/>
                      <w:tag w:val="nr_5b4b730268954eb197d772cdfa921f2f"/>
                      <w:lock w:val="sdtLocked"/>
                      <w:richText/>
                    </w:sdtPr>
                    <w:sdtContent>
                      <w:r>
                        <w:rPr>
                          <w:color w:val="000000"/>
                        </w:rPr>
                        <w:t>27</w:t>
                      </w:r>
                    </w:sdtContent>
                  </w:sdt>
                  <w:r>
                    <w:rPr>
                      <w:color w:val="000000"/>
                    </w:rPr>
                    <w:t>. Ūkio subjektas gali sudaryti ilgalaikę arba vienkartinio kasos aparato aptarnavimo ir (ar) remonto sutartį. Ūkio subjektas, nesudaręs ilgalaikės kasos aparato aptarnavimo ir (ar) remonto sutarties, gali kreiptis į bet kurią šio Aprašo 22 punkte nurodytą aptarnavimo įmonę su prašymu atlikti kasos aparato aptarnavimą ar remontą.</w:t>
                  </w:r>
                </w:p>
                <w:p>
                  <w:pPr>
                    <w:ind w:firstLine="709"/>
                    <w:jc w:val="both"/>
                    <w:rPr>
                      <w:color w:val="000000"/>
                    </w:rPr>
                  </w:pPr>
                  <w:r>
                    <w:rPr>
                      <w:color w:val="000000"/>
                    </w:rPr>
                    <w:t xml:space="preserve">Aptarnavimo įmonė privalo pildyti prašymų registravimo knygą (knygas), kurioje (kuriose) registruojami visi prašymai suremontuoti ar aptarnauti kasos aparatus. Aptarnavimo įmonė prašymų registravimo knygoje turi pažymėti, ar ūkio subjekto prašymas priimtas ar jo atsisakyta. </w:t>
                  </w:r>
                </w:p>
                <w:p>
                  <w:pPr>
                    <w:ind w:firstLine="709"/>
                    <w:jc w:val="both"/>
                    <w:rPr>
                      <w:color w:val="000000"/>
                    </w:rPr>
                  </w:pPr>
                  <w:r>
                    <w:rPr>
                      <w:color w:val="000000"/>
                    </w:rPr>
                    <w:t>Aptarnavimo įmonė, priėmusi ūkio subjekto prašymą, ne vėliau kaip per 10 dienų turi suremontuoti arba aptarnauti kasos aparatą. Jeigu dėl techninių priežasčių aptarnavimo įmonė kasos aparato suremontuoti negali, remonto laikotarpis gali būti pratęstas, bet ne ilgiau kaip 10 dienų.</w:t>
                  </w:r>
                </w:p>
                <w:p>
                  <w:pPr>
                    <w:ind w:firstLine="709"/>
                    <w:jc w:val="both"/>
                  </w:pPr>
                  <w:r>
                    <w:rPr>
                      <w:color w:val="000000"/>
                    </w:rPr>
                    <w:t>Kasos aparato remonto arba aptarnavimo laikotarpiu darbas gali būti tęsiamas – išduodami šio Aprašo 11 punkte nurodyti dokumentai, tačiau tik užregistravus aptarnavimo įmonės iškvietimą (kreipimąsi) šios tvarkos 29 punkte nustatyta tvarka. Minėtuoju laikotarpiu gali būti naudojamas ir rezervinis fiskalinis kasos aparatas.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e407e20cbb6a4aa6b2f326e64d3a673e"/>
                <w:lock w:val="sdtLocked"/>
                <w:richText/>
              </w:sdtPr>
              <w:sdtContent>
                <w:p>
                  <w:pPr>
                    <w:ind w:firstLine="709"/>
                    <w:jc w:val="both"/>
                  </w:pPr>
                  <w:sdt>
                    <w:sdtPr>
                      <w:alias w:val="Numeris"/>
                      <w:tag w:val="nr_e407e20cbb6a4aa6b2f326e64d3a673e"/>
                      <w:lock w:val="sdtLocked"/>
                      <w:richText/>
                    </w:sdtPr>
                    <w:sdtContent>
                      <w:r>
                        <w:rPr>
                          <w:color w:val="000000"/>
                        </w:rPr>
                        <w:t>29</w:t>
                      </w:r>
                    </w:sdtContent>
                  </w:sdt>
                  <w:r>
                    <w:rPr>
                      <w:color w:val="000000"/>
                    </w:rPr>
                    <w:t>. Visi aptarnavimo įmonės iškvietimai chronologine tvarka turi būti užregistruoti sugedusio ar aptarnautino kasos aparato kasos operacijų žurnale. Kasos operacijų žurnale nurodoma iškvietimo (kreipimosi) data, laikas, kasos aparatų aptarnavimo įmonės pavadinimas. Tik užregistravus iškvietimą (kreipimąsi) gali būti tęsiamas darbas, kaip numatyta šio Aprašo 27 punkto ketvirtojoje pastraipoje. Keleiviniame transporte iki reiso pabaigos darbas gali būti tęsiamas ir neužregistravus aptarnavimo įmonės iškvietimo.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0 p."/>
                <w:tag w:val="part_5989429abab8407492805f19bf43465a"/>
                <w:lock w:val="sdtLocked"/>
                <w:richText/>
              </w:sdtPr>
              <w:sdtContent>
                <w:p>
                  <w:pPr>
                    <w:pStyle w:val="PlainText"/>
                    <w:ind w:firstLine="567"/>
                    <w:jc w:val="both"/>
                    <w:rPr>
                      <w:rFonts w:ascii="Times New Roman" w:hAnsi="Times New Roman"/>
                      <w:b/>
                      <w:bCs/>
                      <w:sz w:val="22"/>
                    </w:rPr>
                  </w:pPr>
                  <w:r>
                    <w:rPr>
                      <w:rFonts w:ascii="Times New Roman" w:hAnsi="Times New Roman"/>
                      <w:sz w:val="22"/>
                    </w:rPr>
                    <w:t>30.</w:t>
                  </w:r>
                  <w:r>
                    <w:rPr>
                      <w:rFonts w:ascii="Times New Roman" w:eastAsia="MS Mincho" w:hAnsi="Times New Roman"/>
                      <w:sz w:val="20"/>
                      <w:i/>
                      <w:iCs/>
                    </w:rPr>
                    <w:t xml:space="preserve"> Neteko galios nuo 2011-06-12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f03ac45fd8314d3fad6d996148716081"/>
                <w:lock w:val="sdtLocked"/>
                <w:richText/>
              </w:sdtPr>
              <w:sdtContent>
                <w:p>
                  <w:pPr>
                    <w:ind w:firstLine="709"/>
                    <w:jc w:val="both"/>
                  </w:pPr>
                  <w:sdt>
                    <w:sdtPr>
                      <w:alias w:val="Numeris"/>
                      <w:tag w:val="nr_f03ac45fd8314d3fad6d996148716081"/>
                      <w:lock w:val="sdtLocked"/>
                      <w:richText/>
                    </w:sdtPr>
                    <w:sdtContent>
                      <w:r>
                        <w:t>33</w:t>
                      </w:r>
                    </w:sdtContent>
                  </w:sdt>
                  <w:r>
                    <w:t xml:space="preserve">. Draudžiama naudoti sugedusį, neplombuotą arba su pažeista plomba, taip pat šio Aprašo 44 punkte nustatytais atvejais keistiną kasos aparatą.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4 p."/>
                <w:tag w:val="part_75974f906c384d37ad1bb59b32f0a154"/>
                <w:lock w:val="sdtLocked"/>
                <w:richText/>
              </w:sdtPr>
              <w:sdtContent>
                <w:p>
                  <w:pPr>
                    <w:ind w:firstLine="708"/>
                    <w:jc w:val="both"/>
                  </w:pPr>
                  <w:sdt>
                    <w:sdtPr>
                      <w:alias w:val="Numeris"/>
                      <w:tag w:val="nr_75974f906c384d37ad1bb59b32f0a154"/>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 Aprašo 42 punkto antrojoje pastraipoje nustatytus atvejus). Panaudota kasos aparato kontrolinė juosta saugoma dvejus metus.</w:t>
                  </w:r>
                  <w:r>
                    <w:t xml:space="preserve"> </w:t>
                  </w:r>
                </w:p>
                <w:p>
                  <w:pPr>
                    <w:ind w:firstLine="708"/>
                    <w:jc w:val="both"/>
                  </w:pPr>
                  <w:r>
                    <w:rPr>
                      <w:color w:val="000000"/>
                    </w:rPr>
                    <w:t>Kasos aparatuose, atitinkančiuose Valstybinės mokesčių inspekcijos patvirtintus Lietuvos Respublikoje leidžiamų naudoti kasos aparatų elektroninės kontrolinės juostos duomenų kaupimo ir saugojimo elektroninėse laikmenose specialius techninius reikalavimus, gali būti naudojama elektroninė kontrolinė juosta, kurios kaupiami duomenys gali būti saugomi elektroninėse laikmenose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9d3e7dd14ade440ebbb56677d87cc761"/>
                        <w:lock w:val="sdtLocked"/>
                        <w:richText/>
                      </w:sdtPr>
                      <w:sdtContent>
                        <w:p>
                          <w:pPr>
                            <w:ind w:firstLine="708"/>
                            <w:jc w:val="both"/>
                          </w:pPr>
                          <w:sdt>
                            <w:sdtPr>
                              <w:alias w:val="Numeris"/>
                              <w:tag w:val="nr_9d3e7dd14ade440ebbb56677d87cc761"/>
                              <w:lock w:val="sdtLocked"/>
                              <w:richText/>
                            </w:sdtPr>
                            <w:sdtContent>
                              <w:r>
                                <w:rPr>
                                  <w:color w:val="000000"/>
                                </w:rPr>
                                <w:t>35.2.1</w:t>
                              </w:r>
                            </w:sdtContent>
                          </w:sdt>
                          <w:r>
                            <w:rPr>
                              <w:color w:val="000000"/>
                            </w:rPr>
                            <w:t>. kvito antraštė (ūkio subjekto pavadinimas, kasos aparato įrengimo adresas ir pridėtinės vertės mokesčio mokėtojo kodas arba ūkio subjekto kodas, jeigu jis nėra šio mokesčio mokėtojas);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d099dc98e03d493d8fdcb99659ac90fc"/>
                <w:lock w:val="sdtLocked"/>
                <w:richText/>
              </w:sdtPr>
              <w:sdtContent>
                <w:p>
                  <w:pPr>
                    <w:ind w:firstLine="709"/>
                    <w:jc w:val="both"/>
                  </w:pPr>
                  <w:sdt>
                    <w:sdtPr>
                      <w:alias w:val="Numeris"/>
                      <w:tag w:val="nr_d099dc98e03d493d8fdcb99659ac90fc"/>
                      <w:lock w:val="sdtLocked"/>
                      <w:richText/>
                    </w:sdtPr>
                    <w:sdtContent>
                      <w:r>
                        <w:t>36</w:t>
                      </w:r>
                    </w:sdtContent>
                  </w:sdt>
                  <w:r>
                    <w:t xml:space="preserve">. Mažmeninės prekybos alkoholiniais gėrimais atsiskaitymo vietose, kuriose pagal šio Aprašo 8 punktą turi būti įrengti fiskaliniai kasos aparatai, taip pat degalinėse asmeniui išduodamame kvite turi būti išspausdintas kiekvienos prekės (ne degalinėse – kiekvieno alkoholinio gėrimo arba alkoholinių gėrimų grupės) pavadinimas. Valstybinė mokesčių inspekcija gali nustatyti kitokius, negu nurodyti šio Aprašo 35 punkte, individualia veikla besiverčiančių gyventojų naudojamų kasos aparatų spausdinamų kasos aparato kvitų rekvizitus.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a13b6b035c0949aa8fbac13c2551901c"/>
                <w:lock w:val="sdtLocked"/>
                <w:richText/>
              </w:sdtPr>
              <w:sdtContent>
                <w:p>
                  <w:pPr>
                    <w:ind w:firstLine="708"/>
                    <w:jc w:val="both"/>
                  </w:pPr>
                  <w:sdt>
                    <w:sdtPr>
                      <w:alias w:val="Numeris"/>
                      <w:tag w:val="nr_a13b6b035c0949aa8fbac13c2551901c"/>
                      <w:lock w:val="sdtLocked"/>
                      <w:richText/>
                    </w:sdtPr>
                    <w:sdtContent>
                      <w:r>
                        <w:rPr>
                          <w:color w:val="000000"/>
                        </w:rPr>
                        <w:t>40</w:t>
                      </w:r>
                    </w:sdtContent>
                  </w:sdt>
                  <w:r>
                    <w:rPr>
                      <w:color w:val="000000"/>
                    </w:rPr>
                    <w:t>. Tarptautiniame jūrų ar oro uoste esančioje specialioje prekybos vietoje parduodant prekes, kurios pagal galiojančius teisės aktus neapmokestinamos muitais ir (arba) kurioms taikomos Lietuvos Respublikos akcizų įstatymo (Žin., 2001, Nr. 98-3482; 2004, Nr. 26-802) 17 straipsnio 1 dalies 1 punkte ir (arba) Lietuvos Respublikos pridėtinės vertės mokesčio įstatymo (Žin., 2002, Nr. 35-1271) 53 straipsnio 4 dalyje nustatytos mokesčių lengvatos, taip pat parduodant minėtas prekes reiso metu keleiviams, vykstantiems oro ar jūrų transportu į paskirties tašką už Europos Bendrijų teritorijos, išduotame kasos aparato kvite, be šio Aprašo 35 punkte nurodytų rekvizitų, turi būti nurodyta valstybė, į kurią vyksta keleivis, ir keleivio bilieto (arba reiso)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50ea4b2be40840dcb51b2f9b6aa33779"/>
                <w:lock w:val="sdtLocked"/>
                <w:richText/>
              </w:sdtPr>
              <w:sdtContent>
                <w:p>
                  <w:pPr>
                    <w:ind w:firstLine="708"/>
                    <w:jc w:val="both"/>
                    <w:rPr>
                      <w:color w:val="000000"/>
                    </w:rPr>
                  </w:pPr>
                  <w:sdt>
                    <w:sdtPr>
                      <w:alias w:val="Numeris"/>
                      <w:tag w:val="nr_50ea4b2be40840dcb51b2f9b6aa33779"/>
                      <w:lock w:val="sdtLocked"/>
                      <w:richText/>
                    </w:sdtPr>
                    <w:sdtContent>
                      <w:r>
                        <w:rPr>
                          <w:color w:val="000000"/>
                        </w:rPr>
                        <w:t>42</w:t>
                      </w:r>
                    </w:sdtContent>
                  </w:sdt>
                  <w:r>
                    <w:rPr>
                      <w:color w:val="000000"/>
                    </w:rPr>
                    <w:t>. Specializuoti kasos aparatai gali nespausdinti šio Aprašo 35.2.8 ir 35.2.9 punktuose nurodytų duomenų ir (ar) privalo spausdinti papildomus duomenis, jeigu tai numatyta Valstybinės mokesčių inspekcijos patvirtintuose Kasos aparatų bei prekybos (paslaugų teikimo) automatų, įtraukiamų į Lietuvos Respublikoje leidžiamų naudoti kasos aparatų ir prekybos (paslaugų teikimo) automatų modelių sąrašą, techniniuose reikalavimuose.</w:t>
                  </w:r>
                </w:p>
                <w:p>
                  <w:pPr>
                    <w:ind w:firstLine="708"/>
                    <w:jc w:val="both"/>
                    <w:rPr>
                      <w:color w:val="000000"/>
                    </w:rPr>
                  </w:pPr>
                  <w:r>
                    <w:rPr>
                      <w:color w:val="000000"/>
                    </w:rPr>
                    <w:t>Specializuoti keleivinio transporto kasos aparatai gali naudoti elektroninę kontrolinę juostą. Įsigaliojus šiai tvarkai, aptarnavimo įmonės specialistas, atlikdamas pirmąjį kasos aparato remontą ar profilaktinę apžiūrą, privalo suprogramuoti (nustatyti) kasos aparatą taip, kad gamintojo nustatytu būdu būtų naudojama ir spausdinama specializuotų keleivinio transporto kasos aparatų elektroninė kontrolinė juosta, išskyrus tuos atvejus, kai iki šios tvarkos įsigaliojimo įrengtuose ir teritorinėje valstybinėje mokesčių inspekcijoje užregistruotuose kasos aparatuose gamintojas nėra numatęs galimybės spausdinti elektroninę kontrolinę juostą arba keleivių bilietuose (kvituose) spausdinami šio Aprašo 38 punkte nurodyti išvykimo ir atvykimo stotelių pavadinimai ir dėl šios priežasties nėra techninių galimybių papildomai spausdinti kontrolinę juostą.</w:t>
                  </w:r>
                </w:p>
                <w:p>
                  <w:pPr>
                    <w:ind w:firstLine="708"/>
                    <w:jc w:val="both"/>
                  </w:pPr>
                  <w:r>
                    <w:rPr>
                      <w:color w:val="000000"/>
                    </w:rPr>
                    <w:t>Keleivinio kelių transporto priemonėse įrengtų kasos aparatų spausdinami kvitai, kuriuose yra visi susisiekimo ministro nustatyti privalomi rekvizitai, gali būti naudojami kaip bilietai, tačiau jiems taikomi visi šio Aprašo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94bbe1d371394285b7ea0fdaf44a06bc"/>
                <w:lock w:val="sdtLocked"/>
                <w:richText/>
              </w:sdtPr>
              <w:sdtContent>
                <w:p>
                  <w:pPr>
                    <w:ind w:firstLine="709"/>
                    <w:jc w:val="both"/>
                    <w:rPr>
                      <w:color w:val="000000"/>
                    </w:rPr>
                  </w:pPr>
                  <w:sdt>
                    <w:sdtPr>
                      <w:alias w:val="Numeris"/>
                      <w:tag w:val="nr_94bbe1d371394285b7ea0fdaf44a06bc"/>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 Aprašo 27 punkto ketvirtojoje pastraipoje.</w:t>
                  </w:r>
                </w:p>
                <w:p>
                  <w:pPr>
                    <w:ind w:firstLine="709"/>
                    <w:jc w:val="both"/>
                  </w:pPr>
                  <w:r>
                    <w:rPr>
                      <w:color w:val="000000"/>
                    </w:rPr>
                    <w:t>Pakeistieji kasos aparatai negali būti perregistruoti kito ūkio subjekto vardu, o ne vėliau kaip per 30 dienų nuo minėtųjų pažeidimų nustatymo turi būti perduoti aptarnavimo įmonei sunaikinti (utilizuoti).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5 p."/>
                <w:tag w:val="part_b4b4e944b2ac4fbba135a482d6e4885a"/>
                <w:lock w:val="sdtLocked"/>
                <w:richText/>
              </w:sdtPr>
              <w:sdtContent>
                <w:p>
                  <w:pPr>
                    <w:ind w:firstLine="708"/>
                    <w:jc w:val="both"/>
                    <w:rPr>
                      <w:color w:val="000000"/>
                    </w:rPr>
                  </w:pPr>
                  <w:sdt>
                    <w:sdtPr>
                      <w:alias w:val="Numeris"/>
                      <w:tag w:val="nr_b4b4e944b2ac4fbba135a482d6e4885a"/>
                      <w:lock w:val="sdtLocked"/>
                      <w:richText/>
                    </w:sdtPr>
                    <w:sdtContent>
                      <w:r>
                        <w:rPr>
                          <w:color w:val="000000"/>
                        </w:rPr>
                        <w:t>45</w:t>
                      </w:r>
                    </w:sdtContent>
                  </w:sdt>
                  <w:r>
                    <w:rPr>
                      <w:color w:val="000000"/>
                    </w:rPr>
                    <w:t>. Subjektai, pažeidę šio Aprašo reikalavimus, atsako pagal Lietuvos Respublikos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A5BC91B0497">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2011-01-12,
Žin., 2011, Nr.
6-215 (2011-01-15), i. k. 1111100NUTA00000005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CBC7514CE2D">
            <w:r w:rsidRPr="00532B9F">
              <w:rPr>
                <w:rFonts w:ascii="Times New Roman" w:eastAsia="MS Mincho" w:hAnsi="Times New Roman"/>
                <w:sz w:val="20"/>
                <w:iCs/>
                <w:color w:val="0000FF" w:themeColor="hyperlink"/>
                <w:u w:val="single"/>
              </w:rPr>
              <w:t>297</w:t>
            </w:r>
          </w:fldSimple>
          <w:r>
            <w:rPr>
              <w:rFonts w:ascii="Times New Roman" w:eastAsia="MS Mincho" w:hAnsi="Times New Roman"/>
              <w:sz w:val="20"/>
              <w:iCs/>
            </w:rPr>
            <w:t>,
2011-03-16,
Žin., 2011, Nr.
33-1543 (2011-03-19), i. k. 1111100NUTA00000297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2830B28690F">
            <w:r w:rsidRPr="00532B9F">
              <w:rPr>
                <w:rFonts w:ascii="Times New Roman" w:eastAsia="MS Mincho" w:hAnsi="Times New Roman"/>
                <w:sz w:val="20"/>
                <w:iCs/>
                <w:color w:val="0000FF" w:themeColor="hyperlink"/>
                <w:u w:val="single"/>
              </w:rPr>
              <w:t>661</w:t>
            </w:r>
          </w:fldSimple>
          <w:r>
            <w:rPr>
              <w:rFonts w:ascii="Times New Roman" w:eastAsia="MS Mincho" w:hAnsi="Times New Roman"/>
              <w:sz w:val="20"/>
              <w:iCs/>
            </w:rPr>
            <w:t>,
2011-06-08,
Žin., 2011, Nr.
71-3406 (2011-06-11), i. k. 1111100NUTA00000661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432EF1E5A8">
            <w:r w:rsidRPr="00532B9F">
              <w:rPr>
                <w:rFonts w:ascii="Times New Roman" w:eastAsia="MS Mincho" w:hAnsi="Times New Roman"/>
                <w:sz w:val="20"/>
                <w:iCs/>
                <w:color w:val="0000FF" w:themeColor="hyperlink"/>
                <w:u w:val="single"/>
              </w:rPr>
              <w:t>1262</w:t>
            </w:r>
          </w:fldSimple>
          <w:r>
            <w:rPr>
              <w:rFonts w:ascii="Times New Roman" w:eastAsia="MS Mincho" w:hAnsi="Times New Roman"/>
              <w:sz w:val="20"/>
              <w:iCs/>
            </w:rPr>
            <w:t>,
2011-10-27,
Žin., 2011, Nr.
133-6317 (2011-11-08), i. k. 1111100NUTA00001262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BF4A922BC55">
            <w:r w:rsidRPr="00532B9F">
              <w:rPr>
                <w:rFonts w:ascii="Times New Roman" w:eastAsia="MS Mincho" w:hAnsi="Times New Roman"/>
                <w:sz w:val="20"/>
                <w:iCs/>
                <w:color w:val="0000FF" w:themeColor="hyperlink"/>
                <w:u w:val="single"/>
              </w:rPr>
              <w:t>566</w:t>
            </w:r>
          </w:fldSimple>
          <w:r>
            <w:rPr>
              <w:rFonts w:ascii="Times New Roman" w:eastAsia="MS Mincho" w:hAnsi="Times New Roman"/>
              <w:sz w:val="20"/>
              <w:iCs/>
            </w:rPr>
            <w:t>,
2012-05-23,
Žin., 2012, Nr.
60-3024 (2012-05-26), i. k. 1121100NUTA00000566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E26D40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SOS APARATŲ DIEGIMO IR NAUDOJIMO TVARKOS APRAŠO PATVIRTINIMO“." DocPartId="5d3f046377954fecb9aabd89ffe981aa" PartId="5d1c4568a6444a53ad8acde253b53891">
    <Part Type="preambule" DocPartId="103ad65119344dc0ac682acd13bce608" PartId="a2f0df333f8c448580a9f94c4bc9f3d4"/>
    <Part Type="punktas" Nr="1" Abbr="1 p." DocPartId="3be8a8b282cd4b2e923e6777304ca621" PartId="1fe1716890fb4396b0b8ec91f102340a"/>
    <Part Type="punktas" Nr="2" Abbr="2 p." DocPartId="89b4b3812b074567acb678e5bf75418a" PartId="14cd5b6dc58b43c4a17a794205f18222">
      <Part Type="punktas" Nr="2.1" Abbr="2.1 p." DocPartId="1ec1fc94065948c3800b4da17dcc3f95" PartId="73e5880dfe454ab0867d8feb63a02abf">
        <Part Type="punktas" Nr="2.1.1" Abbr="2.1.1 p." DocPartId="bef7846d7a274ce4b55a8f19c0b03e0c" PartId="1c8e90d4a016436d8a31a32a2214444e"/>
        <Part Type="punktas" Nr="2.1.2" Abbr="2.1.2 p." DocPartId="fea54a9c3cc64c12bad912791e966170" PartId="63d718286ff14fa38cb62f811e6fd9cd"/>
        <Part Type="punktas" Nr="2.1.3" Abbr="2.1.3 p." DocPartId="b839d29e28f6433e92b4505729fe6ab8" PartId="317a7eeef290488eb716f4a6608cf772"/>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a16f31ea3a924c60ba950231ad85ffb2"/>
          <Part Type="punktas" Nr="2.2.2.2" Abbr="2.2.2.2 p." DocPartId="65bf7fff3ab840fd84e3aaafddc1e9f3" PartId="4c31b50e1a6d40f2b49cebe7d956af7e"/>
          <Part Type="punktas" Nr="2.2.2.3" Abbr="2.2.2.3 p." DocPartId="e72229bf92f0421cbf3ed48f91ccc340" PartId="9019ad9de0a6479796b62c1f56c94fe2"/>
          <Part Type="punktas" Nr="2.2.2.4" Abbr="2.2.2.4 p." DocPartId="fa84151c6c6c48d8b2d4384d80df1c69" PartId="b934688739e341f49b5161b7eb603944"/>
          <Part Type="punktas" Nr="2.2.2.5" Abbr="2.2.2.5 p." DocPartId="013ec94920c2463491d13e4f8bb7c656" PartId="955882adfd99413b88cd8e2931f4790e"/>
        </Part>
      </Part>
      <Part Type="punktas" Nr="2.3" Abbr="2.3 p." Title=""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Type="punktas" Nr="2.3.3" Abbr="2.3.3 p." Title="" DocPartId="733fb45728c84a6d8dd57edc3175996a" PartId="91b8e7ab6c214f9499682bc4d1c3f38f"/>
      </Part>
    </Part>
    <Part Type="punktas" Nr="3" Abbr="3 p." DocPartId="ae6df0e6a78e419f87f8deacbd3ed462" PartId="a712c9acf17041638aa0b7674fad5344">
      <Part Type="punktas" Nr="3.1" Abbr="3.1 p." DocPartId="a5b2f3603e2947508d5007e08a3340f5" PartId="4be8652663bc44cb9446f6a3e791cbc1"/>
      <Part Type="punktas" Nr="3.2" Abbr="3.2 p." DocPartId="a7c1773b00c649a291de7c3a1b5c4132" PartId="c816320e617a4f1cb71bde909653218b"/>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OS APRAŠAS“;" DocPartId="f77584df7ba84729a2afe0288d48842a" PartId="815c8b0b74e142c1b9845c423526adec">
    <Part Type="skyrius" Nr="1" Title="BENDROSIOS NUOSTATOS" DocPartId="6abcc3a97fba4d438329de566e2d993a" PartId="27f42009aa9c4a8ca27b2aa27b8b090e">
      <Part Type="punktas" Nr="1" Abbr="1 p." DocPartId="22314624d90d49d0896d449ee27cdd31" PartId="3f625aa2d57b45b2bb06d2a88be7a02d"/>
      <Part Type="punktas" Nr="2" Abbr="2 p." DocPartId="f41a21e09d8f48afab70f107a4d9de33" PartId="41c92f39779b4ae8a8b7d1bcd5b1a00b"/>
      <Part Type="punktas" Nr="3" Abbr="3 p." DocPartId="e33e1346b1ef4bb4bcfc5299ab52bf33" PartId="e4f5d25b03354415b34b773bee401324"/>
      <Part Type="punktas" Nr="4" Abbr="4 p." DocPartId="d47e820e9eb348fbb43b0fc04d62ef63" PartId="1208b949f0b249dd848854daf5eee043">
        <Part Type="punktas" Nr="4.1" Abbr="4.1 p." DocPartId="b848e519809048dca57e3c6dc1f91378" PartId="4362c48566cf4f53b3925d9763561620"/>
        <Part Type="punktas" Nr="4.2" Abbr="4.2 p." DocPartId="5f3323a1e7d44054b8bf178d49e86dbd" PartId="25ac6b58b60f4b41b485534210d57ef1"/>
      </Part>
      <Part Type="punktas" Nr="5" Abbr="5 p." DocPartId="bfaac12c5f1b40f8966fd69ef548172b" PartId="a3b0440bc851429e8c4e6543b0a21f79"/>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78f887d555a6459087cc35c9deb18c07"/>
      <Part Type="punktas" Nr="8" Abbr="8 p." DocPartId="3fa744320c684328a9a1031ff7fe657a" PartId="e73415c5133549699e7edb5c1a8a8142"/>
      <Part Type="punktas" Nr="9" Abbr="9 p." DocPartId="75f539f12e054513a6e43b7515bcddb8" PartId="eb63beba84114f608968ac4fa1cbb7cf"/>
      <Part Type="punktas" Nr="10" Abbr="10 p." DocPartId="e3f5284f0e1d48e18086382561ee89a0" PartId="eb118025825c40ddbdfb93903b2573c5">
        <Part Type="punktas" Nr="10.1" Abbr="10.1 p." DocPartId="33ad232842a54b18877a663011637dd7" PartId="4280433597544d61a2c2bef11b4fb12a"/>
        <Part Type="punktas" Nr="10.2" Abbr="10.2 p." DocPartId="badad963d7da489c8875de3e101bc8d7" PartId="a12635016b924cd9a5829669308e55f2"/>
        <Part Type="punktas" Nr="10.3" Abbr="10.3 p." DocPartId="60206814cc524accad149c5a15032780" PartId="c9f7c28fc46c4643b3d91f4e582ac184"/>
        <Part Type="punktas" Nr="10.4" Abbr="10.4 p." DocPartId="9e5636573a444bd0b875b078a9a23a5b" PartId="d02feae0beb345b29f62daf3aa8231af"/>
        <Part Type="punktas" Nr="10.5" Abbr="10.5 p." DocPartId="fa0c82f919354ebd893b044b9df84d44" PartId="afbe5e68f6f34c38a838805f05c37c57"/>
        <Part Type="punktas" Nr="10.6" Abbr="10.6 p." DocPartId="6c3cc25ac989406da8726774f0f3f3d3" PartId="27287a18f9514eb783f8f2be72134998"/>
        <Part Type="punktas" Nr="10.7" Abbr="10.7 p." DocPartId="00080dae30414a639e2041f14cfdbc1b" PartId="30dab834454f46bca2755acc91474acf"/>
        <Part Type="punktas" Nr="10.8" Abbr="10.8 p." DocPartId="a4b53b717d0343b29520aa6e9356ad47" PartId="589a98d6a8ca4c04853a7045c882b2ad"/>
        <Part Type="punktas" Nr="10.9" Abbr="10.9 p." DocPartId="0e24692e1f844002914ac3bd42f790d1" PartId="6ad64b0e363345d49501abeed9cb00f5"/>
        <Part Type="punktas" Nr="10.10" Abbr="10.10 p." DocPartId="fb65a9fceefd4e5fb97d97308aee9f50" PartId="fcf4c61eef2f4097b161cbc6c44d647c"/>
        <Part Type="punktas" Nr="10.11" Abbr="10.11 p." DocPartId="dd2075817627459a96f88b80e753077f" PartId="c45b89272d3949c59356e2053e590492"/>
        <Part Type="punktas" Nr="10.12" Abbr="10.12 p." DocPartId="b016dd71d5a24e8ca210119eecffe17c" PartId="2e2fafe79604471d9bee2ea22eb8a3e2"/>
        <Part Type="punktas" Nr="10.13" Abbr="10.13 p." DocPartId="f4a8d0b045754dd08b9b9bd8d549d80f" PartId="d9dfa80b36104d07b51c67571d2ea12d"/>
        <Part Type="punktas" Nr="10.14" Abbr="10.14 p." DocPartId="dd1d2f6016704a7a93a130b154be8767" PartId="b7870d11d2794ef7ade42523fb7197a6"/>
        <Part Type="punktas" Nr="10.15" Abbr="10.15 p." DocPartId="5d7af7eaf0dc4a5f94a989a0f5be64ef" PartId="12aa0a47ca4f47e9bd49de935ba939c4"/>
        <Part Type="punktas" Nr="10.16" Abbr="10.16 p." DocPartId="1101346176284da49abbd302cc43a4dd" PartId="7861d00751c34731bb122e562ae415a3"/>
        <Part Type="punktas" Nr="10.17" Abbr="10.17 p." Title="" DocPartId="b19b370e0a8c4c4793b05207c67cba08" PartId="e468bd4c3d674191b4e3021e5992f135"/>
      </Part>
      <Part Type="punktas" Nr="10-1" Abbr="10-1 p." Title="" DocPartId="1307cfe1ae0141439a426f5655327879" PartId="0186822bd3dc4bc286f284b1daf14941"/>
      <Part Type="punktas" Nr="11" Abbr="11 p." DocPartId="e6cb7e83d6064dd9a8a3b9c1070d808c" PartId="d645963f02b54436971ad2a1f789f742">
        <Part Type="punktas" Nr="11.1" Abbr="11.1 p." DocPartId="306445497848424db8a2b582e6fe041a" PartId="2abfd478f4ea4c259acc884e948abc0c"/>
        <Part Type="punktas" Nr="11.2" Abbr="11.2 p." DocPartId="cc92048a65b646108ff6a099766310d3" PartId="7bda3c1cbe174399b9b413793e7ac5c2"/>
        <Part Type="punktas" Nr="11.3" Abbr="11.3 p." DocPartId="3c49889ca25d44209bd39ea60f0382b7" PartId="fa7f5491818f48ffa51d89e108f2987e"/>
        <Part Type="punktas" Nr="11.4" Abbr="11.4 p." DocPartId="01ca1d5185f245a0938ea3f1d0a044ab" PartId="9b45ef6f025e4fe2ba94d853395cf2d1"/>
        <Part Type="punktas" Nr="11.5" Abbr="11.5 p." DocPartId="38fb98cb95fb4ff6b2579f1bbcaa2f48" PartId="adc64d1c32ab4da6bc56406d9a3cb85a"/>
        <Part Type="punktas" Nr="11.6" Abbr="11.6 p." DocPartId="da99c63462a249bd8f8605259532b7fa" PartId="52ec90a1f7d64c9a894e7608265b4e98"/>
        <Part Type="punktas" Nr="11.7" Abbr="11.7 p." Title="" DocPartId="01379e571b8840f8936f8086b82fee27" PartId="06d0f32f65134756942c0481e57d1613"/>
      </Part>
      <Part Type="punktas" Nr="12" Abbr="12 p." DocPartId="a3f7623c0ac0483b9ace1b9ca7371f83" PartId="02ef3ba26a574d7d8f23b768ca3676a5">
        <Part Type="punktas" Nr="12.1" Abbr="12.1 p." DocPartId="cd0b1a5f6eaa404badf8181ac7928152" PartId="8368a008bcb1477e939b33db7b659eeb"/>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0742ec8ff17547ffa13623c755b0c4db"/>
      </Part>
      <Part Type="punktas" Nr="12-1" Abbr="12-1 p." Title="" DocPartId="17ca8b3ad2c84b0e96f2ac2160a1e7cf" PartId="79e46dda950e458ab129385dfdefb8c2"/>
    </Part>
    <Part Type="skyrius" Nr="3" Title="KASOS APARATŲ EKSPLOATAVIMAS" DocPartId="679f1480068345cf82bdc7a05fcf501e" PartId="5332e30c090a4f698cf9c4f850ed3c44">
      <Part Type="punktas" Nr="13" Abbr="13 p." DocPartId="d13ee1906e37483fb0fcd0b7c30e1088" PartId="2d30ece57df6460db85cefa63fe78dd1"/>
      <Part Type="punktas" Nr="14" Abbr="14 p." DocPartId="27d6fd91e6154f73985f003c258084f8" PartId="5745672bd5ed4d25b1a62bbaffff9ea1"/>
      <Part Type="punktas" Nr="15" Abbr="15 p." DocPartId="3e711d727b1c465fbd12f32ef38f9e97" PartId="a620cd609f7d4c219989e7fc06c4885b"/>
      <Part Type="punktas" Nr="16" Abbr="16 p." DocPartId="7472af3d69e24b18a43563ae61ae0029" PartId="14308fa0e3cc49eeb65c6d4ff0d33093"/>
      <Part Type="punktas" Nr="17" Abbr="17 p." DocPartId="c2201341ab6043fe81b1828b62cb103d" PartId="f936f89baaa04c1b81f0ee7806921593"/>
      <Part Type="punktas" Nr="18" Abbr="18 p." DocPartId="653a0c73543a4e6699d67f77a2347aa0" PartId="20e40bf0afb9452a889d1760da064aca"/>
      <Part Type="punktas" Nr="19" Abbr="19 p." DocPartId="88b5bc547b7f48c3b7054b26f7c03ce9" PartId="5aaab35e746643ffa0391904ca7f1799"/>
      <Part Type="punktas" Nr="20" Abbr="20 p." DocPartId="ae08fc0cfbd340b0b615864feda9c51b" PartId="e2ebe9e1432d49a4bffd05054a2f1a1e"/>
      <Part Type="punktas" Nr="21" Abbr="21 p." DocPartId="99d59f47dcc14188aec123dd720ecdec" PartId="b00ca6aa4c034b5fae2da80496856fa0"/>
      <Part Type="punktas" Nr="22" Abbr="22 p." DocPartId="a8281242d1c0477ab34a9cc6a98c55e7" PartId="f3fdc9dc293f4dcfa3dbd55558f796f0"/>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5b4b730268954eb197d772cdfa921f2f"/>
      <Part Type="punktas" Nr="28" Abbr="28 p." DocPartId="5a8e54f854384b329a0d9de46742da23" PartId="1432495d7fb946479baf49cb021e7961"/>
      <Part Type="punktas" Nr="29" Abbr="29 p." DocPartId="15487c88f36c46f9bf3024d001bcb4af" PartId="e407e20cbb6a4aa6b2f326e64d3a673e"/>
      <Part Type="punktas" Nr="30" Abbr="30 p." DocPartId="9f314c20feb74b72add142b3aa29f185" PartId="5989429abab8407492805f19bf43465a"/>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f03ac45fd8314d3fad6d996148716081"/>
      <Part Type="punktas" Nr="34" Abbr="34 p." DocPartId="f62d64f10302456897cb686b59b495e1" PartId="75974f906c384d37ad1bb59b32f0a154"/>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9d3e7dd14ade440ebbb56677d87cc761"/>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d099dc98e03d493d8fdcb99659ac90fc"/>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a13b6b035c0949aa8fbac13c2551901c"/>
      <Part Type="punktas" Nr="41" Abbr="41 p." DocPartId="1d784aed4cb84a8facc7f97587015b33" PartId="3d24e282a58841c6913cc8f46f7b7d67"/>
      <Part Type="punktas" Nr="42" Abbr="42 p." DocPartId="988d8cc64a0b47bb80ae29f21020d7a9" PartId="50ea4b2be40840dcb51b2f9b6aa33779"/>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94bbe1d371394285b7ea0fdaf44a06bc"/>
      <Part Type="punktas" Nr="45" Abbr="45 p." DocPartId="e5d2b2c726d446ca8d9b6c71eb381644" PartId="b4b4e944b2ac4fbba135a482d6e4885a"/>
    </Part>
    <Part Type="pabaiga" Nr="" Abbr="" Title="" DocPartId="3c7fa67dfb6b45d0a28fa49585f896eb" PartId="0f901b385e304f01a5e4835f27c90450"/>
  </Part>
</Parts>
</file>

<file path=customXml/itemProps1.xml><?xml version="1.0" encoding="utf-8"?>
<ds:datastoreItem xmlns:ds="http://schemas.openxmlformats.org/officeDocument/2006/customXml" ds:itemID="{191B3909-368C-4254-AC45-C1B191B8EC21}">
  <ds:schemaRefs>
    <ds:schemaRef ds:uri="http://lrs.lt/TAIS/DocParts"/>
  </ds:schemaRefs>
</ds:datastoreItem>
</file>

<file path=docProps/app.xml><?xml version="1.0" encoding="utf-8"?>
<Properties xmlns="http://schemas.openxmlformats.org/officeDocument/2006/extended-properties">
  <Template>Normal.dotm</Template>
  <TotalTime>82</TotalTime>
  <Pages>12</Pages>
  <Words>28824</Words>
  <Characters>16431</Characters>
  <Application>Microsoft Office Word</Application>
  <DocSecurity>0</DocSecurity>
  <Lines>136</Lines>
  <Paragraphs>90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45165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2014-11-14T06:38:00Z</dcterms:modified>
  <revision>16</revision>
</coreProperties>
</file>