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bf88a74cb61476ba8f17033734ba6f0"/>
        <w:lock w:val="sdtLocked"/>
        <w:richText/>
      </w:sdtPr>
      <w:sdtContent>
        <w:p>
          <w:pPr>
            <w:jc w:val="both"/>
            <w:rPr>
              <w:rFonts w:ascii="Times New Roman" w:hAnsi="Times New Roman"/>
            </w:rPr>
          </w:pPr>
          <w:r>
            <w:rPr>
              <w:rFonts w:ascii="Times New Roman" w:hAnsi="Times New Roman"/>
              <w:b/>
              <w:i/>
            </w:rPr>
            <w:t>Suvestinė redakcija nuo 2014-10-25 iki 2017-01-12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30BD1AC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4bf88a74cb61476ba8f17033734ba6f0"/>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2005-09-01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1edaeae7681d44a28e1dd7da706da744"/>
            <w:lock w:val="sdtLocked"/>
            <w:richText/>
          </w:sdtPr>
          <w:sdtContent>
            <w:p>
              <w:pPr>
                <w:ind w:firstLine="709"/>
                <w:jc w:val="both"/>
              </w:pPr>
              <w:sdt>
                <w:sdtPr>
                  <w:alias w:val="Numeris"/>
                  <w:tag w:val="nr_1edaeae7681d44a28e1dd7da706da744"/>
                  <w:lock w:val="sdtLocked"/>
                  <w:richText/>
                </w:sdtPr>
                <w:sdtContent>
                  <w:r>
                    <w:t>3</w:t>
                  </w:r>
                </w:sdtContent>
              </w:sdt>
              <w:r>
                <w:t>. Nustatyti, kad:</w:t>
              </w:r>
            </w:p>
            <w:sdt>
              <w:sdtPr>
                <w:alias w:val="3.1 p."/>
                <w:tag w:val="part_6fdda0024c914024a0bf4049419c43ef"/>
                <w:lock w:val="sdtLocked"/>
                <w:richText/>
              </w:sdtPr>
              <w:sdtContent>
                <w:p>
                  <w:pPr>
                    <w:ind w:firstLine="709"/>
                    <w:jc w:val="both"/>
                  </w:pPr>
                  <w:sdt>
                    <w:sdtPr>
                      <w:alias w:val="Numeris"/>
                      <w:tag w:val="nr_6fdda0024c914024a0bf4049419c43ef"/>
                      <w:lock w:val="sdtLocked"/>
                      <w:richText/>
                    </w:sdtPr>
                    <w:sdtContent>
                      <w:r>
                        <w:t>3.1</w:t>
                      </w:r>
                    </w:sdtContent>
                  </w:sdt>
                  <w:r>
                    <w:t>. Valstybinė mokesčių inspekcija gali nustatyti papildomus privalomus kasos aparatų kvituose ir ataskaitose spausdinamus rekvizitus ir (ar) papildomas tokiems kasos aparatams privalomas atlikti funkcijas, taip pat kitus specialius kasos aparatų naudojimo reikalavimus;</w:t>
                  </w:r>
                </w:p>
              </w:sdtContent>
            </w:sdt>
            <w:sdt>
              <w:sdtPr>
                <w:alias w:val="3.2 p."/>
                <w:tag w:val="part_0e62770a9cc048648e4fae76f840174e"/>
                <w:lock w:val="sdtLocked"/>
                <w:richText/>
              </w:sdtPr>
              <w:sdtContent>
                <w:p>
                  <w:pPr>
                    <w:ind w:firstLine="709"/>
                    <w:jc w:val="both"/>
                  </w:pPr>
                  <w:sdt>
                    <w:sdtPr>
                      <w:alias w:val="Numeris"/>
                      <w:tag w:val="nr_0e62770a9cc048648e4fae76f840174e"/>
                      <w:lock w:val="sdtLocked"/>
                      <w:richText/>
                    </w:sdtPr>
                    <w:sdtContent>
                      <w:r>
                        <w:t>3.2</w:t>
                      </w:r>
                    </w:sdtContent>
                  </w:sdt>
                  <w:r>
                    <w:t>. ministerijos ir kitos valstybės institucijos jų reguliavimo sričiai priskirtų rūšių veiklai vykdyti gali suderinusios su:</w:t>
                  </w:r>
                </w:p>
                <w:sdt>
                  <w:sdtPr>
                    <w:alias w:val="3.2.1 p."/>
                    <w:tag w:val="part_1707fb413b5b4d81a0cc2b7c6db041c8"/>
                    <w:lock w:val="sdtLocked"/>
                    <w:richText/>
                  </w:sdtPr>
                  <w:sdtContent>
                    <w:p>
                      <w:pPr>
                        <w:ind w:firstLine="709"/>
                        <w:jc w:val="both"/>
                      </w:pPr>
                      <w:sdt>
                        <w:sdtPr>
                          <w:alias w:val="Numeris"/>
                          <w:tag w:val="nr_1707fb413b5b4d81a0cc2b7c6db041c8"/>
                          <w:lock w:val="sdtLocked"/>
                          <w:richText/>
                        </w:sdtPr>
                        <w:sdtContent>
                          <w:r>
                            <w:t>3.2.1</w:t>
                          </w:r>
                        </w:sdtContent>
                      </w:sdt>
                      <w:r>
                        <w:t>. Valstybine mokesčių inspekcija – nustatyti 3.1 punkte nurodytą reglamentavimą;</w:t>
                      </w:r>
                    </w:p>
                  </w:sdtContent>
                </w:sdt>
                <w:sdt>
                  <w:sdtPr>
                    <w:alias w:val="3.2.2 p."/>
                    <w:tag w:val="part_28e70f8012b041dca600885dcf437cd9"/>
                    <w:lock w:val="sdtLocked"/>
                    <w:richText/>
                  </w:sdtPr>
                  <w:sdtContent>
                    <w:p>
                      <w:pPr>
                        <w:ind w:firstLine="709"/>
                        <w:jc w:val="both"/>
                      </w:pPr>
                      <w:sdt>
                        <w:sdtPr>
                          <w:alias w:val="Numeris"/>
                          <w:tag w:val="nr_28e70f8012b041dca600885dcf437cd9"/>
                          <w:lock w:val="sdtLocked"/>
                          <w:richText/>
                        </w:sdtPr>
                        <w:sdtContent>
                          <w:r>
                            <w:t>3.2.2</w:t>
                          </w:r>
                        </w:sdtContent>
                      </w:sdt>
                      <w:r>
                        <w:t xml:space="preserve">. Finansų ministerija – nustatyti pavyzdinės formos apskaitos dokumentą, naudojamą vietoj pinigų priėmimo (pinigų išmokėjimo) kvito. Toks apskaitos dokumentas privalo turėti visus 2.1.1 punkte nurodytose taisyklėse nustatytus pinigų priėmimo (pinigų išmokėjimo) kvito privalomus rekvizitus. </w:t>
                      </w:r>
                    </w:p>
                  </w:sdtContent>
                </w:sdt>
              </w:sdtContent>
            </w:sdt>
            <w:sdt>
              <w:sdtPr>
                <w:alias w:val="3.3 p."/>
                <w:tag w:val="part_fc8006f1f9b542a387a2228ef06df2b6"/>
                <w:lock w:val="sdtLocked"/>
                <w:richText/>
              </w:sdtPr>
              <w:sdtContent>
                <w:p>
                  <w:pPr>
                    <w:ind w:firstLine="720"/>
                    <w:jc w:val="both"/>
                    <w:rPr>
                      <w:szCs w:val="24"/>
                      <w:lang w:eastAsia="lt-LT"/>
                    </w:rPr>
                  </w:pPr>
                  <w:sdt>
                    <w:sdtPr>
                      <w:alias w:val="Numeris"/>
                      <w:tag w:val="nr_fc8006f1f9b542a387a2228ef06df2b6"/>
                      <w:lock w:val="sdtLocked"/>
                      <w:richText/>
                    </w:sdtPr>
                    <w:sdtContent>
                      <w:r>
                        <w:rPr>
                          <w:szCs w:val="24"/>
                          <w:lang w:eastAsia="lt-LT"/>
                        </w:rPr>
                        <w:t>3.3</w:t>
                      </w:r>
                    </w:sdtContent>
                  </w:sdt>
                  <w:r>
                    <w:rPr>
                      <w:szCs w:val="24"/>
                      <w:lang w:eastAsia="lt-LT"/>
                    </w:rPr>
                    <w:t>. Nuo 2015 m. sausio 1 d. iki 2015 m. sausio 15 d. kasos aparatų kvituose mokėtinos sumos nurodomos eurais ir (arba) litais. Nurodytu laikotarpiu kasos aparatų kvituose mokėtinos sumos, prie kurių nenurodytas valiutos pavadinimas, santrumpa arba ženklas, laikomos sumomis, išreikštomis eurais.</w:t>
                  </w:r>
                </w:p>
                <w:p>
                  <w:pPr>
                    <w:ind w:firstLine="720"/>
                    <w:jc w:val="both"/>
                    <w:rPr>
                      <w:szCs w:val="24"/>
                      <w:lang w:eastAsia="lt-LT"/>
                    </w:rPr>
                  </w:pPr>
                  <w:r>
                    <w:rPr>
                      <w:szCs w:val="24"/>
                      <w:lang w:eastAsia="lt-LT"/>
                    </w:rPr>
                    <w:t xml:space="preserve">Nuo 2015 m. sausio 16 d. kasos aparatų kvituose nurodomos mokėtinos sumos laikomos išreikštomis eurais. Jeigu kasos aparatų kvituose prie mokėtinos sumos, išreikštos eurais,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 </w:t>
                  </w:r>
                </w:p>
                <w:p>
                  <w:pPr>
                    <w:ind w:firstLine="720"/>
                    <w:jc w:val="both"/>
                  </w:pPr>
                  <w:r>
                    <w:rPr>
                      <w:szCs w:val="24"/>
                      <w:lang w:eastAsia="lt-LT"/>
                    </w:rPr>
                    <w:t>Nuo 2015 m. liepos 1 d. kasos aparatų, kuriuos įmanoma perprogramuoti taip, kad kasos aparatų kvituose nebūtų nurodomas valiutos pavadinimas „litas“ arba jo santrumpa, kvituose valiutos pavadinimas „litas“ arba jo santrumpa negali būti nurodomi.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5ab4b05b6511e487eff7b424bd0f08">
                    <w:r w:rsidRPr="00532B9F">
                      <w:rPr>
                        <w:rFonts w:ascii="Times New Roman" w:eastAsia="MS Mincho" w:hAnsi="Times New Roman"/>
                        <w:sz w:val="20"/>
                        <w:i/>
                        <w:iCs/>
                        <w:color w:val="0000FF" w:themeColor="hyperlink"/>
                        <w:u w:val="single"/>
                      </w:rPr>
                      <w:t>1152</w:t>
                    </w:r>
                  </w:fldSimple>
                  <w:r>
                    <w:rPr>
                      <w:rFonts w:ascii="Times New Roman" w:eastAsia="MS Mincho" w:hAnsi="Times New Roman"/>
                      <w:sz w:val="20"/>
                      <w:i/>
                      <w:iCs/>
                    </w:rPr>
                    <w:t>,
2014-10-22,
paskelbta TAR 2014-10-24, i. k. 2014-14808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2ae7c3fcf56e4302aa72c99939164291"/>
                <w:lock w:val="sdtLocked"/>
                <w:richText/>
              </w:sdtPr>
              <w:sdtContent>
                <w:p>
                  <w:pPr>
                    <w:ind w:firstLine="709"/>
                    <w:jc w:val="both"/>
                    <w:rPr>
                      <w:color w:val="000000"/>
                    </w:rPr>
                  </w:pPr>
                  <w:sdt>
                    <w:sdtPr>
                      <w:alias w:val="Numeris"/>
                      <w:tag w:val="nr_2ae7c3fcf56e4302aa72c99939164291"/>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rPr>
                    <w:t>Aptarnavimo įmonė</w:t>
                  </w:r>
                  <w:r>
                    <w:t xml:space="preserve"> – juridinis asmuo, turintis Valstybinės mokesčių inspekcijos prie Finansų ministerijos (toliau – Valstybinė mokesčių inspekcija) nustatyta tvarka išduotą sertifikatą, leidžiantį atlikti jame įrašytų modelių kasos aparatų ir su jais susijusių įrenginių techninės priežiūros ir remonto darbus</w:t>
                  </w:r>
                  <w:r>
                    <w:rPr>
                      <w:color w:val="000000"/>
                    </w:rPr>
                    <w:t xml:space="preserve">.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a86ed85ca2644f9bab6f69762dda83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sz w:val="22"/>
                        </w:rPr>
                        <w:t>.</w:t>
                      </w:r>
                      <w:r>
                        <w:rPr>
                          <w:rFonts w:ascii="Times New Roman" w:eastAsia="MS Mincho" w:hAnsi="Times New Roman"/>
                          <w:sz w:val="20"/>
                          <w:i/>
                          <w:iCs/>
                        </w:rPr>
                        <w:t xml:space="preserve"> Neteko galios nuo 2011-05-01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39aad9f4253f471fa8a2eed9cd54b17f"/>
                    <w:lock w:val="sdtLocked"/>
                    <w:richText/>
                  </w:sdtPr>
                  <w:sdtContent>
                    <w:p>
                      <w:pPr>
                        <w:pStyle w:val="PlainText"/>
                        <w:ind w:firstLine="567"/>
                        <w:jc w:val="both"/>
                        <w:rPr>
                          <w:rFonts w:ascii="Times New Roman" w:hAnsi="Times New Roman"/>
                          <w:b/>
                          <w:bCs/>
                          <w:sz w:val="22"/>
                        </w:rPr>
                      </w:pPr>
                      <w:r>
                        <w:rPr>
                          <w:rFonts w:ascii="Times New Roman" w:hAnsi="Times New Roman"/>
                          <w:sz w:val="22"/>
                        </w:rPr>
                        <w:t>10.11</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ddde767c35034f3681c937ba9fb4de88"/>
                    <w:lock w:val="sdtLocked"/>
                    <w:richText/>
                  </w:sdtPr>
                  <w:sdtContent>
                    <w:p>
                      <w:pPr>
                        <w:ind w:firstLine="709"/>
                        <w:jc w:val="both"/>
                      </w:pPr>
                      <w:sdt>
                        <w:sdtPr>
                          <w:alias w:val="Numeris"/>
                          <w:tag w:val="nr_ddde767c35034f3681c937ba9fb4de88"/>
                          <w:lock w:val="sdtLocked"/>
                          <w:richText/>
                        </w:sdtPr>
                        <w:sdtContent>
                          <w:r>
                            <w:t>11.7</w:t>
                          </w:r>
                        </w:sdtContent>
                      </w:sdt>
                      <w:r>
                        <w:t xml:space="preserve">. avansams, užstatams priimti (daiktų nuomos ir panašiais atvejais) ir pinigams už anksčiau kreditan parduotas prekes įnešti;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8 p."/>
                    <w:tag w:val="part_08d2e96f18854de7b41953889b6935c2"/>
                    <w:lock w:val="sdtLocked"/>
                    <w:richText/>
                  </w:sdtPr>
                  <w:sdtContent>
                    <w:p>
                      <w:pPr>
                        <w:ind w:firstLine="709"/>
                        <w:jc w:val="both"/>
                      </w:pPr>
                      <w:sdt>
                        <w:sdtPr>
                          <w:alias w:val="Numeris"/>
                          <w:tag w:val="nr_08d2e96f18854de7b41953889b6935c2"/>
                          <w:lock w:val="sdtLocked"/>
                          <w:richText/>
                        </w:sdtPr>
                        <w:sdtContent>
                          <w:r>
                            <w:t>11.8</w:t>
                          </w:r>
                        </w:sdtContent>
                      </w:sdt>
                      <w:r>
                        <w:t>. lengvuosiuose taksi automobiliuose, kuriuose įrengti Valstybinės mokesčių inspekcijos nustatyta tvarka teritorinėje valstybinėje mokesčių inspekcijoje užregistruoti taksometrai ir kiekvienam taksometrui Valstybinės mokesčių inspekcijos nustatyta tvarka pildomas taksometro kasos operacijų žurnalas. Valstybinė mokesčių inspekcija gali nustatyti atvejus, kai taksometro kasos operacijų žurnalas nepildomas.</w:t>
                      </w:r>
                      <w:r>
                        <w:rPr>
                          <w:b/>
                        </w:rPr>
                        <w:t xml:space="preserve"> </w:t>
                      </w:r>
                      <w:r>
                        <w:t xml:space="preserve">Šiame punkte nustatytu atveju pinigų priėmimo kvitas gali būti išrašomas ranka arba išspausdinamas spausdintuvu. Spausdintuvų techninius reikalavimus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8368a008bcb1477e939b33db7b659eeb"/>
                    <w:lock w:val="sdtLocked"/>
                    <w:richText/>
                  </w:sdtPr>
                  <w:sdtContent>
                    <w:p>
                      <w:pPr>
                        <w:ind w:firstLine="709"/>
                        <w:jc w:val="both"/>
                      </w:pPr>
                      <w:sdt>
                        <w:sdtPr>
                          <w:alias w:val="Numeris"/>
                          <w:tag w:val="nr_8368a008bcb1477e939b33db7b659eeb"/>
                          <w:lock w:val="sdtLocked"/>
                          <w:richText/>
                        </w:sdtPr>
                        <w:sdtContent>
                          <w:r>
                            <w:t>12.1</w:t>
                          </w:r>
                        </w:sdtContent>
                      </w:sdt>
                      <w:r>
                        <w:t xml:space="preserve">. gyventojų, kurie verčiasi individualia veikla, kaip ši sąvoka apibrėžta Lietuvos Respublikos gyventojų pajamų mokesčio įstatyme (Žin., 2002, Nr. 73-3085), ir teikia paslaugas arba parduoda savo gamybos ne maisto prekes;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eab7efd29cc648a79cef1971c7970a64"/>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4308fa0e3cc49eeb65c6d4ff0d33093"/>
                <w:lock w:val="sdtLocked"/>
                <w:richText/>
              </w:sdtPr>
              <w:sdtContent>
                <w:p>
                  <w:pPr>
                    <w:ind w:firstLine="709"/>
                    <w:jc w:val="both"/>
                    <w:rPr>
                      <w:color w:val="000000"/>
                    </w:rPr>
                  </w:pPr>
                  <w:sdt>
                    <w:sdtPr>
                      <w:alias w:val="Numeris"/>
                      <w:tag w:val="nr_14308fa0e3cc49eeb65c6d4ff0d33093"/>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t>Kiekvienas iš Lietuvos Respublikoje leidžiamų naudoti kasos aparatų ir prekybos (paslaugų teikimo) automatų modelių sąrašo išbraukto modelio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iš Lietuvos Respublikoje leidžiamų naudoti kasos aparatų ir prekybos (paslaugų teikimo) automatų modelių sąrašo išbraukto modelio kasos aparatą, kuris nebuvo profilaktiškai aptarnautas ar remontuotas ilgiau kaip 12 mėnesių, išskyrus šio Aprašo 27 punkte nustatytą kasos aparato aptarnavimo ar remonto laikotarpį, tačiau tik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0ce9cb5e864a4da282a675b528aab223"/>
                <w:lock w:val="sdtLocked"/>
                <w:richText/>
              </w:sdtPr>
              <w:sdtContent>
                <w:p>
                  <w:pPr>
                    <w:ind w:firstLine="709"/>
                    <w:jc w:val="both"/>
                  </w:pPr>
                  <w:sdt>
                    <w:sdtPr>
                      <w:alias w:val="Numeris"/>
                      <w:tag w:val="nr_0ce9cb5e864a4da282a675b528aab223"/>
                      <w:lock w:val="sdtLocked"/>
                      <w:richText/>
                    </w:sdtPr>
                    <w:sdtContent>
                      <w:r>
                        <w:t>20</w:t>
                      </w:r>
                    </w:sdtContent>
                  </w:sdt>
                  <w:r>
                    <w:t>. Kasos aparato duomenys apie priimtų ir inkasuotų grynųjų pinigų sumas turi sutapti su kasos operacijų žurnale įrašytomis sumomis, o šiame žurnale nurodyta inkasuota suma – su kasos pajamų orderiuose įrašyta arba inkasatorių inkasuota suma, išskyrus Valstybinės mokesčių inspekcijos nustatytus atvejus ir tvarką.</w:t>
                  </w:r>
                </w:p>
                <w:p>
                  <w:pPr>
                    <w:ind w:firstLine="709"/>
                    <w:jc w:val="both"/>
                  </w:pPr>
                  <w:r>
                    <w:t>Pinigų inkasavimo terminą ūkio subjektai nusistato vadovaudamiesi Kasos darbo organizavimo ir kasos operacijų atlikimo taisyklėmis.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Ūkio subjektų veiklos priežiūrą atliekančių viešojo administravimo subjektų patikrinimo metu šie pinigai pateikiami kartu su jų perkėlimą patvirtinančiais kvitais.</w:t>
                  </w:r>
                </w:p>
                <w:p>
                  <w:pPr>
                    <w:ind w:firstLine="709"/>
                    <w:jc w:val="both"/>
                  </w:pPr>
                  <w:r>
                    <w:t xml:space="preserve">Klaidų taisymas (kai klaida pastebėta baigus spausdinti kasos aparato kvitą ar pirkėjas atsisako sumokėti teisingai išspausdintą sumą) įforminamas surašant klaidos taisymo aktą, prie kurio pridedamas klaidingai išspausdintas kasos aparato kvitas (originalas) ir pinigų išėmimo iš kasos aparato kasos aparato kvitas. Prekių grąžinimas įforminamas Daiktų grąžinimo ir keitimo taisyklėse, patvirtintose ūkio ministro 2001 m. birželio 29 d. įsakymu Nr. 217 (Žin., 2001, Nr. 58-2105; 2012, Nr. 34-1637) nustatyta tvarka. Tik šiame punkte nustatyta tvarka užfiksuota grąžinimų ir taisymų suma dienos pabaigoje registruojama atitinkamoje kasos operacijų žurnalo grafoje ir pagrindžia kasos aparate užregistruotos inkasuotinos realizacijos sumos sumažėjimą.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e752ed8c2349430b81691e4903bbbded"/>
                <w:lock w:val="sdtLocked"/>
                <w:richText/>
              </w:sdtPr>
              <w:sdtContent>
                <w:p>
                  <w:pPr>
                    <w:ind w:firstLine="709"/>
                    <w:jc w:val="both"/>
                  </w:pPr>
                  <w:sdt>
                    <w:sdtPr>
                      <w:alias w:val="Numeris"/>
                      <w:tag w:val="nr_e752ed8c2349430b81691e4903bbbded"/>
                      <w:lock w:val="sdtLocked"/>
                      <w:richText/>
                    </w:sdtPr>
                    <w:sdtContent>
                      <w:r>
                        <w:t>42</w:t>
                      </w:r>
                    </w:sdtContent>
                  </w:sdt>
                  <w:r>
                    <w:t>. Valstybinės mokesčių inspekcijos nustatytais atvejais kasos aparatai gali nespausdinti šio Aprašo 35.2.8 ir 35.2.9 punktuose nurodytų duomenų.</w:t>
                  </w:r>
                </w:p>
                <w:p>
                  <w:pPr>
                    <w:ind w:firstLine="709"/>
                    <w:jc w:val="both"/>
                  </w:pPr>
                  <w:r>
                    <w:t>Keleivinio transporto kasos aparatuose gali būti naudojama elektroninė kontrolinė juosta. Šių aparatų priežiūros įmonės specialistas, atlikdamas pirmąjį kasos aparato remontą ar profilaktinę apžiūrą, privalo suprogramuoti (nustatyti) kasos aparatą taip, kad gamintojo nustatytu būdu būtų naudojama ir spausdinama keleivinio transporto kasos aparatų elektroninė kontrolinė juosta, išskyrus tuos atvejus, kai iki šio Aprašo įsigaliojimo įrengtų ir teritorinėje valstybinėje mokesčių inspekcijoje užregistruotų kasos aparatų gamintojas nėra numatęs galimybės jais spausdinti elektroninę kontrolinę juostą arba keleivių bilietuose (kvituose) spausdinami šio Aprašo 38 punkte nurodyti išvykimo ir atvykimo stotelių pavadinimai ir dėl to nėra techninių galimybių papildomai spausdinti kontrolinę juostą.</w:t>
                  </w:r>
                </w:p>
                <w:p>
                  <w:pPr>
                    <w:ind w:firstLine="709"/>
                    <w:jc w:val="both"/>
                  </w:pPr>
                  <w:r>
                    <w:t xml:space="preserve">Keleivinio kelių transporto priemonėse įrengtų kasos aparatų spausdinami kvitai, kuriuose yra visi susisiekimo ministro nustatyti privalomi rekvizitai, gali būti naudojami kaip bilietai, tačiau jiems taikomi visi šio Aprašo reikalavimai.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1482DE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4bf88a74cb61476ba8f17033734ba6f0">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1edaeae7681d44a28e1dd7da706da744">
      <Part Type="punktas" Nr="3.1" Abbr="3.1 p." DocPartId="22d47251bd294b9db11f943290e1ff85" PartId="6fdda0024c914024a0bf4049419c43ef"/>
      <Part Type="punktas" Nr="3.2" Abbr="3.2 p." DocPartId="d927a098a87f4838a79835e2b4f324d5" PartId="0e62770a9cc048648e4fae76f840174e">
        <Part Type="punktas" Nr="3.2.1" Abbr="3.2.1 p." DocPartId="3867dfac279741c19108c3191e739fbc" PartId="1707fb413b5b4d81a0cc2b7c6db041c8"/>
        <Part Type="punktas" Nr="3.2.2" Abbr="3.2.2 p." DocPartId="0ff584b8570f414db42eeb1b69185ed7" PartId="28e70f8012b041dca600885dcf437cd9"/>
      </Part>
      <Part Type="punktas" Nr="3.3" Abbr="3.3 p." Title="" DocPartId="d22629b3334c45f3a7ffad552a27497a" PartId="fc8006f1f9b542a387a2228ef06df2b6"/>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2ae7c3fcf56e4302aa72c99939164291"/>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a86ed85ca2644f9bab6f69762dda8379"/>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39aad9f4253f471fa8a2eed9cd54b17f"/>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Type="punktas" Nr="11.7" Abbr="11.7 p." Title="" DocPartId="69bd7e58a1424607859998d773eda01d" PartId="ddde767c35034f3681c937ba9fb4de88"/>
        <Part Type="punktas" Nr="11.8" Abbr="11.8 p." Title="" DocPartId="73aa7869689947a9a639c56006417885" PartId="08d2e96f18854de7b41953889b6935c2"/>
        <Part Type="punktas" Nr="11.7" Abbr="11.7 p." Title="" DocPartId="01379e571b8840f8936f8086b82fee27" PartId="06d0f32f65134756942c0481e57d1613"/>
      </Part>
      <Part Type="punktas" Nr="12" Abbr="12 p." DocPartId="a3f7623c0ac0483b9ace1b9ca7371f83" PartId="02ef3ba26a574d7d8f23b768ca3676a5">
        <Part Type="punktas" Nr="12.1" Abbr="12.1 p." DocPartId="cd0b1a5f6eaa404badf8181ac7928152" PartId="8368a008bcb1477e939b33db7b659eeb"/>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eab7efd29cc648a79cef1971c7970a64"/>
      </Part>
      <Part Type="punktas" Nr="12-1" Abbr="12-1 p." Title=""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4308fa0e3cc49eeb65c6d4ff0d33093"/>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0ce9cb5e864a4da282a675b528aab223"/>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e752ed8c2349430b81691e4903bbbded"/>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3A8E35FD-413B-4FDB-A454-14075D6D7B4F}">
  <ds:schemaRefs>
    <ds:schemaRef ds:uri="http://lrs.lt/TAIS/DocParts"/>
  </ds:schemaRefs>
</ds:datastoreItem>
</file>

<file path=docProps/app.xml><?xml version="1.0" encoding="utf-8"?>
<Properties xmlns="http://schemas.openxmlformats.org/officeDocument/2006/extended-properties">
  <Template>Normal.dotm</Template>
  <TotalTime>96</TotalTime>
  <Pages>12</Pages>
  <Words>28657</Words>
  <Characters>16336</Characters>
  <Application>Microsoft Office Word</Application>
  <DocSecurity>0</DocSecurity>
  <Lines>136</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44904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2014-11-14T06:54:00Z</dcterms:modified>
  <revision>18</revision>
</coreProperties>
</file>