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a21b0a5fd2d4933a52e17980745cf80"/>
        <w:lock w:val="sdtLocked"/>
        <w:richText/>
      </w:sdtPr>
      <w:sdtContent>
        <w:p>
          <w:pPr>
            <w:jc w:val="both"/>
            <w:rPr>
              <w:rFonts w:ascii="Times New Roman" w:hAnsi="Times New Roman"/>
            </w:rPr>
          </w:pPr>
          <w:r>
            <w:rPr>
              <w:rFonts w:ascii="Times New Roman" w:hAnsi="Times New Roman"/>
              <w:b/>
              <w:i/>
            </w:rPr>
            <w:t>Suvestinė redakcija nuo 2026-02-21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2001, Nr. </w:t>
          </w:r>
          <w:fldSimple w:instr="HYPERLINK https://www.e-tar.lt/portal/legalAct.html?documentId=TAR.6D0F2D3FC9D0">
            <w:r w:rsidRPr="00532B9F">
              <w:rPr>
                <w:rFonts w:ascii="Times New Roman" w:eastAsia="MS Mincho" w:hAnsi="Times New Roman"/>
                <w:sz w:val="20"/>
                <w:i/>
                <w:iCs/>
                <w:color w:val="0000FF" w:themeColor="hyperlink"/>
                <w:u w:val="single"/>
              </w:rPr>
              <w:t>95-3372</w:t>
            </w:r>
          </w:fldSimple>
          <w:r>
            <w:rPr>
              <w:rFonts w:ascii="Times New Roman" w:eastAsia="MS Mincho" w:hAnsi="Times New Roman"/>
              <w:sz w:val="20"/>
              <w:i/>
              <w:iCs/>
            </w:rPr>
            <w:t>, i. k. 101301MISAK00000540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2023-01-01:</w:t>
          </w:r>
        </w:p>
        <w:p>
          <w:pPr>
            <w:rPr>
              <w:rFonts w:ascii="Times New Roman" w:hAnsi="Times New Roman"/>
              <w:sz w:val="20"/>
              <w:i/>
            </w:rPr>
          </w:pPr>
          <w:r>
            <w:rPr>
              <w:rFonts w:ascii="Times New Roman" w:hAnsi="Times New Roman"/>
              <w:sz w:val="20"/>
              <w:i/>
            </w:rPr>
            <w:t xml:space="preserve">Nr. </w:t>
          </w:r>
          <w:fldSimple w:instr="HYPERLINK https://www.e-tar.lt/portal/legalAct.html?documentId=2f9d59e02ab211edb4cae1b158f98ea5">
            <w:r w:rsidRPr="00532B9F">
              <w:rPr>
                <w:rFonts w:ascii="Times New Roman" w:eastAsia="MS Mincho" w:hAnsi="Times New Roman"/>
                <w:sz w:val="20"/>
                <w:i/>
                <w:iCs/>
                <w:color w:val="0000FF" w:themeColor="hyperlink"/>
                <w:u w:val="single"/>
              </w:rPr>
              <w:t>D1-293</w:t>
            </w:r>
          </w:fldSimple>
          <w:r>
            <w:rPr>
              <w:rFonts w:ascii="Times New Roman" w:eastAsia="MS Mincho" w:hAnsi="Times New Roman"/>
              <w:sz w:val="20"/>
              <w:i/>
              <w:iCs/>
            </w:rPr>
            <w:t>,
2022-09-02,
paskelbta TAR 2022-09-02, i. k. 2022-18253                </w:t>
          </w:r>
        </w:p>
        <w:p>
          <w:pPr>
            <w:rPr>
              <w:rFonts w:ascii="Times New Roman" w:hAnsi="Times New Roman"/>
              <w:sz w:val="22"/>
            </w:rPr>
          </w:pPr>
        </w:p>
        <w:p>
          <w:pPr>
            <w:suppressAutoHyphens/>
            <w:jc w:val="center"/>
            <w:rPr>
              <w:b/>
              <w:szCs w:val="24"/>
              <w:lang w:eastAsia="lt-LT"/>
            </w:rPr>
          </w:pPr>
          <w:r>
            <w:rPr>
              <w:b/>
              <w:szCs w:val="24"/>
              <w:lang w:eastAsia="lt-LT"/>
            </w:rPr>
            <w:t>LIETUVOS RESPUBLIKOS APLINKOS MINISTRAS</w:t>
          </w:r>
        </w:p>
        <w:p>
          <w:pPr>
            <w:suppressAutoHyphens/>
            <w:jc w:val="center"/>
            <w:rPr>
              <w:b/>
              <w:lang w:eastAsia="lt-LT"/>
            </w:rPr>
          </w:pPr>
        </w:p>
        <w:p>
          <w:pPr>
            <w:suppressAutoHyphens/>
            <w:jc w:val="center"/>
            <w:rPr>
              <w:b/>
              <w:lang w:eastAsia="lt-LT"/>
            </w:rPr>
          </w:pPr>
          <w:r>
            <w:rPr>
              <w:b/>
              <w:lang w:eastAsia="lt-LT"/>
            </w:rPr>
            <w:t>ĮSAKYMAS</w:t>
          </w:r>
        </w:p>
        <w:p>
          <w:pPr>
            <w:suppressAutoHyphens/>
            <w:jc w:val="center"/>
            <w:rPr>
              <w:b/>
              <w:lang w:eastAsia="lt-LT"/>
            </w:rPr>
          </w:pPr>
          <w:r>
            <w:rPr>
              <w:b/>
              <w:lang w:eastAsia="lt-LT"/>
            </w:rPr>
            <w:t>DĖL PAVIRŠINIŲ VANDENS TELKINIŲ APSAUGOS ZONŲ IR PAKRANČIŲ APSAUGOS JUOSTŲ NUSTATYMO TVARKOS APRAŠO PATVIRTINIMO</w:t>
          </w:r>
        </w:p>
        <w:p>
          <w:pPr>
            <w:suppressAutoHyphens/>
            <w:jc w:val="center"/>
            <w:rPr>
              <w:b/>
              <w:lang w:eastAsia="lt-LT"/>
            </w:rPr>
          </w:pPr>
        </w:p>
        <w:p>
          <w:pPr>
            <w:suppressAutoHyphens/>
            <w:jc w:val="center"/>
            <w:rPr>
              <w:lang w:eastAsia="lt-LT"/>
            </w:rPr>
          </w:pPr>
          <w:r>
            <w:rPr>
              <w:lang w:eastAsia="lt-LT"/>
            </w:rPr>
            <w:t xml:space="preserve">2001 m. lapkričio 7 d. Nr. 540 </w:t>
          </w:r>
        </w:p>
        <w:p>
          <w:pPr>
            <w:suppressAutoHyphens/>
            <w:jc w:val="center"/>
            <w:rPr>
              <w:lang w:eastAsia="lt-LT"/>
            </w:rPr>
          </w:pPr>
          <w:r>
            <w:rPr>
              <w:lang w:eastAsia="lt-LT"/>
            </w:rPr>
            <w:t>Vilnius</w:t>
          </w:r>
        </w:p>
        <w:p>
          <w:pPr>
            <w:suppressAutoHyphens/>
            <w:jc w:val="center"/>
            <w:rPr>
              <w:b/>
              <w:lang w:eastAsia="lt-LT"/>
            </w:rPr>
          </w:pPr>
        </w:p>
        <w:p>
          <w:pPr>
            <w:suppressAutoHyphens/>
            <w:jc w:val="center"/>
            <w:rPr>
              <w:b/>
              <w:lang w:eastAsia="lt-LT"/>
            </w:rPr>
          </w:pPr>
        </w:p>
        <w:sdt>
          <w:sdtPr>
            <w:alias w:val="preambule"/>
            <w:tag w:val="part_93f0c97ab6974a86b0d4606cbe289771"/>
            <w:lock w:val="sdtLocked"/>
            <w:richText/>
          </w:sdtPr>
          <w:sdtContent>
            <w:p>
              <w:pPr>
                <w:suppressAutoHyphens/>
                <w:ind w:right="281" w:firstLine="851"/>
                <w:jc w:val="both"/>
                <w:rPr>
                  <w:lang w:eastAsia="lt-LT"/>
                </w:rPr>
              </w:pPr>
              <w:r>
                <w:rPr>
                  <w:lang w:eastAsia="lt-LT"/>
                </w:rPr>
                <w:t>Vadovaudamasis Lietuvos Respublikos saugomų teritorijų įstatymo 20 straipsnio 2 dalimi ir Lietuvos Respublikos Vyriausybės 2017 m. liepos 12 d. nutarimo Nr. 597 „Dėl įgaliojimų suteikimo įgyvendinant Lietuvos Respublikos saugomų teritorijų įstatymą“ 1.5 papunkčiu,</w:t>
              </w:r>
            </w:p>
          </w:sdtContent>
        </w:sdt>
        <w:sdt>
          <w:sdtPr>
            <w:alias w:val="pastraipa"/>
            <w:tag w:val="part_7d91d45482064d02838fc359b1d1e80d"/>
            <w:lock w:val="sdtLocked"/>
            <w:richText/>
          </w:sdtPr>
          <w:sdtContent>
            <w:p>
              <w:pPr>
                <w:suppressAutoHyphens/>
                <w:ind w:right="281" w:firstLine="851"/>
                <w:jc w:val="both"/>
              </w:pPr>
              <w:r>
                <w:rPr>
                  <w:spacing w:val="60"/>
                  <w:lang w:eastAsia="lt-LT"/>
                </w:rPr>
                <w:t>tvirtinu</w:t>
              </w:r>
              <w:r>
                <w:rPr>
                  <w:lang w:eastAsia="lt-LT"/>
                </w:rPr>
                <w:t xml:space="preserve"> Paviršinių vandens telkinių apsaugos zonų ir pakrančių apsaugos juostų nustatymo tvarkos aprašą (pridedama).</w:t>
              </w:r>
            </w:p>
          </w:sdtContent>
        </w:sdt>
        <w:sdt>
          <w:sdtPr>
            <w:alias w:val="signatura"/>
            <w:tag w:val="part_e5c2a0c58f18417a868cd7437e9abdf7"/>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ARŪNAS KUNDROTAS</w:t>
              </w:r>
            </w:p>
          </w:sdtContent>
        </w:sdt>
        <w:p/>
      </w:sdtContent>
    </w:sdt>
    <w:sdt>
      <w:sdtPr>
        <w:alias w:val="patvirtinta"/>
        <w:tag w:val="part_10284c1e6ee74eba9abb38a2be4e0d76"/>
        <w:lock w:val="sdtLocked"/>
        <w:richText/>
      </w:sdtPr>
      <w:sdtContent>
        <w:p>
          <w:pPr>
            <w:suppressAutoHyphens/>
            <w:overflowPunct w:val="0"/>
            <w:ind w:firstLine="5103"/>
            <w:jc w:val="both"/>
            <w:rPr>
              <w:szCs w:val="24"/>
              <w:lang w:eastAsia="lt-LT"/>
            </w:rPr>
            <w:sectPr>
              <w:headerReference w:type="even" r:id="rId14"/>
              <w:headerReference w:type="default" r:id="rId15"/>
              <w:footerReference w:type="even" r:id="rId16"/>
              <w:footerReference w:type="default" r:id="rId17"/>
              <w:headerReference w:type="first" r:id="rId18"/>
              <w:footerReference w:type="first" r:id="rId19"/>
              <w:footnotePr>
                <w:pos w:val="beneathText"/>
              </w:footnotePr>
              <w:pgSz w:w="11905" w:h="16837"/>
              <w:pgMar w:top="672" w:right="567" w:bottom="1134" w:left="1701" w:header="567" w:footer="567" w:gutter="0"/>
              <w:pgNumType w:start="1"/>
              <w:cols w:space="1296"/>
              <w:formProt w:val="0"/>
              <w:titlePg/>
              <w:docGrid w:linePitch="360"/>
            </w:sectPr>
          </w:pPr>
        </w:p>
        <w:p>
          <w:pPr>
            <w:suppressAutoHyphens/>
            <w:overflowPunct w:val="0"/>
            <w:ind w:firstLine="5103"/>
            <w:jc w:val="both"/>
            <w:rPr>
              <w:szCs w:val="24"/>
              <w:lang w:eastAsia="lt-LT"/>
            </w:rPr>
          </w:pPr>
          <w:r>
            <w:rPr>
              <w:szCs w:val="24"/>
              <w:lang w:eastAsia="lt-LT"/>
            </w:rPr>
            <w:t>PATVIRTINTA</w:t>
          </w:r>
        </w:p>
        <w:p>
          <w:pPr>
            <w:suppressAutoHyphens/>
            <w:overflowPunct w:val="0"/>
            <w:ind w:left="5103" w:right="281"/>
            <w:rPr>
              <w:szCs w:val="24"/>
              <w:lang w:eastAsia="lt-LT"/>
            </w:rPr>
          </w:pPr>
          <w:r>
            <w:rPr>
              <w:szCs w:val="24"/>
              <w:lang w:eastAsia="lt-LT"/>
            </w:rPr>
            <w:t xml:space="preserve">Lietuvos Respublikos aplinkos ministro </w:t>
          </w:r>
        </w:p>
        <w:p>
          <w:pPr>
            <w:suppressAutoHyphens/>
            <w:overflowPunct w:val="0"/>
            <w:ind w:left="5103" w:right="281"/>
            <w:rPr>
              <w:szCs w:val="24"/>
              <w:lang w:eastAsia="lt-LT"/>
            </w:rPr>
          </w:pPr>
          <w:r>
            <w:rPr>
              <w:szCs w:val="24"/>
              <w:lang w:eastAsia="lt-LT"/>
            </w:rPr>
            <w:t>2001 m. lapkričio 7 d. įsakymu Nr. 540</w:t>
          </w:r>
        </w:p>
        <w:p>
          <w:pPr>
            <w:suppressAutoHyphens/>
            <w:overflowPunct w:val="0"/>
            <w:ind w:left="5103" w:right="281"/>
            <w:rPr>
              <w:szCs w:val="24"/>
              <w:lang w:eastAsia="lt-LT"/>
            </w:rPr>
          </w:pPr>
          <w:r>
            <w:rPr>
              <w:szCs w:val="24"/>
              <w:lang w:eastAsia="lt-LT"/>
            </w:rPr>
            <w:t>(Lietuvos Respublikos aplinko ministro</w:t>
          </w:r>
        </w:p>
        <w:p>
          <w:pPr>
            <w:suppressAutoHyphens/>
            <w:overflowPunct w:val="0"/>
            <w:ind w:left="5103" w:right="281"/>
            <w:rPr>
              <w:szCs w:val="24"/>
            </w:rPr>
          </w:pPr>
          <w:r>
            <w:rPr>
              <w:szCs w:val="24"/>
              <w:lang w:eastAsia="lt-LT"/>
            </w:rPr>
            <w:t xml:space="preserve">2022 m. rugsėjo 2 d. įsakymo Nr. </w:t>
          </w:r>
          <w:r>
            <w:rPr>
              <w:szCs w:val="24"/>
            </w:rPr>
            <w:t xml:space="preserve">D1-293 </w:t>
          </w:r>
        </w:p>
        <w:p>
          <w:pPr>
            <w:suppressAutoHyphens/>
            <w:overflowPunct w:val="0"/>
            <w:ind w:left="5103" w:right="281"/>
            <w:rPr>
              <w:szCs w:val="24"/>
              <w:lang w:eastAsia="lt-LT"/>
            </w:rPr>
          </w:pPr>
          <w:r>
            <w:rPr>
              <w:szCs w:val="24"/>
              <w:lang w:eastAsia="lt-LT"/>
            </w:rPr>
            <w:t>redakcija)</w:t>
          </w:r>
        </w:p>
        <w:p>
          <w:pPr>
            <w:suppressAutoHyphens/>
            <w:rPr>
              <w:sz w:val="2"/>
              <w:szCs w:val="2"/>
              <w:lang w:eastAsia="lt-LT"/>
            </w:rPr>
          </w:pPr>
        </w:p>
        <w:p>
          <w:pPr>
            <w:suppressAutoHyphens/>
            <w:ind w:right="281" w:firstLine="567"/>
            <w:jc w:val="center"/>
            <w:rPr>
              <w:lang w:eastAsia="lt-LT"/>
            </w:rPr>
          </w:pPr>
        </w:p>
        <w:p>
          <w:pPr>
            <w:suppressAutoHyphens/>
            <w:ind w:firstLine="567"/>
            <w:jc w:val="center"/>
            <w:rPr>
              <w:b/>
              <w:szCs w:val="24"/>
              <w:lang w:eastAsia="lt-LT"/>
            </w:rPr>
          </w:pPr>
        </w:p>
        <w:p>
          <w:pPr>
            <w:suppressAutoHyphens/>
            <w:jc w:val="center"/>
            <w:rPr>
              <w:b/>
              <w:szCs w:val="24"/>
              <w:lang w:eastAsia="lt-LT"/>
            </w:rPr>
          </w:pPr>
          <w:r>
            <w:rPr>
              <w:b/>
              <w:szCs w:val="24"/>
              <w:lang w:eastAsia="lt-LT"/>
            </w:rPr>
            <w:t>PAVIRŠINIŲ VANDENS TELKINIŲ APSAUGOS ZONŲ IR PAKRANČIŲ APSAUGOS JUOSTŲ NUSTATYMO TVARKOS APRAŠAS</w:t>
          </w:r>
        </w:p>
        <w:p>
          <w:pPr>
            <w:suppressAutoHyphens/>
            <w:ind w:firstLine="567"/>
            <w:jc w:val="center"/>
            <w:rPr>
              <w:b/>
              <w:szCs w:val="24"/>
              <w:lang w:eastAsia="lt-LT"/>
            </w:rPr>
          </w:pPr>
        </w:p>
        <w:sdt>
          <w:sdtPr>
            <w:alias w:val="skyrius"/>
            <w:tag w:val="part_a96c40b68e7f45bea31844f5d2babf34"/>
            <w:lock w:val="sdtLocked"/>
            <w:richText/>
          </w:sdtPr>
          <w:sdtContent>
            <w:p>
              <w:pPr>
                <w:suppressAutoHyphens/>
                <w:jc w:val="center"/>
                <w:rPr>
                  <w:b/>
                  <w:szCs w:val="24"/>
                  <w:lang w:eastAsia="lt-LT"/>
                </w:rPr>
              </w:pPr>
              <w:sdt>
                <w:sdtPr>
                  <w:alias w:val="Numeris"/>
                  <w:tag w:val="nr_a96c40b68e7f45bea31844f5d2babf34"/>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a96c40b68e7f45bea31844f5d2babf34"/>
                  <w:lock w:val="sdtLocked"/>
                  <w:richText/>
                </w:sdtPr>
                <w:sdtContent>
                  <w:r>
                    <w:rPr>
                      <w:b/>
                      <w:szCs w:val="24"/>
                      <w:lang w:eastAsia="lt-LT"/>
                    </w:rPr>
                    <w:t>BENDROSIOS NUOSTATOS</w:t>
                  </w:r>
                </w:sdtContent>
              </w:sdt>
            </w:p>
            <w:p>
              <w:pPr>
                <w:suppressAutoHyphens/>
                <w:ind w:firstLine="567"/>
                <w:jc w:val="center"/>
                <w:rPr>
                  <w:b/>
                  <w:szCs w:val="24"/>
                  <w:lang w:eastAsia="lt-LT"/>
                </w:rPr>
              </w:pPr>
            </w:p>
            <w:sdt>
              <w:sdtPr>
                <w:alias w:val="1 p."/>
                <w:tag w:val="part_d87c7f7f7c78494d87f14737a68d9547"/>
                <w:lock w:val="sdtLocked"/>
                <w:richText/>
              </w:sdtPr>
              <w:sdtContent>
                <w:p>
                  <w:pPr>
                    <w:widowControl w:val="0"/>
                    <w:ind w:firstLine="851"/>
                    <w:jc w:val="both"/>
                  </w:pPr>
                  <w:sdt>
                    <w:sdtPr>
                      <w:alias w:val="Numeris"/>
                      <w:tag w:val="nr_d87c7f7f7c78494d87f14737a68d9547"/>
                      <w:lock w:val="sdtLocked"/>
                      <w:richText/>
                    </w:sdtPr>
                    <w:sdtContent>
                      <w:r>
                        <w:t>1</w:t>
                      </w:r>
                    </w:sdtContent>
                  </w:sdt>
                  <w:r>
                    <w:t xml:space="preserve">. Paviršinių vandens telkinių apsaugos zonų ir pakrančių apsaugos juostų nustatymo tvarkos aprašas (toliau – Tvarkos aprašas) reglamentuoja paviršinių vandens telkinių apsaugos zonų ir paviršinių vandens telkinių pakrančių apsaugos juostų nustatymo tvarką ir paviršinių vandens telkinių apsaugos zonų ir paviršinių vandens telkinių pakrančių apsaugos juostų dydį prie upių, ežerų, tvenkinių, kanalų, nepratekamų dirbtinių vandens telkinių, kurie registruoti Lietuvos Respublikos upių, ežerų ir tvenkinių valstybės kadastre (išskyrus paviršinius vandens telkinius, priskirtus akvakultūros tvenkiniams), taip pat prie Kuršių marių rytinės pakrantės (nuo Klaipėdos valstybinio jūrų uosto pietinės ribos iki Lietuvos Respublikos ir Rusijos Federacijos valstybės sienos). </w:t>
                  </w:r>
                </w:p>
              </w:sdtContent>
            </w:sdt>
            <w:sdt>
              <w:sdtPr>
                <w:alias w:val="2 p."/>
                <w:tag w:val="part_02deefa1b0c246fbbc4665ff23060f44"/>
                <w:lock w:val="sdtLocked"/>
                <w:richText/>
              </w:sdtPr>
              <w:sdtContent>
                <w:p>
                  <w:pPr>
                    <w:widowControl w:val="0"/>
                    <w:ind w:firstLine="851"/>
                    <w:jc w:val="both"/>
                  </w:pPr>
                  <w:sdt>
                    <w:sdtPr>
                      <w:alias w:val="Numeris"/>
                      <w:tag w:val="nr_02deefa1b0c246fbbc4665ff23060f44"/>
                      <w:lock w:val="sdtLocked"/>
                      <w:richText/>
                    </w:sdtPr>
                    <w:sdtContent>
                      <w:r>
                        <w:t>2</w:t>
                      </w:r>
                    </w:sdtContent>
                  </w:sdt>
                  <w:r>
                    <w:t xml:space="preserve">. Tvarkos aprašu vadovaujamasi nustatant paviršinių vandens telkinių apsaugos zonas ir paviršinių vandens telkinių pakrančių apsaugos juostas Lietuvos Respublikos specialiųjų žemės naudojimo sąlygų įstatymo 6 straipsnio 1 dalies 6 punkte nurodytame plane, žemėlapyje ir (ar) schemoje, nerengiant teritorijų planavimo dokumento ar žemės valdos projekto. </w:t>
                  </w:r>
                </w:p>
              </w:sdtContent>
            </w:sdt>
            <w:sdt>
              <w:sdtPr>
                <w:alias w:val="3 p."/>
                <w:tag w:val="part_cdf2d74cde1d4504ad91383b0cf1c682"/>
                <w:lock w:val="sdtLocked"/>
                <w:richText/>
              </w:sdtPr>
              <w:sdtContent>
                <w:p>
                  <w:pPr>
                    <w:widowControl w:val="0"/>
                    <w:ind w:firstLine="851"/>
                    <w:jc w:val="both"/>
                  </w:pPr>
                  <w:sdt>
                    <w:sdtPr>
                      <w:alias w:val="Numeris"/>
                      <w:tag w:val="nr_cdf2d74cde1d4504ad91383b0cf1c682"/>
                      <w:lock w:val="sdtLocked"/>
                      <w:richText/>
                    </w:sdtPr>
                    <w:sdtContent>
                      <w:r>
                        <w:rPr>
                          <w:lang w:val="en-US"/>
                        </w:rPr>
                        <w:t>3</w:t>
                      </w:r>
                    </w:sdtContent>
                  </w:sdt>
                  <w:r>
                    <w:t>. Tvarkos apraše vartojamos sąvokos:</w:t>
                  </w:r>
                </w:p>
                <w:sdt>
                  <w:sdtPr>
                    <w:alias w:val="3.1 pp."/>
                    <w:tag w:val="part_f8e525715aef4ca7bd76827d05391672"/>
                    <w:lock w:val="sdtLocked"/>
                    <w:richText/>
                  </w:sdtPr>
                  <w:sdtContent>
                    <w:p>
                      <w:pPr>
                        <w:widowControl w:val="0"/>
                        <w:ind w:firstLine="851"/>
                        <w:jc w:val="both"/>
                        <w:rPr>
                          <w:b/>
                          <w:bCs/>
                        </w:rPr>
                      </w:pPr>
                      <w:sdt>
                        <w:sdtPr>
                          <w:alias w:val="Numeris"/>
                          <w:tag w:val="nr_f8e525715aef4ca7bd76827d05391672"/>
                          <w:lock w:val="sdtLocked"/>
                          <w:richText/>
                        </w:sdtPr>
                        <w:sdtContent>
                          <w:r>
                            <w:rPr>
                              <w:bCs/>
                            </w:rPr>
                            <w:t>3.</w:t>
                          </w:r>
                          <w:r>
                            <w:rPr>
                              <w:bCs/>
                              <w:lang w:val="en-US"/>
                            </w:rPr>
                            <w:t>1</w:t>
                          </w:r>
                        </w:sdtContent>
                      </w:sdt>
                      <w:r>
                        <w:rPr>
                          <w:bCs/>
                        </w:rPr>
                        <w:t>.</w:t>
                      </w:r>
                      <w:r>
                        <w:rPr>
                          <w:b/>
                          <w:bCs/>
                        </w:rPr>
                        <w:t xml:space="preserve"> Paviršinio vandens telkinio apsaugos zona</w:t>
                      </w:r>
                      <w:r>
                        <w:rPr>
                          <w:bCs/>
                        </w:rPr>
                        <w:t xml:space="preserve"> –</w:t>
                      </w:r>
                      <w:r>
                        <w:rPr>
                          <w:b/>
                          <w:bCs/>
                        </w:rPr>
                        <w:t xml:space="preserve"> </w:t>
                      </w:r>
                      <w:r>
                        <w:rPr>
                          <w:bCs/>
                        </w:rPr>
                        <w:t>su paviršiniu vandens telkiniu besiribojantis palei paviršinio vandens telkinio ribą einantis nustatyto pločio sausumos ruožas, kuriame ribojama ūkinė veikla, galinti neigiamai paveikti vandens telkinio ir jo pakrančių ekosistemų stabilumą, pakeisti gamtinį kraštovaizdį ir jo estetines vertybes, pažeisti migracinių koridorių funkciją ir visuomenės teisę naudotis vandens telkiniais ir jų pakrantėmis.</w:t>
                      </w:r>
                      <w:r>
                        <w:rPr>
                          <w:b/>
                          <w:bCs/>
                        </w:rPr>
                        <w:t xml:space="preserve"> </w:t>
                      </w:r>
                    </w:p>
                  </w:sdtContent>
                </w:sdt>
                <w:sdt>
                  <w:sdtPr>
                    <w:alias w:val="3.2 pp."/>
                    <w:tag w:val="part_1dc588abc5aa431785bced77ab84e29b"/>
                    <w:lock w:val="sdtLocked"/>
                    <w:richText/>
                  </w:sdtPr>
                  <w:sdtContent>
                    <w:p>
                      <w:pPr>
                        <w:widowControl w:val="0"/>
                        <w:ind w:firstLine="851"/>
                        <w:jc w:val="both"/>
                      </w:pPr>
                      <w:sdt>
                        <w:sdtPr>
                          <w:alias w:val="Numeris"/>
                          <w:tag w:val="nr_1dc588abc5aa431785bced77ab84e29b"/>
                          <w:lock w:val="sdtLocked"/>
                          <w:richText/>
                        </w:sdtPr>
                        <w:sdtContent>
                          <w:r>
                            <w:rPr>
                              <w:bCs/>
                            </w:rPr>
                            <w:t>3.2</w:t>
                          </w:r>
                        </w:sdtContent>
                      </w:sdt>
                      <w:r>
                        <w:rPr>
                          <w:bCs/>
                        </w:rPr>
                        <w:t>.</w:t>
                      </w:r>
                      <w:r>
                        <w:rPr>
                          <w:b/>
                          <w:bCs/>
                        </w:rPr>
                        <w:t xml:space="preserve"> Paviršinio vandens telkinio pakrantės apsaugos juosta </w:t>
                      </w:r>
                      <w:r>
                        <w:t xml:space="preserve">– paviršinio vandens telkinio apsaugos zonos dalis, apimanti arčiausiai paviršinio vandens telkinio ribos esantį nustatyto pločio sausumos ruožą, kuriame užtikrinama visuomenės teisė naudotis vandens telkiniais, eiti jų pakrantėmis, sudaromos palankios sąlygos rekreacijai ir kitoms visuomenės reikmėms plėtoti, tačiau ribojama ūkinė veikla, galinti neigiamai paveikti vandens telkinio ir jo pakrančių ekosistemų stabilumą, pakeisti pakrančių gamtinį kraštovaizdį ir jo estetines vertybes, pažeisti migracinių koridorių funkciją. </w:t>
                      </w:r>
                    </w:p>
                  </w:sdtContent>
                </w:sdt>
                <w:sdt>
                  <w:sdtPr>
                    <w:alias w:val="3.3 pp."/>
                    <w:tag w:val="part_43634b3b197f40a38391f49960170b3b"/>
                    <w:lock w:val="sdtLocked"/>
                    <w:richText/>
                  </w:sdtPr>
                  <w:sdtContent>
                    <w:p>
                      <w:pPr>
                        <w:widowControl w:val="0"/>
                        <w:ind w:firstLine="851"/>
                        <w:jc w:val="both"/>
                      </w:pPr>
                      <w:sdt>
                        <w:sdtPr>
                          <w:alias w:val="Numeris"/>
                          <w:tag w:val="nr_43634b3b197f40a38391f49960170b3b"/>
                          <w:lock w:val="sdtLocked"/>
                          <w:richText/>
                        </w:sdtPr>
                        <w:sdtContent>
                          <w:r>
                            <w:t>3.3</w:t>
                          </w:r>
                        </w:sdtContent>
                      </w:sdt>
                      <w:r>
                        <w:t>. Kitos Tvarkos apraše vartojamos sąvokos suprantamos taip, kaip jos apibrėžtos Lietuvos Respublikos vandens įstatyme, Lietuvos Respublikos saugomų teritorijų įstatyme, Lietuvos Respublikos teritorijų planavimo įstatyme, Lietuvos Respublikos melioracijos įstatyme.</w:t>
                      </w:r>
                    </w:p>
                    <w:p>
                      <w:pPr>
                        <w:widowControl w:val="0"/>
                        <w:ind w:firstLine="851"/>
                        <w:jc w:val="both"/>
                      </w:pPr>
                    </w:p>
                  </w:sdtContent>
                </w:sdt>
              </w:sdtContent>
            </w:sdt>
          </w:sdtContent>
        </w:sdt>
        <w:sdt>
          <w:sdtPr>
            <w:alias w:val="skyrius"/>
            <w:tag w:val="part_6c4f190a70e940e3b35973ec2277e70b"/>
            <w:lock w:val="sdtLocked"/>
            <w:richText/>
          </w:sdtPr>
          <w:sdtContent>
            <w:p>
              <w:pPr>
                <w:suppressAutoHyphens/>
                <w:jc w:val="center"/>
                <w:rPr>
                  <w:b/>
                  <w:szCs w:val="24"/>
                  <w:lang w:eastAsia="lt-LT"/>
                </w:rPr>
              </w:pPr>
              <w:sdt>
                <w:sdtPr>
                  <w:alias w:val="Numeris"/>
                  <w:tag w:val="nr_6c4f190a70e940e3b35973ec2277e70b"/>
                  <w:lock w:val="sdtLocked"/>
                  <w:richText/>
                </w:sdtPr>
                <w:sdtContent>
                  <w:r>
                    <w:rPr>
                      <w:b/>
                      <w:szCs w:val="24"/>
                      <w:lang w:eastAsia="lt-LT"/>
                    </w:rPr>
                    <w:t>II</w:t>
                  </w:r>
                </w:sdtContent>
              </w:sdt>
              <w:r>
                <w:rPr>
                  <w:b/>
                  <w:szCs w:val="24"/>
                  <w:lang w:eastAsia="lt-LT"/>
                </w:rPr>
                <w:t xml:space="preserve"> SKYRIUS</w:t>
              </w:r>
            </w:p>
            <w:p>
              <w:pPr>
                <w:widowControl w:val="0"/>
                <w:jc w:val="center"/>
                <w:rPr>
                  <w:b/>
                  <w:szCs w:val="24"/>
                  <w:lang w:eastAsia="lt-LT"/>
                </w:rPr>
              </w:pPr>
              <w:sdt>
                <w:sdtPr>
                  <w:alias w:val="Pavadinimas"/>
                  <w:tag w:val="title_6c4f190a70e940e3b35973ec2277e70b"/>
                  <w:lock w:val="sdtLocked"/>
                  <w:richText/>
                </w:sdtPr>
                <w:sdtContent>
                  <w:r>
                    <w:rPr>
                      <w:b/>
                      <w:szCs w:val="24"/>
                      <w:lang w:eastAsia="lt-LT"/>
                    </w:rPr>
                    <w:t>PAVIRŠINIO VANDENS TELKINIO APSAUGOS ZONOS NUSTATYMAS</w:t>
                  </w:r>
                </w:sdtContent>
              </w:sdt>
            </w:p>
            <w:p>
              <w:pPr>
                <w:widowControl w:val="0"/>
                <w:ind w:right="281" w:firstLine="567"/>
                <w:jc w:val="center"/>
                <w:rPr>
                  <w:b/>
                  <w:szCs w:val="24"/>
                  <w:lang w:eastAsia="lt-LT"/>
                </w:rPr>
              </w:pPr>
            </w:p>
            <w:sdt>
              <w:sdtPr>
                <w:alias w:val="4 p."/>
                <w:tag w:val="part_f8f59d664d5a44e1832b436f2539e924"/>
                <w:lock w:val="sdtLocked"/>
                <w:richText/>
              </w:sdtPr>
              <w:sdtContent>
                <w:p>
                  <w:pPr>
                    <w:widowControl w:val="0"/>
                    <w:ind w:firstLine="851"/>
                    <w:jc w:val="both"/>
                    <w:rPr>
                      <w:szCs w:val="24"/>
                      <w:lang w:eastAsia="lt-LT"/>
                    </w:rPr>
                  </w:pPr>
                  <w:sdt>
                    <w:sdtPr>
                      <w:alias w:val="Numeris"/>
                      <w:tag w:val="nr_f8f59d664d5a44e1832b436f2539e924"/>
                      <w:lock w:val="sdtLocked"/>
                      <w:richText/>
                    </w:sdtPr>
                    <w:sdtContent>
                      <w:r>
                        <w:rPr>
                          <w:szCs w:val="24"/>
                          <w:lang w:eastAsia="lt-LT"/>
                        </w:rPr>
                        <w:t>4</w:t>
                      </w:r>
                    </w:sdtContent>
                  </w:sdt>
                  <w:r>
                    <w:rPr>
                      <w:szCs w:val="24"/>
                      <w:lang w:eastAsia="lt-LT"/>
                    </w:rPr>
                    <w:t>.</w:t>
                  </w:r>
                  <w:r>
                    <w:rPr>
                      <w:lang w:eastAsia="lt-LT"/>
                    </w:rPr>
                    <w:t xml:space="preserve"> </w:t>
                  </w:r>
                  <w:r>
                    <w:rPr>
                      <w:szCs w:val="24"/>
                      <w:lang w:eastAsia="lt-LT"/>
                    </w:rPr>
                    <w:t xml:space="preserve">Nustatant paviršinio vandens telkinio apsaugos zoną, jos išorinė riba matuojama nuo Georeferencinio pagrindo kadastre (toliau – GRPK) nustatytos paviršinio vandens telkinio arba jo dengiamos teritorijos ribos (kuri prilyginama vietovėje esančiai paviršinio vandens telkinio vandens paviršiaus ribai su sausumos teritorija). Paviršinio vandens telkinio apsaugos zonos išorinė riba suprantama kaip GRPK nustatytai paviršinio vandens telkinio arba jo dengiamos teritorijos ribai lygiagreti linija, nutolusi nuo paviršinio vandens telkinio nustatytu atstumu į sausumos pusę. </w:t>
                  </w:r>
                </w:p>
              </w:sdtContent>
            </w:sdt>
            <w:sdt>
              <w:sdtPr>
                <w:alias w:val="5 p."/>
                <w:tag w:val="part_30fef6fd3b6e4660bbac698c51925a77"/>
                <w:lock w:val="sdtLocked"/>
                <w:richText/>
              </w:sdtPr>
              <w:sdtContent>
                <w:p>
                  <w:pPr>
                    <w:widowControl w:val="0"/>
                    <w:ind w:firstLine="851"/>
                    <w:jc w:val="both"/>
                    <w:rPr>
                      <w:lang w:eastAsia="lt-LT"/>
                    </w:rPr>
                  </w:pPr>
                  <w:sdt>
                    <w:sdtPr>
                      <w:alias w:val="Numeris"/>
                      <w:tag w:val="nr_30fef6fd3b6e4660bbac698c51925a77"/>
                      <w:lock w:val="sdtLocked"/>
                      <w:richText/>
                    </w:sdtPr>
                    <w:sdtContent>
                      <w:r>
                        <w:rPr>
                          <w:lang w:eastAsia="lt-LT"/>
                        </w:rPr>
                        <w:t>5</w:t>
                      </w:r>
                    </w:sdtContent>
                  </w:sdt>
                  <w:r>
                    <w:rPr>
                      <w:lang w:eastAsia="lt-LT"/>
                    </w:rPr>
                    <w:t>. Paviršinio vandens telkinio apsaugos zonos išorinė riba nuo paviršinio vandens telkinio ribos arba jo dengiamos teritorijos ribos turi būti nutolusi tokiu atstumu (šis atstumas matuojamas horizontalioje plokštumoje):</w:t>
                  </w:r>
                </w:p>
                <w:sdt>
                  <w:sdtPr>
                    <w:alias w:val="5.1 pp."/>
                    <w:tag w:val="part_303f0e5c362d429084a7b7cdd96051c8"/>
                    <w:lock w:val="sdtLocked"/>
                    <w:richText/>
                  </w:sdtPr>
                  <w:sdtContent>
                    <w:p>
                      <w:pPr>
                        <w:widowControl w:val="0"/>
                        <w:ind w:firstLine="851"/>
                        <w:jc w:val="both"/>
                        <w:rPr>
                          <w:lang w:eastAsia="lt-LT"/>
                        </w:rPr>
                      </w:pPr>
                      <w:sdt>
                        <w:sdtPr>
                          <w:alias w:val="Numeris"/>
                          <w:tag w:val="nr_303f0e5c362d429084a7b7cdd96051c8"/>
                          <w:lock w:val="sdtLocked"/>
                          <w:richText/>
                        </w:sdtPr>
                        <w:sdtContent>
                          <w:r>
                            <w:rPr>
                              <w:lang w:eastAsia="lt-LT"/>
                            </w:rPr>
                            <w:t>5.1</w:t>
                          </w:r>
                        </w:sdtContent>
                      </w:sdt>
                      <w:r>
                        <w:rPr>
                          <w:lang w:eastAsia="lt-LT"/>
                        </w:rPr>
                        <w:t xml:space="preserve">. prie Nemuno, Neries, Kuršių marių rytinėje pakrantėje </w:t>
                      </w:r>
                      <w:r>
                        <w:t>(nuo Klaipėdos valstybinio jūrų uosto pietinės ribos iki Lietuvos Respublikos ir Rusijos Federacijos valstybės sienos),</w:t>
                      </w:r>
                      <w:r>
                        <w:rPr>
                          <w:lang w:eastAsia="lt-LT"/>
                        </w:rPr>
                        <w:t xml:space="preserve"> prie ežerų ir tvenkinių, kurių plotas yra didesnis kaip 200 ha, – 500 m, išskyrus išimtis, nustatytas Tvarkos aprašo 6 punkte; </w:t>
                      </w:r>
                    </w:p>
                  </w:sdtContent>
                </w:sdt>
                <w:sdt>
                  <w:sdtPr>
                    <w:alias w:val="5.2 pp."/>
                    <w:tag w:val="part_5af386fe002d4f90a8dab1d7c32769e0"/>
                    <w:lock w:val="sdtLocked"/>
                    <w:richText/>
                  </w:sdtPr>
                  <w:sdtContent>
                    <w:p>
                      <w:pPr>
                        <w:widowControl w:val="0"/>
                        <w:ind w:firstLine="851"/>
                        <w:jc w:val="both"/>
                        <w:rPr>
                          <w:lang w:eastAsia="lt-LT"/>
                        </w:rPr>
                      </w:pPr>
                      <w:sdt>
                        <w:sdtPr>
                          <w:alias w:val="Numeris"/>
                          <w:tag w:val="nr_5af386fe002d4f90a8dab1d7c32769e0"/>
                          <w:lock w:val="sdtLocked"/>
                          <w:richText/>
                        </w:sdtPr>
                        <w:sdtContent>
                          <w:r>
                            <w:rPr>
                              <w:lang w:eastAsia="lt-LT"/>
                            </w:rPr>
                            <w:t>5.2</w:t>
                          </w:r>
                        </w:sdtContent>
                      </w:sdt>
                      <w:r>
                        <w:rPr>
                          <w:lang w:eastAsia="lt-LT"/>
                        </w:rPr>
                        <w:t>. prie Tvarkos aprašo 5.1 papunktyje nenurodytų 50 km ir ilgesnių upių, prie ežerų ir tvenkinių, kurių plotas yra 10–200 ha, – 200 m, išskyrus išimtis, nustatytas Tvarkos aprašo 6 punkte;</w:t>
                      </w:r>
                    </w:p>
                  </w:sdtContent>
                </w:sdt>
                <w:sdt>
                  <w:sdtPr>
                    <w:alias w:val="5.3 pp."/>
                    <w:tag w:val="part_1ee4cb2bacac48958acfa21dce56c354"/>
                    <w:lock w:val="sdtLocked"/>
                    <w:richText/>
                  </w:sdtPr>
                  <w:sdtContent>
                    <w:p>
                      <w:pPr>
                        <w:widowControl w:val="0"/>
                        <w:ind w:firstLine="851"/>
                        <w:jc w:val="both"/>
                        <w:rPr>
                          <w:szCs w:val="24"/>
                          <w:lang w:eastAsia="lt-LT"/>
                        </w:rPr>
                      </w:pPr>
                      <w:sdt>
                        <w:sdtPr>
                          <w:alias w:val="Numeris"/>
                          <w:tag w:val="nr_1ee4cb2bacac48958acfa21dce56c354"/>
                          <w:lock w:val="sdtLocked"/>
                          <w:richText/>
                        </w:sdtPr>
                        <w:sdtContent>
                          <w:r>
                            <w:rPr>
                              <w:szCs w:val="24"/>
                              <w:lang w:eastAsia="lt-LT"/>
                            </w:rPr>
                            <w:t>5.3</w:t>
                          </w:r>
                        </w:sdtContent>
                      </w:sdt>
                      <w:r>
                        <w:rPr>
                          <w:szCs w:val="24"/>
                          <w:lang w:eastAsia="lt-LT"/>
                        </w:rPr>
                        <w:t>. prie trumpesnių kaip 50 km upių, prie ežerų ir tvenkinių, kurių plotas yra 0,5–10 ha, prie dirbtinių nepratekamų paviršinių vandens telkinių, kurių plotas yra 2 ha ir didesnis, – 100 m, išskyrus išimtis, nustatytas Tvarkos aprašo 6 punkte;</w:t>
                      </w:r>
                    </w:p>
                  </w:sdtContent>
                </w:sdt>
                <w:sdt>
                  <w:sdtPr>
                    <w:alias w:val="5.4 pp."/>
                    <w:tag w:val="part_3a8cbca3e42b48b4abfb3718fe99dbd9"/>
                    <w:lock w:val="sdtLocked"/>
                    <w:richText/>
                  </w:sdtPr>
                  <w:sdtContent>
                    <w:p>
                      <w:pPr>
                        <w:suppressAutoHyphens/>
                        <w:ind w:firstLine="851"/>
                        <w:jc w:val="both"/>
                      </w:pPr>
                      <w:sdt>
                        <w:sdtPr>
                          <w:alias w:val="Numeris"/>
                          <w:tag w:val="nr_3a8cbca3e42b48b4abfb3718fe99dbd9"/>
                          <w:lock w:val="sdtLocked"/>
                          <w:richText/>
                        </w:sdtPr>
                        <w:sdtContent>
                          <w:r>
                            <w:rPr>
                              <w:lang w:eastAsia="zh-CN"/>
                            </w:rPr>
                            <w:t>5.4</w:t>
                          </w:r>
                        </w:sdtContent>
                      </w:sdt>
                      <w:r>
                        <w:rPr>
                          <w:lang w:eastAsia="zh-CN"/>
                        </w:rPr>
                        <w:t>. upės, registruotos Lietuvos Respublikos upių, ežerų ir tvenkinių valstybės kadastre (toliau – UETK), vagoje esančiam paviršiniam vandens telkiniui, kuris neregistruotas UETK, paviršinio vandens telkinio apsaugos zona nustatoma tokio dydžio kaip per jį tekančios upės</w:t>
                      </w:r>
                      <w:r>
                        <w:rPr>
                          <w:color w:val="000000"/>
                          <w:lang w:eastAsia="zh-CN"/>
                        </w:rPr>
                        <w:t xml:space="preserve"> vadovaujantis Tvarkos aprašo </w:t>
                      </w:r>
                      <w:r>
                        <w:rPr>
                          <w:lang w:eastAsia="zh-CN"/>
                        </w:rPr>
                        <w:t>5.1</w:t>
                      </w:r>
                      <w:r>
                        <w:rPr>
                          <w:color w:val="000000"/>
                          <w:sz w:val="22"/>
                          <w:szCs w:val="22"/>
                          <w:lang w:eastAsia="zh-CN"/>
                        </w:rPr>
                        <w:t>–</w:t>
                      </w:r>
                      <w:r>
                        <w:rPr>
                          <w:lang w:eastAsia="zh-CN"/>
                        </w:rPr>
                        <w:t>5.3 papunkčiais;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198500bf6511eea5a28c81c82193a8">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2024-01-30,
paskelbta TAR 2024-01-30, i. k. 2024-01707            </w:t>
                      </w:r>
                    </w:p>
                    <w:p/>
                  </w:sdtContent>
                </w:sdt>
                <w:sdt>
                  <w:sdtPr>
                    <w:alias w:val="5.5 pp."/>
                    <w:tag w:val="part_a5abc26451694b798d34b242d216e58c"/>
                    <w:lock w:val="sdtLocked"/>
                    <w:richText/>
                  </w:sdtPr>
                  <w:sdtContent>
                    <w:p>
                      <w:pPr>
                        <w:suppressAutoHyphens/>
                        <w:ind w:firstLine="851"/>
                        <w:jc w:val="both"/>
                        <w:rPr>
                          <w:lang w:eastAsia="lt-LT"/>
                        </w:rPr>
                      </w:pPr>
                      <w:sdt>
                        <w:sdtPr>
                          <w:alias w:val="Numeris"/>
                          <w:tag w:val="nr_a5abc26451694b798d34b242d216e58c"/>
                          <w:lock w:val="sdtLocked"/>
                          <w:richText/>
                        </w:sdtPr>
                        <w:sdtContent>
                          <w:r>
                            <w:rPr>
                              <w:color w:val="000000"/>
                              <w:szCs w:val="24"/>
                              <w:lang w:eastAsia="lt-LT"/>
                            </w:rPr>
                            <w:t>5.5</w:t>
                          </w:r>
                        </w:sdtContent>
                      </w:sdt>
                      <w:r>
                        <w:rPr>
                          <w:color w:val="000000"/>
                          <w:szCs w:val="24"/>
                          <w:lang w:eastAsia="lt-LT"/>
                        </w:rPr>
                        <w:t>. prie paviršinio vandens telkinio, kurio pakrantės apsaugos juosta nesiriboja su miesto ar miestelio teritorija ir netaikomos apsaugos zonos nustatymo išimtys, nustatytos Tvarkos aprašo 6 punkte, paviršinio vandens telkinio apsaugos zona nustatoma iki miesto ar miestelio ribų.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8f3340e2311f1bd71e5905aa24d51">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2026-02-20,
paskelbta TAR 2026-02-20, i. k. 2026-02775        </w:t>
                      </w:r>
                    </w:p>
                    <w:p/>
                  </w:sdtContent>
                </w:sdt>
              </w:sdtContent>
            </w:sdt>
            <w:sdt>
              <w:sdtPr>
                <w:alias w:val="6 p."/>
                <w:tag w:val="part_36d5dcc918f24ce6915f3601c5993f5b"/>
                <w:lock w:val="sdtLocked"/>
                <w:richText/>
              </w:sdtPr>
              <w:sdtContent>
                <w:p>
                  <w:pPr>
                    <w:widowControl w:val="0"/>
                    <w:ind w:firstLine="851"/>
                    <w:jc w:val="both"/>
                    <w:rPr>
                      <w:lang w:eastAsia="lt-LT"/>
                    </w:rPr>
                  </w:pPr>
                  <w:sdt>
                    <w:sdtPr>
                      <w:alias w:val="Numeris"/>
                      <w:tag w:val="nr_36d5dcc918f24ce6915f3601c5993f5b"/>
                      <w:lock w:val="sdtLocked"/>
                      <w:richText/>
                    </w:sdtPr>
                    <w:sdtContent>
                      <w:r>
                        <w:rPr>
                          <w:lang w:eastAsia="lt-LT"/>
                        </w:rPr>
                        <w:t>6</w:t>
                      </w:r>
                    </w:sdtContent>
                  </w:sdt>
                  <w:r>
                    <w:rPr>
                      <w:lang w:eastAsia="lt-LT"/>
                    </w:rPr>
                    <w:t>. Paviršinio vandens telkinio apsaugos zonos plotis toks pats kaip pagal Tvarkos aprašo III skyriaus nuostatas nustatytos paviršinio vandens telkinio pakrantės apsaugos juostos prie šių paviršinių vandens telkinių:</w:t>
                  </w:r>
                </w:p>
                <w:sdt>
                  <w:sdtPr>
                    <w:alias w:val="6.1 pp."/>
                    <w:tag w:val="part_2418c6a1893d41ebb8b9082e010c6e1e"/>
                    <w:lock w:val="sdtLocked"/>
                    <w:richText/>
                  </w:sdtPr>
                  <w:sdtContent>
                    <w:p>
                      <w:pPr>
                        <w:widowControl w:val="0"/>
                        <w:ind w:firstLine="851"/>
                        <w:jc w:val="both"/>
                        <w:rPr>
                          <w:szCs w:val="24"/>
                          <w:lang w:eastAsia="lt-LT"/>
                        </w:rPr>
                      </w:pPr>
                      <w:sdt>
                        <w:sdtPr>
                          <w:alias w:val="Numeris"/>
                          <w:tag w:val="nr_2418c6a1893d41ebb8b9082e010c6e1e"/>
                          <w:lock w:val="sdtLocked"/>
                          <w:richText/>
                        </w:sdtPr>
                        <w:sdtContent>
                          <w:r>
                            <w:rPr>
                              <w:szCs w:val="24"/>
                              <w:lang w:eastAsia="lt-LT"/>
                            </w:rPr>
                            <w:t>6.1</w:t>
                          </w:r>
                        </w:sdtContent>
                      </w:sdt>
                      <w:r>
                        <w:rPr>
                          <w:szCs w:val="24"/>
                          <w:lang w:eastAsia="lt-LT"/>
                        </w:rPr>
                        <w:t>. dirbtinių nepratekamų paviršinių vandens telkinių, kurių plotas – iki 2 ha;</w:t>
                      </w:r>
                    </w:p>
                  </w:sdtContent>
                </w:sdt>
                <w:sdt>
                  <w:sdtPr>
                    <w:alias w:val="6.2 pp."/>
                    <w:tag w:val="part_5243b3eadc874b8392e11903d37507c0"/>
                    <w:lock w:val="sdtLocked"/>
                    <w:richText/>
                  </w:sdtPr>
                  <w:sdtContent>
                    <w:p>
                      <w:pPr>
                        <w:widowControl w:val="0"/>
                        <w:ind w:firstLine="851"/>
                        <w:jc w:val="both"/>
                        <w:rPr>
                          <w:szCs w:val="24"/>
                          <w:lang w:eastAsia="lt-LT"/>
                        </w:rPr>
                      </w:pPr>
                      <w:sdt>
                        <w:sdtPr>
                          <w:alias w:val="Numeris"/>
                          <w:tag w:val="nr_5243b3eadc874b8392e11903d37507c0"/>
                          <w:lock w:val="sdtLocked"/>
                          <w:richText/>
                        </w:sdtPr>
                        <w:sdtContent>
                          <w:r>
                            <w:rPr>
                              <w:szCs w:val="24"/>
                              <w:lang w:eastAsia="lt-LT"/>
                            </w:rPr>
                            <w:t>6.2</w:t>
                          </w:r>
                        </w:sdtContent>
                      </w:sdt>
                      <w:r>
                        <w:rPr>
                          <w:szCs w:val="24"/>
                          <w:lang w:eastAsia="lt-LT"/>
                        </w:rPr>
                        <w:t>. kanalų;</w:t>
                      </w:r>
                    </w:p>
                  </w:sdtContent>
                </w:sdt>
                <w:sdt>
                  <w:sdtPr>
                    <w:alias w:val="6.3 pp."/>
                    <w:tag w:val="part_10030c5ab7614ea9a61b80bc15c91afe"/>
                    <w:lock w:val="sdtLocked"/>
                    <w:richText/>
                  </w:sdtPr>
                  <w:sdtContent>
                    <w:p>
                      <w:pPr>
                        <w:suppressAutoHyphens/>
                        <w:ind w:firstLine="851"/>
                        <w:jc w:val="both"/>
                      </w:pPr>
                      <w:sdt>
                        <w:sdtPr>
                          <w:alias w:val="Numeris"/>
                          <w:tag w:val="nr_10030c5ab7614ea9a61b80bc15c91afe"/>
                          <w:lock w:val="sdtLocked"/>
                          <w:richText/>
                        </w:sdtPr>
                        <w:sdtContent>
                          <w:r>
                            <w:rPr>
                              <w:lang w:eastAsia="zh-CN"/>
                            </w:rPr>
                            <w:t>6.3</w:t>
                          </w:r>
                        </w:sdtContent>
                      </w:sdt>
                      <w:r>
                        <w:rPr>
                          <w:lang w:eastAsia="zh-CN"/>
                        </w:rPr>
                        <w:t>. miestuose ir miesteliuose esančių paviršinių vandens telkinių ir paviršinių vandens telkinių, kurių paviršinio vandens telkinio pakrantės apsaugos juosta patenka į miesto gyvenamąją teritoriją ar miestelį;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198500bf6511eea5a28c81c82193a8">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2024-01-30,
paskelbta TAR 2024-01-30, i. k. 2024-01707            </w:t>
                      </w:r>
                    </w:p>
                    <w:p/>
                  </w:sdtContent>
                </w:sdt>
                <w:sdt>
                  <w:sdtPr>
                    <w:alias w:val="6.4 pp."/>
                    <w:tag w:val="part_2fa2ae22081445278b150bf4c2b1fcd0"/>
                    <w:lock w:val="sdtLocked"/>
                    <w:richText/>
                  </w:sdtPr>
                  <w:sdtContent>
                    <w:p>
                      <w:pPr>
                        <w:suppressAutoHyphens/>
                        <w:ind w:firstLine="851"/>
                        <w:jc w:val="both"/>
                      </w:pPr>
                      <w:sdt>
                        <w:sdtPr>
                          <w:alias w:val="Numeris"/>
                          <w:tag w:val="nr_2fa2ae22081445278b150bf4c2b1fcd0"/>
                          <w:lock w:val="sdtLocked"/>
                          <w:richText/>
                        </w:sdtPr>
                        <w:sdtContent>
                          <w:r>
                            <w:rPr>
                              <w:lang w:eastAsia="zh-CN"/>
                            </w:rPr>
                            <w:t>6.4</w:t>
                          </w:r>
                        </w:sdtContent>
                      </w:sdt>
                      <w:r>
                        <w:rPr>
                          <w:lang w:eastAsia="zh-CN"/>
                        </w:rPr>
                        <w:t>. 5 km ir trumpesnių upių;</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198500bf6511eea5a28c81c82193a8">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2024-01-30,
paskelbta TAR 2024-01-30, i. k. 2024-01707        </w:t>
                      </w:r>
                    </w:p>
                    <w:p/>
                  </w:sdtContent>
                </w:sdt>
                <w:sdt>
                  <w:sdtPr>
                    <w:alias w:val="6.5 pp."/>
                    <w:tag w:val="part_3ee1c4ef093841d1a4fbc6904153b242"/>
                    <w:lock w:val="sdtLocked"/>
                    <w:richText/>
                  </w:sdtPr>
                  <w:sdtContent>
                    <w:p>
                      <w:pPr>
                        <w:suppressAutoHyphens/>
                        <w:ind w:firstLine="851"/>
                        <w:jc w:val="both"/>
                        <w:rPr>
                          <w:szCs w:val="24"/>
                          <w:lang w:eastAsia="lt-LT"/>
                        </w:rPr>
                      </w:pPr>
                      <w:sdt>
                        <w:sdtPr>
                          <w:alias w:val="Numeris"/>
                          <w:tag w:val="nr_3ee1c4ef093841d1a4fbc6904153b242"/>
                          <w:lock w:val="sdtLocked"/>
                          <w:richText/>
                        </w:sdtPr>
                        <w:sdtContent>
                          <w:r>
                            <w:rPr>
                              <w:color w:val="000000"/>
                              <w:szCs w:val="24"/>
                              <w:lang w:eastAsia="lt-LT"/>
                            </w:rPr>
                            <w:t>6.5</w:t>
                          </w:r>
                        </w:sdtContent>
                      </w:sdt>
                      <w:r>
                        <w:rPr>
                          <w:color w:val="000000"/>
                          <w:szCs w:val="24"/>
                          <w:lang w:eastAsia="lt-LT"/>
                        </w:rPr>
                        <w:t>. prie su miško žeme besiribojančių 50 km ir trumpesnių upių, ežerų ir tvenkinių, kurių plotas yra 50 ha ir mažesnis.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198500bf6511eea5a28c81c82193a8">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2024-01-30,
paskelbta TAR 2024-01-30, i. k. 2024-01707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8f3340e2311f1bd71e5905aa24d51">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2026-02-20,
paskelbta TAR 2026-02-20, i. k. 2026-02775            </w:t>
                      </w:r>
                    </w:p>
                    <w:p/>
                  </w:sdtContent>
                </w:sdt>
              </w:sdtContent>
            </w:sdt>
            <w:sdt>
              <w:sdtPr>
                <w:alias w:val="7 p."/>
                <w:tag w:val="part_de0520ebfd51431182e5b7cfe719c705"/>
                <w:lock w:val="sdtLocked"/>
                <w:richText/>
              </w:sdtPr>
              <w:sdtContent>
                <w:p>
                  <w:pPr>
                    <w:widowControl w:val="0"/>
                    <w:ind w:firstLine="851"/>
                    <w:jc w:val="both"/>
                    <w:rPr>
                      <w:szCs w:val="24"/>
                      <w:lang w:val="en-US" w:eastAsia="lt-LT"/>
                    </w:rPr>
                  </w:pPr>
                  <w:sdt>
                    <w:sdtPr>
                      <w:alias w:val="Numeris"/>
                      <w:tag w:val="nr_de0520ebfd51431182e5b7cfe719c705"/>
                      <w:lock w:val="sdtLocked"/>
                      <w:richText/>
                    </w:sdtPr>
                    <w:sdtContent>
                      <w:r>
                        <w:rPr>
                          <w:szCs w:val="24"/>
                          <w:lang w:eastAsia="lt-LT"/>
                        </w:rPr>
                        <w:t>7</w:t>
                      </w:r>
                    </w:sdtContent>
                  </w:sdt>
                  <w:r>
                    <w:rPr>
                      <w:szCs w:val="24"/>
                      <w:lang w:eastAsia="lt-LT"/>
                    </w:rPr>
                    <w:t xml:space="preserve">. Paviršiniame vandens telkinyje esančios salos, kurios plotas yra </w:t>
                  </w:r>
                  <w:r>
                    <w:rPr>
                      <w:szCs w:val="24"/>
                      <w:lang w:val="en-US" w:eastAsia="lt-LT"/>
                    </w:rPr>
                    <w:t>3 ha ir ma</w:t>
                  </w:r>
                  <w:r>
                    <w:rPr>
                      <w:szCs w:val="24"/>
                      <w:lang w:eastAsia="lt-LT"/>
                    </w:rPr>
                    <w:t xml:space="preserve">žesnis, </w:t>
                  </w:r>
                  <w:r>
                    <w:rPr>
                      <w:lang w:eastAsia="lt-LT"/>
                    </w:rPr>
                    <w:t>paviršinio vandens telkinio apsaugos zonos plotis toks pats kaip nustatytos pagal Tvarkos aprašo III skyriaus nuostatas paviršinio vandens telkinio pakrantės apsaugos juostos.</w:t>
                  </w:r>
                </w:p>
                <w:p>
                  <w:pPr>
                    <w:widowControl w:val="0"/>
                    <w:ind w:firstLine="567"/>
                    <w:jc w:val="both"/>
                    <w:rPr>
                      <w:szCs w:val="24"/>
                      <w:lang w:eastAsia="lt-LT"/>
                    </w:rPr>
                  </w:pPr>
                </w:p>
              </w:sdtContent>
            </w:sdt>
          </w:sdtContent>
        </w:sdt>
        <w:sdt>
          <w:sdtPr>
            <w:alias w:val="skyrius"/>
            <w:tag w:val="part_6f0d77f858194015bd7393380afe731e"/>
            <w:lock w:val="sdtLocked"/>
            <w:richText/>
          </w:sdtPr>
          <w:sdtContent>
            <w:p>
              <w:pPr>
                <w:widowControl w:val="0"/>
                <w:suppressAutoHyphens/>
                <w:jc w:val="center"/>
                <w:rPr>
                  <w:b/>
                  <w:szCs w:val="24"/>
                  <w:lang w:eastAsia="zh-CN"/>
                </w:rPr>
              </w:pPr>
              <w:sdt>
                <w:sdtPr>
                  <w:alias w:val="Numeris"/>
                  <w:tag w:val="nr_6f0d77f858194015bd7393380afe731e"/>
                  <w:lock w:val="sdtLocked"/>
                  <w:richText/>
                </w:sdtPr>
                <w:sdtContent>
                  <w:r>
                    <w:rPr>
                      <w:b/>
                      <w:szCs w:val="24"/>
                      <w:lang w:eastAsia="zh-CN"/>
                    </w:rPr>
                    <w:t>III</w:t>
                  </w:r>
                </w:sdtContent>
              </w:sdt>
              <w:r>
                <w:rPr>
                  <w:b/>
                  <w:szCs w:val="24"/>
                  <w:lang w:eastAsia="zh-CN"/>
                </w:rPr>
                <w:t xml:space="preserve"> SKYRIUS</w:t>
              </w:r>
            </w:p>
            <w:p>
              <w:pPr>
                <w:widowControl w:val="0"/>
                <w:suppressAutoHyphens/>
                <w:jc w:val="center"/>
                <w:rPr>
                  <w:b/>
                  <w:szCs w:val="24"/>
                  <w:lang w:eastAsia="zh-CN"/>
                </w:rPr>
              </w:pPr>
              <w:sdt>
                <w:sdtPr>
                  <w:alias w:val="Pavadinimas"/>
                  <w:tag w:val="title_6f0d77f858194015bd7393380afe731e"/>
                  <w:lock w:val="sdtLocked"/>
                  <w:richText/>
                </w:sdtPr>
                <w:sdtContent>
                  <w:r>
                    <w:rPr>
                      <w:b/>
                      <w:szCs w:val="24"/>
                      <w:lang w:eastAsia="zh-CN"/>
                    </w:rPr>
                    <w:t>PAVIRŠINIO VANDENS TELKINIO PAKRANTĖS APSAUGOS JUOSTOS NUSTATYMAS</w:t>
                  </w:r>
                </w:sdtContent>
              </w:sdt>
            </w:p>
            <w:p>
              <w:pPr>
                <w:widowControl w:val="0"/>
                <w:suppressAutoHyphens/>
                <w:jc w:val="both"/>
                <w:rPr>
                  <w:b/>
                  <w:szCs w:val="24"/>
                  <w:lang w:eastAsia="zh-CN"/>
                </w:rPr>
              </w:pPr>
            </w:p>
            <w:sdt>
              <w:sdtPr>
                <w:alias w:val="8 p."/>
                <w:tag w:val="part_f67eff3efb29473ca0865b736bfaeea5"/>
                <w:lock w:val="sdtLocked"/>
                <w:richText/>
              </w:sdtPr>
              <w:sdtContent>
                <w:p>
                  <w:pPr>
                    <w:widowControl w:val="0"/>
                    <w:suppressAutoHyphens/>
                    <w:ind w:firstLine="851"/>
                    <w:jc w:val="both"/>
                    <w:rPr>
                      <w:szCs w:val="24"/>
                      <w:lang w:eastAsia="zh-CN"/>
                    </w:rPr>
                  </w:pPr>
                  <w:sdt>
                    <w:sdtPr>
                      <w:alias w:val="Numeris"/>
                      <w:tag w:val="nr_f67eff3efb29473ca0865b736bfaeea5"/>
                      <w:lock w:val="sdtLocked"/>
                      <w:richText/>
                    </w:sdtPr>
                    <w:sdtContent>
                      <w:r>
                        <w:rPr>
                          <w:szCs w:val="24"/>
                          <w:lang w:eastAsia="zh-CN"/>
                        </w:rPr>
                        <w:t>8</w:t>
                      </w:r>
                    </w:sdtContent>
                  </w:sdt>
                  <w:r>
                    <w:rPr>
                      <w:szCs w:val="24"/>
                      <w:lang w:eastAsia="zh-CN"/>
                    </w:rPr>
                    <w:t>. Nustatant paviršinio vandens telkinio pakrantės apsaugos juostą, šios juostos išorinė riba matuojama nuo GRPK nustatytos paviršinio vandens telkinio arba jo dengiamos teritorijos ribos (kuri prilyginama vietovėje esančiai paviršinio vandens telkinio vandens paviršiaus ribai su sausumos teritorija). Paviršinio vandens telkinio pakrantės apsaugos juostos išorinė riba suprantama kaip GRPK nustatytai paviršinio vandens telkinio arba jo dengiamos teritorijos ribai lygiagreti linija, nutolusi nuo paviršinio vandens telkinio nustatytu atstumu į sausumos pusę.</w:t>
                  </w:r>
                </w:p>
              </w:sdtContent>
            </w:sdt>
            <w:sdt>
              <w:sdtPr>
                <w:alias w:val="9 p."/>
                <w:tag w:val="part_0b7fa73c99434f47b399fd4a8463f5c9"/>
                <w:lock w:val="sdtLocked"/>
                <w:richText/>
              </w:sdtPr>
              <w:sdtContent>
                <w:p>
                  <w:pPr>
                    <w:widowControl w:val="0"/>
                    <w:suppressAutoHyphens/>
                    <w:ind w:firstLine="851"/>
                    <w:jc w:val="both"/>
                    <w:rPr>
                      <w:lang w:eastAsia="zh-CN"/>
                    </w:rPr>
                  </w:pPr>
                  <w:sdt>
                    <w:sdtPr>
                      <w:alias w:val="Numeris"/>
                      <w:tag w:val="nr_0b7fa73c99434f47b399fd4a8463f5c9"/>
                      <w:lock w:val="sdtLocked"/>
                      <w:richText/>
                    </w:sdtPr>
                    <w:sdtContent>
                      <w:r>
                        <w:rPr>
                          <w:lang w:eastAsia="zh-CN"/>
                        </w:rPr>
                        <w:t>9</w:t>
                      </w:r>
                    </w:sdtContent>
                  </w:sdt>
                  <w:r>
                    <w:rPr>
                      <w:lang w:eastAsia="zh-CN"/>
                    </w:rPr>
                    <w:t>. Paviršinio vandens telkinio pakrantės apsaugos juostos išorinė riba nuo paviršinio vandens telkinio ribos turi būti nutolusi tokiu atstumu (šis atstumas matuojamas horizontalioje plokštumoje):</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3402"/>
                    <w:gridCol w:w="3827"/>
                  </w:tblGrid>
                  <w:tr>
                    <w:trPr>
                      <w:trHeight w:val="738"/>
                    </w:trPr>
                    <w:tc>
                      <w:tcPr>
                        <w:tcW w:w="2410" w:type="dxa"/>
                        <w:vAlign w:val="center"/>
                      </w:tcPr>
                      <w:p>
                        <w:pPr>
                          <w:widowControl w:val="0"/>
                          <w:suppressAutoHyphens/>
                          <w:jc w:val="center"/>
                          <w:rPr>
                            <w:sz w:val="22"/>
                            <w:szCs w:val="22"/>
                            <w:lang w:eastAsia="zh-CN"/>
                          </w:rPr>
                        </w:pPr>
                        <w:r>
                          <w:rPr>
                            <w:sz w:val="22"/>
                            <w:szCs w:val="22"/>
                            <w:lang w:eastAsia="zh-CN"/>
                          </w:rPr>
                          <w:t>Paviršinio vandens telkinio kategorija, dydis (ilgis ir (ar) plotas)</w:t>
                        </w:r>
                      </w:p>
                    </w:tc>
                    <w:tc>
                      <w:tcPr>
                        <w:tcW w:w="3402" w:type="dxa"/>
                        <w:shd w:val="clear" w:color="auto" w:fill="auto"/>
                        <w:vAlign w:val="center"/>
                      </w:tcPr>
                      <w:p>
                        <w:pPr>
                          <w:widowControl w:val="0"/>
                          <w:suppressAutoHyphens/>
                          <w:jc w:val="center"/>
                          <w:rPr>
                            <w:sz w:val="22"/>
                            <w:szCs w:val="22"/>
                            <w:lang w:eastAsia="zh-CN"/>
                          </w:rPr>
                        </w:pPr>
                        <w:r>
                          <w:rPr>
                            <w:sz w:val="22"/>
                            <w:szCs w:val="22"/>
                            <w:lang w:eastAsia="zh-CN"/>
                          </w:rPr>
                          <w:t>Į miesto gyvenamąsias vietoves ir miestelius nepatenkančiose teritorijose</w:t>
                        </w:r>
                      </w:p>
                    </w:tc>
                    <w:tc>
                      <w:tcPr>
                        <w:tcW w:w="3827" w:type="dxa"/>
                        <w:vAlign w:val="center"/>
                      </w:tcPr>
                      <w:p>
                        <w:pPr>
                          <w:widowControl w:val="0"/>
                          <w:suppressAutoHyphens/>
                          <w:jc w:val="center"/>
                          <w:rPr>
                            <w:color w:val="000000"/>
                            <w:sz w:val="22"/>
                            <w:szCs w:val="22"/>
                            <w:lang w:eastAsia="zh-CN"/>
                          </w:rPr>
                        </w:pPr>
                        <w:r>
                          <w:rPr>
                            <w:color w:val="000000"/>
                            <w:sz w:val="22"/>
                            <w:szCs w:val="22"/>
                            <w:lang w:eastAsia="zh-CN"/>
                          </w:rPr>
                          <w:t xml:space="preserve">Miesto </w:t>
                        </w:r>
                        <w:r>
                          <w:rPr>
                            <w:sz w:val="22"/>
                            <w:szCs w:val="22"/>
                            <w:lang w:eastAsia="zh-CN"/>
                          </w:rPr>
                          <w:t xml:space="preserve">gyvenamosiose </w:t>
                        </w:r>
                        <w:r>
                          <w:rPr>
                            <w:color w:val="000000"/>
                            <w:sz w:val="22"/>
                            <w:szCs w:val="22"/>
                            <w:lang w:eastAsia="zh-CN"/>
                          </w:rPr>
                          <w:t>vietovėse</w:t>
                        </w:r>
                      </w:p>
                      <w:p>
                        <w:pPr>
                          <w:widowControl w:val="0"/>
                          <w:suppressAutoHyphens/>
                          <w:jc w:val="center"/>
                          <w:rPr>
                            <w:sz w:val="22"/>
                            <w:szCs w:val="22"/>
                            <w:lang w:eastAsia="zh-CN"/>
                          </w:rPr>
                        </w:pPr>
                        <w:r>
                          <w:rPr>
                            <w:sz w:val="22"/>
                            <w:szCs w:val="22"/>
                            <w:lang w:eastAsia="zh-CN"/>
                          </w:rPr>
                          <w:t xml:space="preserve">ir miesteliuose </w:t>
                        </w:r>
                      </w:p>
                    </w:tc>
                  </w:tr>
                  <w:tr>
                    <w:trPr>
                      <w:trHeight w:val="616"/>
                    </w:trPr>
                    <w:tc>
                      <w:tcPr>
                        <w:tcW w:w="2410" w:type="dxa"/>
                        <w:vMerge w:val="restart"/>
                      </w:tcPr>
                      <w:p>
                        <w:pPr>
                          <w:shd w:val="clear" w:color="auto" w:fill="FFFFFF"/>
                          <w:jc w:val="both"/>
                          <w:rPr>
                            <w:sz w:val="22"/>
                            <w:szCs w:val="22"/>
                          </w:rPr>
                        </w:pPr>
                        <w:r>
                          <w:rPr>
                            <w:sz w:val="22"/>
                            <w:szCs w:val="22"/>
                          </w:rPr>
                          <w:t>9.1. Kuršių marių rytinėje pakrantėje (nuo Klaipėdos valstybinio jūrų uosto pietinės ribos iki Lietuvos Respublikos ir Rusijos Federacijos valstybės sienos);</w:t>
                        </w:r>
                      </w:p>
                    </w:tc>
                    <w:tc>
                      <w:tcPr>
                        <w:tcW w:w="3402" w:type="dxa"/>
                      </w:tcPr>
                      <w:p>
                        <w:pPr>
                          <w:shd w:val="clear" w:color="auto" w:fill="FFFFFF"/>
                          <w:jc w:val="center"/>
                          <w:rPr>
                            <w:sz w:val="22"/>
                            <w:szCs w:val="22"/>
                          </w:rPr>
                        </w:pPr>
                      </w:p>
                      <w:p>
                        <w:pPr>
                          <w:shd w:val="clear" w:color="auto" w:fill="FFFFFF"/>
                          <w:jc w:val="center"/>
                          <w:rPr>
                            <w:sz w:val="22"/>
                            <w:szCs w:val="22"/>
                          </w:rPr>
                        </w:pPr>
                        <w:r>
                          <w:rPr>
                            <w:sz w:val="22"/>
                            <w:szCs w:val="22"/>
                          </w:rPr>
                          <w:t>100 m</w:t>
                        </w:r>
                      </w:p>
                    </w:tc>
                    <w:tc>
                      <w:tcPr>
                        <w:tcW w:w="3827" w:type="dxa"/>
                        <w:vMerge w:val="restart"/>
                      </w:tcPr>
                      <w:p>
                        <w:pPr>
                          <w:shd w:val="clear" w:color="auto" w:fill="FFFFFF"/>
                          <w:jc w:val="center"/>
                          <w:rPr>
                            <w:sz w:val="22"/>
                            <w:szCs w:val="24"/>
                          </w:rPr>
                        </w:pPr>
                      </w:p>
                      <w:p>
                        <w:pPr>
                          <w:shd w:val="clear" w:color="auto" w:fill="FFFFFF"/>
                          <w:jc w:val="center"/>
                          <w:rPr>
                            <w:sz w:val="22"/>
                            <w:szCs w:val="24"/>
                          </w:rPr>
                        </w:pPr>
                        <w:r>
                          <w:rPr>
                            <w:sz w:val="22"/>
                            <w:szCs w:val="24"/>
                          </w:rPr>
                          <w:t>10 m</w:t>
                        </w:r>
                      </w:p>
                      <w:p>
                        <w:pPr>
                          <w:shd w:val="clear" w:color="auto" w:fill="FFFFFF"/>
                          <w:jc w:val="center"/>
                          <w:rPr>
                            <w:sz w:val="22"/>
                            <w:szCs w:val="24"/>
                          </w:rPr>
                        </w:pPr>
                      </w:p>
                      <w:p>
                        <w:pPr>
                          <w:shd w:val="clear" w:color="auto" w:fill="FFFFFF"/>
                          <w:jc w:val="center"/>
                          <w:rPr>
                            <w:sz w:val="22"/>
                            <w:szCs w:val="24"/>
                          </w:rPr>
                        </w:pPr>
                      </w:p>
                      <w:p>
                        <w:pPr>
                          <w:shd w:val="clear" w:color="auto" w:fill="FFFFFF"/>
                          <w:ind w:firstLine="62"/>
                          <w:jc w:val="center"/>
                          <w:rPr>
                            <w:sz w:val="22"/>
                            <w:szCs w:val="24"/>
                          </w:rPr>
                        </w:pPr>
                        <w:r>
                          <w:rPr>
                            <w:sz w:val="22"/>
                            <w:szCs w:val="24"/>
                          </w:rPr>
                          <w:t>10 m</w:t>
                        </w:r>
                      </w:p>
                    </w:tc>
                  </w:tr>
                  <w:tr>
                    <w:trPr>
                      <w:trHeight w:val="2115"/>
                    </w:trPr>
                    <w:tc>
                      <w:tcPr>
                        <w:tcW w:w="2410" w:type="dxa"/>
                        <w:vMerge/>
                        <w:vAlign w:val="center"/>
                      </w:tcPr>
                      <w:p>
                        <w:pPr>
                          <w:widowControl w:val="0"/>
                          <w:suppressAutoHyphens/>
                          <w:jc w:val="both"/>
                          <w:rPr>
                            <w:color w:val="000000"/>
                            <w:sz w:val="22"/>
                            <w:szCs w:val="22"/>
                            <w:lang w:eastAsia="zh-CN"/>
                          </w:rPr>
                        </w:pPr>
                      </w:p>
                    </w:tc>
                    <w:tc>
                      <w:tcPr>
                        <w:tcW w:w="3402" w:type="dxa"/>
                      </w:tcPr>
                      <w:p>
                        <w:pPr>
                          <w:shd w:val="clear" w:color="auto" w:fill="FFFFFF"/>
                          <w:jc w:val="center"/>
                          <w:rPr>
                            <w:sz w:val="22"/>
                            <w:szCs w:val="22"/>
                          </w:rPr>
                        </w:pPr>
                        <w:r>
                          <w:rPr>
                            <w:sz w:val="22"/>
                            <w:szCs w:val="22"/>
                          </w:rPr>
                          <w:t>50 m</w:t>
                        </w:r>
                      </w:p>
                      <w:p>
                        <w:pPr>
                          <w:shd w:val="clear" w:color="auto" w:fill="FFFFFF"/>
                          <w:rPr>
                            <w:sz w:val="22"/>
                            <w:szCs w:val="22"/>
                          </w:rPr>
                        </w:pPr>
                        <w:r>
                          <w:rPr>
                            <w:sz w:val="22"/>
                            <w:szCs w:val="22"/>
                          </w:rPr>
                          <w:t>kaimo gyvenamosiose vietovėse, kurios iki 2023 m.</w:t>
                        </w:r>
                      </w:p>
                      <w:p>
                        <w:pPr>
                          <w:shd w:val="clear" w:color="auto" w:fill="FFFFFF"/>
                          <w:rPr>
                            <w:sz w:val="22"/>
                            <w:szCs w:val="22"/>
                          </w:rPr>
                        </w:pPr>
                        <w:r>
                          <w:rPr>
                            <w:sz w:val="22"/>
                            <w:szCs w:val="22"/>
                          </w:rPr>
                          <w:t>sausio 1 d. patvirtintuose savivaldybės lygmens bendruosiuose planuose  </w:t>
                        </w:r>
                      </w:p>
                      <w:p>
                        <w:pPr>
                          <w:shd w:val="clear" w:color="auto" w:fill="FFFFFF"/>
                          <w:rPr>
                            <w:sz w:val="22"/>
                            <w:szCs w:val="22"/>
                          </w:rPr>
                        </w:pPr>
                        <w:r>
                          <w:rPr>
                            <w:sz w:val="22"/>
                            <w:szCs w:val="22"/>
                          </w:rPr>
                          <w:t>priskirtos urbanizuotoms ir urbanizuojamoms teritorijoms</w:t>
                        </w:r>
                      </w:p>
                    </w:tc>
                    <w:tc>
                      <w:tcPr>
                        <w:tcW w:w="3827" w:type="dxa"/>
                        <w:vMerge/>
                      </w:tcPr>
                      <w:p>
                        <w:pPr>
                          <w:widowControl w:val="0"/>
                          <w:suppressAutoHyphens/>
                          <w:jc w:val="center"/>
                          <w:rPr>
                            <w:color w:val="000000"/>
                            <w:sz w:val="22"/>
                            <w:szCs w:val="22"/>
                            <w:lang w:eastAsia="zh-CN"/>
                          </w:rPr>
                        </w:pPr>
                      </w:p>
                    </w:tc>
                  </w:tr>
                  <w:tr>
                    <w:trPr>
                      <w:trHeight w:val="3259"/>
                    </w:trPr>
                    <w:tc>
                      <w:tcPr>
                        <w:tcW w:w="2410" w:type="dxa"/>
                      </w:tcPr>
                      <w:p>
                        <w:pPr>
                          <w:suppressAutoHyphens/>
                          <w:jc w:val="both"/>
                          <w:rPr>
                            <w:sz w:val="22"/>
                            <w:szCs w:val="22"/>
                            <w:lang w:eastAsia="zh-CN"/>
                          </w:rPr>
                        </w:pPr>
                        <w:r>
                          <w:rPr>
                            <w:sz w:val="22"/>
                            <w:szCs w:val="22"/>
                            <w:lang w:eastAsia="zh-CN"/>
                          </w:rPr>
                          <w:t xml:space="preserve">9.2. prie visų upių, kurių ištakos yra Lietuvos Respublikos teritorijoje, jų upės ruožo ilgyje nuo ištakų iki 20-ojo km imtinai, taip pat prie </w:t>
                        </w:r>
                      </w:p>
                      <w:p>
                        <w:pPr>
                          <w:suppressAutoHyphens/>
                          <w:jc w:val="both"/>
                          <w:rPr>
                            <w:color w:val="000000"/>
                            <w:sz w:val="22"/>
                            <w:szCs w:val="22"/>
                            <w:lang w:eastAsia="zh-CN"/>
                          </w:rPr>
                        </w:pPr>
                        <w:r>
                          <w:rPr>
                            <w:color w:val="000000"/>
                            <w:sz w:val="22"/>
                            <w:szCs w:val="22"/>
                            <w:lang w:eastAsia="zh-CN"/>
                          </w:rPr>
                          <w:t xml:space="preserve">ežerų ir tvenkinių, kurių plotas – iki </w:t>
                        </w:r>
                        <w:r>
                          <w:rPr>
                            <w:color w:val="000000"/>
                            <w:sz w:val="22"/>
                            <w:szCs w:val="22"/>
                            <w:lang w:val="en-US" w:eastAsia="zh-CN"/>
                          </w:rPr>
                          <w:t>10</w:t>
                        </w:r>
                        <w:r>
                          <w:rPr>
                            <w:color w:val="000000"/>
                            <w:sz w:val="22"/>
                            <w:szCs w:val="22"/>
                            <w:lang w:eastAsia="zh-CN"/>
                          </w:rPr>
                          <w:t xml:space="preserve"> ha,</w:t>
                        </w:r>
                        <w:r>
                          <w:rPr>
                            <w:color w:val="000000"/>
                            <w:sz w:val="22"/>
                            <w:szCs w:val="22"/>
                            <w:lang w:val="en-US" w:eastAsia="zh-CN"/>
                          </w:rPr>
                          <w:t xml:space="preserve"> prie </w:t>
                        </w:r>
                        <w:r>
                          <w:rPr>
                            <w:color w:val="000000"/>
                            <w:sz w:val="22"/>
                            <w:szCs w:val="22"/>
                            <w:lang w:eastAsia="zh-CN"/>
                          </w:rPr>
                          <w:t>dirbtinių nepratekamų paviršinių vandens telkinių, kurių plotas – iki 2 ha;</w:t>
                        </w:r>
                      </w:p>
                    </w:tc>
                    <w:tc>
                      <w:tcPr>
                        <w:tcW w:w="3402" w:type="dxa"/>
                      </w:tcPr>
                      <w:p>
                        <w:pPr>
                          <w:widowControl w:val="0"/>
                          <w:suppressAutoHyphens/>
                          <w:jc w:val="center"/>
                          <w:rPr>
                            <w:color w:val="000000"/>
                            <w:sz w:val="22"/>
                            <w:szCs w:val="22"/>
                            <w:lang w:eastAsia="zh-CN"/>
                          </w:rPr>
                        </w:pPr>
                      </w:p>
                      <w:p>
                        <w:pPr>
                          <w:widowControl w:val="0"/>
                          <w:suppressAutoHyphens/>
                          <w:jc w:val="center"/>
                          <w:rPr>
                            <w:color w:val="000000"/>
                            <w:sz w:val="22"/>
                            <w:szCs w:val="22"/>
                            <w:lang w:eastAsia="zh-CN"/>
                          </w:rPr>
                        </w:pPr>
                        <w:r>
                          <w:rPr>
                            <w:color w:val="000000"/>
                            <w:sz w:val="22"/>
                            <w:szCs w:val="22"/>
                            <w:lang w:eastAsia="zh-CN"/>
                          </w:rPr>
                          <w:t>3 m</w:t>
                        </w:r>
                      </w:p>
                      <w:p>
                        <w:pPr>
                          <w:widowControl w:val="0"/>
                          <w:suppressAutoHyphens/>
                          <w:jc w:val="center"/>
                          <w:rPr>
                            <w:color w:val="000000"/>
                            <w:sz w:val="22"/>
                            <w:szCs w:val="22"/>
                            <w:lang w:eastAsia="zh-CN"/>
                          </w:rPr>
                        </w:pPr>
                      </w:p>
                    </w:tc>
                    <w:tc>
                      <w:tcPr>
                        <w:tcW w:w="3827" w:type="dxa"/>
                      </w:tcPr>
                      <w:p>
                        <w:pPr>
                          <w:widowControl w:val="0"/>
                          <w:suppressAutoHyphens/>
                          <w:jc w:val="center"/>
                          <w:rPr>
                            <w:sz w:val="22"/>
                            <w:szCs w:val="22"/>
                            <w:lang w:eastAsia="zh-CN"/>
                          </w:rPr>
                        </w:pPr>
                      </w:p>
                      <w:p>
                        <w:pPr>
                          <w:widowControl w:val="0"/>
                          <w:suppressAutoHyphens/>
                          <w:jc w:val="center"/>
                          <w:rPr>
                            <w:sz w:val="22"/>
                            <w:szCs w:val="22"/>
                            <w:lang w:eastAsia="zh-CN"/>
                          </w:rPr>
                        </w:pPr>
                        <w:r>
                          <w:rPr>
                            <w:sz w:val="22"/>
                            <w:szCs w:val="22"/>
                            <w:lang w:eastAsia="zh-CN"/>
                          </w:rPr>
                          <w:t>3 m</w:t>
                        </w:r>
                      </w:p>
                    </w:tc>
                  </w:tr>
                  <w:tr>
                    <w:trPr>
                      <w:trHeight w:val="4116"/>
                    </w:trPr>
                    <w:tc>
                      <w:tcPr>
                        <w:tcW w:w="2410" w:type="dxa"/>
                      </w:tcPr>
                      <w:p>
                        <w:pPr>
                          <w:suppressAutoHyphens/>
                          <w:jc w:val="both"/>
                          <w:rPr>
                            <w:sz w:val="22"/>
                            <w:szCs w:val="22"/>
                            <w:lang w:eastAsia="zh-CN"/>
                          </w:rPr>
                        </w:pPr>
                        <w:r>
                          <w:rPr>
                            <w:sz w:val="22"/>
                            <w:szCs w:val="22"/>
                            <w:lang w:eastAsia="zh-CN"/>
                          </w:rPr>
                          <w:t xml:space="preserve">9.3. prie visų upių, kurių ištakos yra Lietuvos Respublikos teritorijoje, jų upės ruožo ilgyje nuo </w:t>
                        </w:r>
                      </w:p>
                      <w:p>
                        <w:pPr>
                          <w:suppressAutoHyphens/>
                          <w:jc w:val="both"/>
                          <w:rPr>
                            <w:sz w:val="22"/>
                            <w:szCs w:val="22"/>
                            <w:lang w:eastAsia="zh-CN"/>
                          </w:rPr>
                        </w:pPr>
                        <w:r>
                          <w:rPr>
                            <w:sz w:val="22"/>
                            <w:szCs w:val="22"/>
                            <w:lang w:eastAsia="zh-CN"/>
                          </w:rPr>
                          <w:t>20-ojo km iki</w:t>
                        </w:r>
                      </w:p>
                      <w:p>
                        <w:pPr>
                          <w:suppressAutoHyphens/>
                          <w:jc w:val="both"/>
                          <w:rPr>
                            <w:color w:val="000000"/>
                            <w:sz w:val="22"/>
                            <w:szCs w:val="22"/>
                            <w:lang w:eastAsia="zh-CN"/>
                          </w:rPr>
                        </w:pPr>
                        <w:r>
                          <w:rPr>
                            <w:sz w:val="22"/>
                            <w:szCs w:val="22"/>
                            <w:lang w:eastAsia="zh-CN"/>
                          </w:rPr>
                          <w:t>100-ojo km imtinai (skaičiuojant nuo jų ištakų),</w:t>
                        </w:r>
                        <w:r>
                          <w:rPr>
                            <w:color w:val="000000"/>
                            <w:sz w:val="22"/>
                            <w:szCs w:val="22"/>
                            <w:lang w:eastAsia="zh-CN"/>
                          </w:rPr>
                          <w:t xml:space="preserve"> prie ežerų ir tvenkinių, kurių plotas yra 10–</w:t>
                        </w:r>
                        <w:r>
                          <w:rPr>
                            <w:sz w:val="22"/>
                            <w:szCs w:val="22"/>
                            <w:lang w:eastAsia="zh-CN"/>
                          </w:rPr>
                          <w:t>200</w:t>
                        </w:r>
                        <w:r>
                          <w:rPr>
                            <w:color w:val="000000"/>
                            <w:sz w:val="22"/>
                            <w:szCs w:val="22"/>
                            <w:lang w:eastAsia="zh-CN"/>
                          </w:rPr>
                          <w:t xml:space="preserve"> ha, prie dirbtinių nepratekamų paviršinių vandens telkinių, kurių</w:t>
                        </w:r>
                      </w:p>
                      <w:p>
                        <w:pPr>
                          <w:suppressAutoHyphens/>
                          <w:jc w:val="both"/>
                          <w:rPr>
                            <w:sz w:val="22"/>
                            <w:szCs w:val="22"/>
                            <w:lang w:eastAsia="zh-CN"/>
                          </w:rPr>
                        </w:pPr>
                        <w:r>
                          <w:rPr>
                            <w:color w:val="000000"/>
                            <w:sz w:val="22"/>
                            <w:szCs w:val="22"/>
                            <w:lang w:eastAsia="zh-CN"/>
                          </w:rPr>
                          <w:t>plotas – 2 ha ir daugiau, ir prie visų kanalų;</w:t>
                        </w:r>
                      </w:p>
                    </w:tc>
                    <w:tc>
                      <w:tcPr>
                        <w:tcW w:w="3402" w:type="dxa"/>
                      </w:tcPr>
                      <w:p>
                        <w:pPr>
                          <w:widowControl w:val="0"/>
                          <w:suppressAutoHyphens/>
                          <w:jc w:val="center"/>
                          <w:rPr>
                            <w:color w:val="000000"/>
                            <w:sz w:val="22"/>
                            <w:szCs w:val="22"/>
                            <w:lang w:eastAsia="zh-CN"/>
                          </w:rPr>
                        </w:pPr>
                      </w:p>
                      <w:p>
                        <w:pPr>
                          <w:widowControl w:val="0"/>
                          <w:suppressAutoHyphens/>
                          <w:jc w:val="center"/>
                          <w:rPr>
                            <w:color w:val="000000"/>
                            <w:sz w:val="22"/>
                            <w:szCs w:val="22"/>
                            <w:lang w:eastAsia="zh-CN"/>
                          </w:rPr>
                        </w:pPr>
                        <w:r>
                          <w:rPr>
                            <w:color w:val="000000"/>
                            <w:sz w:val="22"/>
                            <w:szCs w:val="22"/>
                            <w:lang w:eastAsia="zh-CN"/>
                          </w:rPr>
                          <w:t>10 m</w:t>
                        </w:r>
                      </w:p>
                      <w:p>
                        <w:pPr>
                          <w:widowControl w:val="0"/>
                          <w:suppressAutoHyphens/>
                          <w:jc w:val="center"/>
                          <w:rPr>
                            <w:color w:val="000000"/>
                            <w:sz w:val="22"/>
                            <w:szCs w:val="22"/>
                            <w:lang w:eastAsia="zh-CN"/>
                          </w:rPr>
                        </w:pPr>
                      </w:p>
                      <w:p>
                        <w:pPr>
                          <w:widowControl w:val="0"/>
                          <w:suppressAutoHyphens/>
                          <w:jc w:val="center"/>
                          <w:rPr>
                            <w:color w:val="000000"/>
                            <w:sz w:val="22"/>
                            <w:szCs w:val="22"/>
                            <w:lang w:eastAsia="zh-CN"/>
                          </w:rPr>
                        </w:pPr>
                      </w:p>
                    </w:tc>
                    <w:tc>
                      <w:tcPr>
                        <w:tcW w:w="3827" w:type="dxa"/>
                      </w:tcPr>
                      <w:p>
                        <w:pPr>
                          <w:widowControl w:val="0"/>
                          <w:suppressAutoHyphens/>
                          <w:rPr>
                            <w:sz w:val="22"/>
                            <w:szCs w:val="22"/>
                            <w:lang w:eastAsia="zh-CN"/>
                          </w:rPr>
                        </w:pPr>
                      </w:p>
                      <w:p>
                        <w:pPr>
                          <w:widowControl w:val="0"/>
                          <w:suppressAutoHyphens/>
                          <w:jc w:val="center"/>
                          <w:rPr>
                            <w:sz w:val="22"/>
                            <w:szCs w:val="22"/>
                            <w:lang w:eastAsia="zh-CN"/>
                          </w:rPr>
                        </w:pPr>
                        <w:r>
                          <w:rPr>
                            <w:sz w:val="22"/>
                            <w:szCs w:val="22"/>
                            <w:lang w:eastAsia="zh-CN"/>
                          </w:rPr>
                          <w:t>10 m</w:t>
                        </w:r>
                      </w:p>
                      <w:p>
                        <w:pPr>
                          <w:widowControl w:val="0"/>
                          <w:suppressAutoHyphens/>
                          <w:jc w:val="center"/>
                          <w:rPr>
                            <w:sz w:val="22"/>
                            <w:szCs w:val="22"/>
                            <w:lang w:eastAsia="zh-CN"/>
                          </w:rPr>
                        </w:pPr>
                      </w:p>
                    </w:tc>
                  </w:tr>
                  <w:tr>
                    <w:trPr>
                      <w:trHeight w:val="562"/>
                    </w:trPr>
                    <w:tc>
                      <w:tcPr>
                        <w:tcW w:w="2410" w:type="dxa"/>
                      </w:tcPr>
                      <w:p>
                        <w:pPr>
                          <w:suppressAutoHyphens/>
                          <w:jc w:val="both"/>
                          <w:rPr>
                            <w:sz w:val="22"/>
                            <w:szCs w:val="22"/>
                            <w:lang w:eastAsia="zh-CN"/>
                          </w:rPr>
                        </w:pPr>
                        <w:r>
                          <w:rPr>
                            <w:sz w:val="22"/>
                            <w:szCs w:val="22"/>
                            <w:lang w:eastAsia="zh-CN"/>
                          </w:rPr>
                          <w:t>9.4 prie visų upių, kurių ištakos yra Lietuvos Respublikos teritorijoje, jų upės ruožo ilgyje nuo 100-ojo km (skaičiuojant nuo jų ištakų) iki upės žiočių vietos Lietuvos Respublikos teritorijoje ar valstybės sienos ribos, prie ežerų, tvenkinių, kurių plotas didesnis kaip 200 ha;</w:t>
                        </w:r>
                      </w:p>
                    </w:tc>
                    <w:tc>
                      <w:tcPr>
                        <w:tcW w:w="3402" w:type="dxa"/>
                      </w:tcPr>
                      <w:p>
                        <w:pPr>
                          <w:widowControl w:val="0"/>
                          <w:suppressAutoHyphens/>
                          <w:jc w:val="center"/>
                          <w:rPr>
                            <w:sz w:val="22"/>
                            <w:szCs w:val="22"/>
                            <w:lang w:eastAsia="zh-CN"/>
                          </w:rPr>
                        </w:pPr>
                        <w:r>
                          <w:rPr>
                            <w:sz w:val="22"/>
                            <w:szCs w:val="22"/>
                            <w:lang w:eastAsia="zh-CN"/>
                          </w:rPr>
                          <w:t>30 m</w:t>
                        </w:r>
                      </w:p>
                      <w:p>
                        <w:pPr>
                          <w:widowControl w:val="0"/>
                          <w:suppressAutoHyphens/>
                          <w:jc w:val="center"/>
                          <w:rPr>
                            <w:sz w:val="22"/>
                            <w:szCs w:val="22"/>
                            <w:lang w:eastAsia="zh-CN"/>
                          </w:rPr>
                        </w:pPr>
                        <w:r>
                          <w:rPr>
                            <w:szCs w:val="24"/>
                            <w:lang w:eastAsia="zh-CN"/>
                          </w:rPr>
                          <w:t>(k</w:t>
                        </w:r>
                        <w:r>
                          <w:rPr>
                            <w:color w:val="000000"/>
                            <w:szCs w:val="24"/>
                            <w:lang w:eastAsia="zh-CN"/>
                          </w:rPr>
                          <w:t>ai paviršinis vandens telkinys nutolęs nuo miesto ar miestelio ribos daugiau negu 10 m, šio paviršinio vandens telkinio pakrantės apsaugos juosta formuojama iki miesto ar miestelio ribos)</w:t>
                        </w:r>
                      </w:p>
                    </w:tc>
                    <w:tc>
                      <w:tcPr>
                        <w:tcW w:w="3827" w:type="dxa"/>
                      </w:tcPr>
                      <w:p>
                        <w:pPr>
                          <w:widowControl w:val="0"/>
                          <w:suppressAutoHyphens/>
                          <w:jc w:val="center"/>
                          <w:rPr>
                            <w:sz w:val="22"/>
                            <w:szCs w:val="22"/>
                            <w:lang w:eastAsia="zh-CN"/>
                          </w:rPr>
                        </w:pPr>
                        <w:r>
                          <w:rPr>
                            <w:sz w:val="22"/>
                            <w:szCs w:val="22"/>
                            <w:lang w:eastAsia="zh-CN"/>
                          </w:rPr>
                          <w:t>10 m</w:t>
                        </w:r>
                      </w:p>
                    </w:tc>
                  </w:tr>
                  <w:tr>
                    <w:trPr>
                      <w:trHeight w:val="562"/>
                    </w:trPr>
                    <w:tc>
                      <w:tcPr>
                        <w:tcW w:w="2410" w:type="dxa"/>
                        <w:vMerge w:val="restart"/>
                      </w:tcPr>
                      <w:p>
                        <w:pPr>
                          <w:suppressAutoHyphens/>
                          <w:jc w:val="both"/>
                          <w:rPr>
                            <w:color w:val="000000"/>
                            <w:sz w:val="22"/>
                            <w:szCs w:val="22"/>
                            <w:lang w:eastAsia="zh-CN"/>
                          </w:rPr>
                        </w:pPr>
                        <w:r>
                          <w:rPr>
                            <w:color w:val="000000"/>
                            <w:sz w:val="22"/>
                            <w:szCs w:val="22"/>
                            <w:lang w:eastAsia="zh-CN"/>
                          </w:rPr>
                          <w:t>9.5 prie upių, kurių ištakos yra ne Lietuvos Respublikos teritorijoje.</w:t>
                        </w:r>
                      </w:p>
                    </w:tc>
                    <w:tc>
                      <w:tcPr>
                        <w:tcW w:w="3402" w:type="dxa"/>
                      </w:tcPr>
                      <w:p>
                        <w:pPr>
                          <w:widowControl w:val="0"/>
                          <w:suppressAutoHyphens/>
                          <w:jc w:val="center"/>
                          <w:rPr>
                            <w:szCs w:val="24"/>
                            <w:lang w:eastAsia="zh-CN"/>
                          </w:rPr>
                        </w:pPr>
                        <w:r>
                          <w:rPr>
                            <w:szCs w:val="24"/>
                            <w:lang w:eastAsia="zh-CN"/>
                          </w:rPr>
                          <w:t>3 m</w:t>
                        </w:r>
                      </w:p>
                      <w:p>
                        <w:pPr>
                          <w:widowControl w:val="0"/>
                          <w:suppressAutoHyphens/>
                          <w:jc w:val="center"/>
                          <w:rPr>
                            <w:szCs w:val="24"/>
                            <w:lang w:eastAsia="zh-CN"/>
                          </w:rPr>
                        </w:pPr>
                        <w:r>
                          <w:rPr>
                            <w:szCs w:val="24"/>
                            <w:lang w:eastAsia="zh-CN"/>
                          </w:rPr>
                          <w:t>per visą upės ilgį Lietuvos teritorijoje prie upių iki 20 km ilgio</w:t>
                        </w:r>
                      </w:p>
                      <w:p>
                        <w:pPr>
                          <w:widowControl w:val="0"/>
                          <w:suppressAutoHyphens/>
                          <w:jc w:val="center"/>
                          <w:rPr>
                            <w:szCs w:val="24"/>
                            <w:lang w:eastAsia="zh-CN"/>
                          </w:rPr>
                        </w:pPr>
                      </w:p>
                    </w:tc>
                    <w:tc>
                      <w:tcPr>
                        <w:tcW w:w="3827" w:type="dxa"/>
                      </w:tcPr>
                      <w:p>
                        <w:pPr>
                          <w:widowControl w:val="0"/>
                          <w:suppressAutoHyphens/>
                          <w:jc w:val="center"/>
                          <w:rPr>
                            <w:szCs w:val="24"/>
                            <w:lang w:eastAsia="zh-CN"/>
                          </w:rPr>
                        </w:pPr>
                        <w:r>
                          <w:rPr>
                            <w:szCs w:val="24"/>
                            <w:lang w:eastAsia="zh-CN"/>
                          </w:rPr>
                          <w:t>3 m</w:t>
                        </w:r>
                      </w:p>
                      <w:p>
                        <w:pPr>
                          <w:widowControl w:val="0"/>
                          <w:suppressAutoHyphens/>
                          <w:jc w:val="center"/>
                          <w:rPr>
                            <w:lang w:eastAsia="zh-CN"/>
                          </w:rPr>
                        </w:pPr>
                        <w:r>
                          <w:rPr>
                            <w:szCs w:val="24"/>
                            <w:lang w:eastAsia="zh-CN"/>
                          </w:rPr>
                          <w:t>per visą upės ilgį Lietuvos teritorijoje prie upių iki 20 km ilgio</w:t>
                        </w:r>
                      </w:p>
                    </w:tc>
                  </w:tr>
                  <w:tr>
                    <w:trPr>
                      <w:trHeight w:val="562"/>
                    </w:trPr>
                    <w:tc>
                      <w:tcPr>
                        <w:tcW w:w="2410" w:type="dxa"/>
                        <w:vMerge/>
                      </w:tcPr>
                      <w:p>
                        <w:pPr>
                          <w:suppressAutoHyphens/>
                          <w:jc w:val="both"/>
                          <w:rPr>
                            <w:color w:val="000000"/>
                            <w:sz w:val="22"/>
                            <w:szCs w:val="22"/>
                            <w:lang w:eastAsia="zh-CN"/>
                          </w:rPr>
                        </w:pPr>
                      </w:p>
                    </w:tc>
                    <w:tc>
                      <w:tcPr>
                        <w:tcW w:w="3402" w:type="dxa"/>
                      </w:tcPr>
                      <w:p>
                        <w:pPr>
                          <w:widowControl w:val="0"/>
                          <w:suppressAutoHyphens/>
                          <w:jc w:val="center"/>
                          <w:rPr>
                            <w:szCs w:val="24"/>
                            <w:lang w:eastAsia="zh-CN"/>
                          </w:rPr>
                        </w:pPr>
                        <w:r>
                          <w:rPr>
                            <w:szCs w:val="24"/>
                            <w:lang w:eastAsia="zh-CN"/>
                          </w:rPr>
                          <w:t>10 m</w:t>
                        </w:r>
                      </w:p>
                      <w:p>
                        <w:pPr>
                          <w:widowControl w:val="0"/>
                          <w:suppressAutoHyphens/>
                          <w:jc w:val="center"/>
                          <w:rPr>
                            <w:szCs w:val="24"/>
                            <w:lang w:eastAsia="zh-CN"/>
                          </w:rPr>
                        </w:pPr>
                        <w:r>
                          <w:rPr>
                            <w:szCs w:val="24"/>
                            <w:lang w:eastAsia="zh-CN"/>
                          </w:rPr>
                          <w:t>per visą upės ilgį Lietuvos teritorijoje</w:t>
                        </w:r>
                      </w:p>
                      <w:p>
                        <w:pPr>
                          <w:widowControl w:val="0"/>
                          <w:suppressAutoHyphens/>
                          <w:jc w:val="center"/>
                          <w:rPr>
                            <w:color w:val="000000"/>
                            <w:szCs w:val="24"/>
                            <w:lang w:eastAsia="zh-CN"/>
                          </w:rPr>
                        </w:pPr>
                        <w:r>
                          <w:rPr>
                            <w:color w:val="000000"/>
                            <w:szCs w:val="24"/>
                            <w:lang w:eastAsia="zh-CN"/>
                          </w:rPr>
                          <w:t xml:space="preserve">prie 20 km ir ilgesnių </w:t>
                        </w:r>
                      </w:p>
                      <w:p>
                        <w:pPr>
                          <w:widowControl w:val="0"/>
                          <w:suppressAutoHyphens/>
                          <w:jc w:val="center"/>
                          <w:rPr>
                            <w:szCs w:val="24"/>
                            <w:lang w:eastAsia="zh-CN"/>
                          </w:rPr>
                        </w:pPr>
                        <w:r>
                          <w:rPr>
                            <w:color w:val="000000"/>
                            <w:szCs w:val="24"/>
                            <w:lang w:eastAsia="zh-CN"/>
                          </w:rPr>
                          <w:t>kaip 20 km, bet trumpesnių kaip 100 km upių</w:t>
                        </w:r>
                      </w:p>
                    </w:tc>
                    <w:tc>
                      <w:tcPr>
                        <w:tcW w:w="3827" w:type="dxa"/>
                      </w:tcPr>
                      <w:p>
                        <w:pPr>
                          <w:widowControl w:val="0"/>
                          <w:suppressAutoHyphens/>
                          <w:jc w:val="center"/>
                          <w:rPr>
                            <w:lang w:eastAsia="zh-CN"/>
                          </w:rPr>
                        </w:pPr>
                        <w:r>
                          <w:rPr>
                            <w:lang w:eastAsia="zh-CN"/>
                          </w:rPr>
                          <w:t>10 m</w:t>
                        </w:r>
                      </w:p>
                      <w:p>
                        <w:pPr>
                          <w:widowControl w:val="0"/>
                          <w:suppressAutoHyphens/>
                          <w:jc w:val="center"/>
                          <w:rPr>
                            <w:sz w:val="22"/>
                            <w:szCs w:val="22"/>
                            <w:lang w:eastAsia="zh-CN"/>
                          </w:rPr>
                        </w:pPr>
                        <w:r>
                          <w:rPr>
                            <w:lang w:eastAsia="zh-CN"/>
                          </w:rPr>
                          <w:t xml:space="preserve">per visą upės ilgį </w:t>
                        </w:r>
                        <w:r>
                          <w:rPr>
                            <w:szCs w:val="24"/>
                            <w:lang w:eastAsia="zh-CN"/>
                          </w:rPr>
                          <w:t>Lietuvos teritorijoje</w:t>
                        </w:r>
                        <w:r>
                          <w:rPr>
                            <w:color w:val="000000"/>
                            <w:szCs w:val="24"/>
                            <w:lang w:eastAsia="zh-CN"/>
                          </w:rPr>
                          <w:t xml:space="preserve"> prie 20 km ir ilgesnių kaip 20 km, bet trumpesnių kaip 100 km upių</w:t>
                        </w:r>
                      </w:p>
                    </w:tc>
                  </w:tr>
                  <w:tr>
                    <w:trPr>
                      <w:trHeight w:val="562"/>
                    </w:trPr>
                    <w:tc>
                      <w:tcPr>
                        <w:tcW w:w="2410" w:type="dxa"/>
                        <w:vMerge/>
                      </w:tcPr>
                      <w:p>
                        <w:pPr>
                          <w:suppressAutoHyphens/>
                          <w:jc w:val="both"/>
                          <w:rPr>
                            <w:color w:val="000000"/>
                            <w:sz w:val="22"/>
                            <w:szCs w:val="22"/>
                            <w:lang w:eastAsia="zh-CN"/>
                          </w:rPr>
                        </w:pPr>
                      </w:p>
                    </w:tc>
                    <w:tc>
                      <w:tcPr>
                        <w:tcW w:w="3402" w:type="dxa"/>
                      </w:tcPr>
                      <w:p>
                        <w:pPr>
                          <w:widowControl w:val="0"/>
                          <w:suppressAutoHyphens/>
                          <w:jc w:val="center"/>
                          <w:rPr>
                            <w:szCs w:val="24"/>
                            <w:lang w:eastAsia="zh-CN"/>
                          </w:rPr>
                        </w:pPr>
                        <w:r>
                          <w:rPr>
                            <w:szCs w:val="24"/>
                            <w:lang w:eastAsia="zh-CN"/>
                          </w:rPr>
                          <w:t>30 m</w:t>
                        </w:r>
                      </w:p>
                      <w:p>
                        <w:pPr>
                          <w:widowControl w:val="0"/>
                          <w:suppressAutoHyphens/>
                          <w:jc w:val="center"/>
                          <w:rPr>
                            <w:szCs w:val="24"/>
                            <w:lang w:eastAsia="zh-CN"/>
                          </w:rPr>
                        </w:pPr>
                        <w:r>
                          <w:rPr>
                            <w:szCs w:val="24"/>
                            <w:lang w:eastAsia="zh-CN"/>
                          </w:rPr>
                          <w:t>per visą upės ilgį Lietuvos teritorijoje</w:t>
                        </w:r>
                      </w:p>
                      <w:p>
                        <w:pPr>
                          <w:widowControl w:val="0"/>
                          <w:suppressAutoHyphens/>
                          <w:jc w:val="center"/>
                          <w:rPr>
                            <w:szCs w:val="24"/>
                            <w:lang w:eastAsia="zh-CN"/>
                          </w:rPr>
                        </w:pPr>
                        <w:r>
                          <w:rPr>
                            <w:color w:val="000000"/>
                            <w:szCs w:val="24"/>
                            <w:lang w:eastAsia="zh-CN"/>
                          </w:rPr>
                          <w:t>prie 100 km ir ilgesnių upių</w:t>
                        </w:r>
                        <w:r>
                          <w:rPr>
                            <w:szCs w:val="24"/>
                            <w:lang w:eastAsia="zh-CN"/>
                          </w:rPr>
                          <w:t xml:space="preserve"> </w:t>
                        </w:r>
                      </w:p>
                      <w:p>
                        <w:pPr>
                          <w:widowControl w:val="0"/>
                          <w:suppressAutoHyphens/>
                          <w:jc w:val="center"/>
                          <w:rPr>
                            <w:szCs w:val="24"/>
                            <w:lang w:eastAsia="zh-CN"/>
                          </w:rPr>
                        </w:pPr>
                        <w:r>
                          <w:rPr>
                            <w:szCs w:val="24"/>
                            <w:lang w:eastAsia="zh-CN"/>
                          </w:rPr>
                          <w:t>(k</w:t>
                        </w:r>
                        <w:r>
                          <w:rPr>
                            <w:color w:val="000000"/>
                            <w:szCs w:val="24"/>
                            <w:lang w:eastAsia="zh-CN"/>
                          </w:rPr>
                          <w:t>ai paviršinis vandens telkinys nutolęs nuo miesto ar miestelio ribos daugiau negu 10 m, šio paviršinio vandens telkinio pakrantės apsaugos juosta formuojama iki miesto ar miestelio ribos)</w:t>
                        </w:r>
                      </w:p>
                    </w:tc>
                    <w:tc>
                      <w:tcPr>
                        <w:tcW w:w="3827" w:type="dxa"/>
                      </w:tcPr>
                      <w:p>
                        <w:pPr>
                          <w:widowControl w:val="0"/>
                          <w:suppressAutoHyphens/>
                          <w:jc w:val="center"/>
                          <w:rPr>
                            <w:sz w:val="22"/>
                            <w:szCs w:val="22"/>
                            <w:lang w:eastAsia="zh-CN"/>
                          </w:rPr>
                        </w:pPr>
                        <w:r>
                          <w:rPr>
                            <w:sz w:val="22"/>
                            <w:szCs w:val="22"/>
                            <w:lang w:eastAsia="zh-CN"/>
                          </w:rPr>
                          <w:t>10 m</w:t>
                        </w:r>
                      </w:p>
                      <w:p>
                        <w:pPr>
                          <w:widowControl w:val="0"/>
                          <w:suppressAutoHyphens/>
                          <w:jc w:val="center"/>
                          <w:rPr>
                            <w:szCs w:val="24"/>
                            <w:lang w:eastAsia="zh-CN"/>
                          </w:rPr>
                        </w:pPr>
                        <w:r>
                          <w:rPr>
                            <w:szCs w:val="24"/>
                            <w:lang w:eastAsia="zh-CN"/>
                          </w:rPr>
                          <w:t>per visą upės ilgį Lietuvos teritorijoje</w:t>
                        </w:r>
                        <w:r>
                          <w:rPr>
                            <w:color w:val="000000"/>
                            <w:szCs w:val="24"/>
                            <w:lang w:eastAsia="zh-CN"/>
                          </w:rPr>
                          <w:t xml:space="preserve"> prie 100 km ir ilgesnių upių</w:t>
                        </w:r>
                        <w:r>
                          <w:rPr>
                            <w:szCs w:val="24"/>
                            <w:lang w:eastAsia="zh-CN"/>
                          </w:rPr>
                          <w:t xml:space="preserve"> </w:t>
                        </w:r>
                      </w:p>
                      <w:p>
                        <w:pPr>
                          <w:widowControl w:val="0"/>
                          <w:suppressAutoHyphens/>
                          <w:jc w:val="center"/>
                          <w:rPr>
                            <w:sz w:val="22"/>
                            <w:szCs w:val="22"/>
                            <w:lang w:eastAsia="zh-CN"/>
                          </w:rPr>
                        </w:pPr>
                      </w:p>
                    </w:tc>
                  </w:tr>
                </w:tbl>
                <w:p>
                  <w:pPr>
                    <w:widowControl w:val="0"/>
                    <w:suppressAutoHyphens/>
                    <w:ind w:right="34" w:firstLine="567"/>
                    <w:jc w:val="both"/>
                    <w:rPr>
                      <w:sz w:val="22"/>
                      <w:szCs w:val="22"/>
                      <w:lang w:eastAsia="zh-CN"/>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8f3340e2311f1bd71e5905aa24d51">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2026-02-20,
paskelbta TAR 2026-02-20, i. k. 2026-02775            </w:t>
                  </w:r>
                </w:p>
                <w:p/>
              </w:sdtContent>
            </w:sdt>
            <w:sdt>
              <w:sdtPr>
                <w:alias w:val="10 p."/>
                <w:tag w:val="part_4cbbebc292cc42ef9451e55c06316d16"/>
                <w:lock w:val="sdtLocked"/>
                <w:richText/>
              </w:sdtPr>
              <w:sdtContent>
                <w:p>
                  <w:pPr>
                    <w:widowControl w:val="0"/>
                    <w:suppressAutoHyphens/>
                    <w:ind w:firstLine="851"/>
                    <w:jc w:val="both"/>
                    <w:rPr>
                      <w:b/>
                      <w:bCs/>
                      <w:lang w:eastAsia="zh-CN"/>
                    </w:rPr>
                  </w:pPr>
                  <w:sdt>
                    <w:sdtPr>
                      <w:alias w:val="Numeris"/>
                      <w:tag w:val="nr_4cbbebc292cc42ef9451e55c06316d16"/>
                      <w:lock w:val="sdtLocked"/>
                      <w:richText/>
                    </w:sdtPr>
                    <w:sdtContent>
                      <w:r>
                        <w:rPr>
                          <w:lang w:val="en-US" w:eastAsia="zh-CN"/>
                        </w:rPr>
                        <w:t>10</w:t>
                      </w:r>
                    </w:sdtContent>
                  </w:sdt>
                  <w:r>
                    <w:rPr>
                      <w:lang w:val="en-US" w:eastAsia="zh-CN"/>
                    </w:rPr>
                    <w:t xml:space="preserve">. </w:t>
                  </w:r>
                  <w:r>
                    <w:rPr>
                      <w:lang w:eastAsia="zh-CN"/>
                    </w:rPr>
                    <w:t>Upės, registruotos UETK, vagoje esančiam paviršiniam vandens telkiniui, kuris neregistruotas UETK, paviršinio vandens telkinio pakrantės apsaugos juosta nustatoma tokio dydžio kaip per jį tekančios upės</w:t>
                  </w:r>
                  <w:r>
                    <w:rPr>
                      <w:color w:val="000000"/>
                      <w:lang w:eastAsia="zh-CN"/>
                    </w:rPr>
                    <w:t xml:space="preserve"> vadovaujantis Tvarkos aprašo 9 punkto lentelės 9.2</w:t>
                  </w:r>
                  <w:r>
                    <w:rPr>
                      <w:color w:val="000000"/>
                      <w:sz w:val="22"/>
                      <w:szCs w:val="22"/>
                      <w:lang w:eastAsia="zh-CN"/>
                    </w:rPr>
                    <w:t>–</w:t>
                  </w:r>
                  <w:r>
                    <w:rPr>
                      <w:color w:val="000000"/>
                      <w:lang w:eastAsia="zh-CN"/>
                    </w:rPr>
                    <w:t>9.5 papunkčiais.</w:t>
                  </w:r>
                </w:p>
              </w:sdtContent>
            </w:sdt>
            <w:sdt>
              <w:sdtPr>
                <w:alias w:val="11 p."/>
                <w:tag w:val="part_769bb6d73628451db962606914c775dc"/>
                <w:lock w:val="sdtLocked"/>
                <w:richText/>
              </w:sdtPr>
              <w:sdtContent>
                <w:p>
                  <w:pPr>
                    <w:widowControl w:val="0"/>
                    <w:suppressAutoHyphens/>
                    <w:ind w:firstLine="851"/>
                    <w:jc w:val="both"/>
                    <w:rPr>
                      <w:lang w:eastAsia="zh-CN"/>
                    </w:rPr>
                  </w:pPr>
                  <w:sdt>
                    <w:sdtPr>
                      <w:alias w:val="Numeris"/>
                      <w:tag w:val="nr_769bb6d73628451db962606914c775dc"/>
                      <w:lock w:val="sdtLocked"/>
                      <w:richText/>
                    </w:sdtPr>
                    <w:sdtContent>
                      <w:r>
                        <w:rPr>
                          <w:lang w:val="en-US" w:eastAsia="zh-CN"/>
                        </w:rPr>
                        <w:t>11</w:t>
                      </w:r>
                    </w:sdtContent>
                  </w:sdt>
                  <w:r>
                    <w:rPr>
                      <w:lang w:eastAsia="zh-CN"/>
                    </w:rPr>
                    <w:t xml:space="preserve">. </w:t>
                  </w:r>
                  <w:r>
                    <w:rPr>
                      <w:szCs w:val="24"/>
                      <w:lang w:eastAsia="zh-CN"/>
                    </w:rPr>
                    <w:t>Paviršiniame vandens telkinyje esanti sala, kurios plotas yra 3 ha ir mažesnis, priskiriama paviršinio vandens telkinio pakrantės apsaugos juostai.</w:t>
                  </w:r>
                </w:p>
              </w:sdtContent>
            </w:sdt>
            <w:sdt>
              <w:sdtPr>
                <w:alias w:val="12 p."/>
                <w:tag w:val="part_d32476bf24c44433a5c24be0282ea0b5"/>
                <w:lock w:val="sdtLocked"/>
                <w:richText/>
              </w:sdtPr>
              <w:sdtContent>
                <w:p>
                  <w:pPr>
                    <w:ind w:firstLine="851"/>
                    <w:jc w:val="both"/>
                    <w:rPr>
                      <w:lang w:val="en-US" w:eastAsia="lt-LT"/>
                    </w:rPr>
                  </w:pPr>
                  <w:sdt>
                    <w:sdtPr>
                      <w:alias w:val="Numeris"/>
                      <w:tag w:val="nr_d32476bf24c44433a5c24be0282ea0b5"/>
                      <w:lock w:val="sdtLocked"/>
                      <w:richText/>
                    </w:sdtPr>
                    <w:sdtContent>
                      <w:r>
                        <w:rPr>
                          <w:spacing w:val="-6"/>
                          <w:lang w:eastAsia="zh-CN"/>
                        </w:rPr>
                        <w:t>12</w:t>
                      </w:r>
                    </w:sdtContent>
                  </w:sdt>
                  <w:r>
                    <w:rPr>
                      <w:spacing w:val="-6"/>
                      <w:lang w:eastAsia="zh-CN"/>
                    </w:rPr>
                    <w:t xml:space="preserve">. Paviršinio vandens telkinio plotas, ilgis, </w:t>
                  </w:r>
                  <w:r>
                    <w:rPr>
                      <w:szCs w:val="24"/>
                      <w:lang w:eastAsia="zh-CN"/>
                    </w:rPr>
                    <w:t xml:space="preserve">upių ištakos, žiočių vietos nustatomos pagal UETK duomenis. Miestų, miestelių teritorijos nustatomos pagal Adresų registro gyvenamųjų vietovių ribų duomenis. </w:t>
                  </w:r>
                  <w:r>
                    <w:rPr>
                      <w:color w:val="000000"/>
                      <w:shd w:val="clear" w:color="auto" w:fill="FFFFFF"/>
                      <w:lang w:eastAsia="zh-CN"/>
                    </w:rPr>
                    <w:t>Miško žemė nustatoma pagal Lietuvos Respublikos miškų valstybės kadastro duomenis.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198500bf6511eea5a28c81c82193a8">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2024-01-30,
paskelbta TAR 2024-01-30, i. k. 2024-01707            </w:t>
              </w:r>
            </w:p>
            <w:p/>
          </w:sdtContent>
        </w:sdt>
        <w:sdt>
          <w:sdtPr>
            <w:alias w:val="pabaiga"/>
            <w:tag w:val="part_05fac573e77c4b46a1c3248ad0eeef42"/>
            <w:lock w:val="sdtLocked"/>
            <w:richText/>
          </w:sdtPr>
          <w:sdtContent>
            <w:p>
              <w:pPr>
                <w:suppressAutoHyphens/>
                <w:jc w:val="center"/>
                <w:rPr>
                  <w:color w:val="000000"/>
                  <w:szCs w:val="12"/>
                  <w:lang w:eastAsia="lt-LT"/>
                </w:rPr>
              </w:pPr>
              <w:r>
                <w:rPr>
                  <w:szCs w:val="24"/>
                  <w:lang w:eastAsia="lt-LT"/>
                </w:rPr>
                <w:t>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2D81DD9D358">
            <w:r w:rsidRPr="00532B9F">
              <w:rPr>
                <w:rFonts w:ascii="Times New Roman" w:eastAsia="MS Mincho" w:hAnsi="Times New Roman"/>
                <w:sz w:val="20"/>
                <w:iCs/>
                <w:color w:val="0000FF" w:themeColor="hyperlink"/>
                <w:u w:val="single"/>
              </w:rPr>
              <w:t>547</w:t>
            </w:r>
          </w:fldSimple>
          <w:r>
            <w:rPr>
              <w:rFonts w:ascii="Times New Roman" w:eastAsia="MS Mincho" w:hAnsi="Times New Roman"/>
              <w:sz w:val="20"/>
              <w:iCs/>
            </w:rPr>
            <w:t>,
2002-10-21,
Žin., 2002, Nr.
105-4732 (2002-11-06), i. k. 102301MISAK00000547                </w:t>
          </w:r>
        </w:p>
        <w:p>
          <w:pPr>
            <w:jc w:val="both"/>
            <w:rPr>
              <w:rFonts w:ascii="Times New Roman" w:hAnsi="Times New Roman"/>
            </w:rPr>
          </w:pPr>
          <w:r>
            <w:rPr>
              <w:rFonts w:ascii="Times New Roman" w:hAnsi="Times New Roman"/>
              <w:sz w:val="20"/>
            </w:rPr>
            <w:t>Dėl aplinkos ministro 2001 m. lapkričio 7 d. įsakymo Nr. 540 "Dėl Paviršinio vandens telkinių apsaugos zonų ir pakrančių apsaugos juostų nustatymo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1D48572916">
            <w:r w:rsidRPr="00532B9F">
              <w:rPr>
                <w:rFonts w:ascii="Times New Roman" w:eastAsia="MS Mincho" w:hAnsi="Times New Roman"/>
                <w:sz w:val="20"/>
                <w:iCs/>
                <w:color w:val="0000FF" w:themeColor="hyperlink"/>
                <w:u w:val="single"/>
              </w:rPr>
              <w:t>D1-98</w:t>
            </w:r>
          </w:fldSimple>
          <w:r>
            <w:rPr>
              <w:rFonts w:ascii="Times New Roman" w:eastAsia="MS Mincho" w:hAnsi="Times New Roman"/>
              <w:sz w:val="20"/>
              <w:iCs/>
            </w:rPr>
            <w:t>,
2007-02-14,
Žin., 2007, Nr.
23-892 (2007-02-22), i. k. 107301MISAK000D1-98                </w:t>
          </w:r>
        </w:p>
        <w:p>
          <w:pPr>
            <w:jc w:val="both"/>
            <w:rPr>
              <w:rFonts w:ascii="Times New Roman" w:hAnsi="Times New Roman"/>
            </w:rPr>
          </w:pPr>
          <w:r>
            <w:rPr>
              <w:rFonts w:ascii="Times New Roman" w:hAnsi="Times New Roman"/>
              <w:sz w:val="20"/>
            </w:rPr>
            <w:t>Dėl aplinkos ministro 2001 m. lapkričio 7 d. įsakymo Nr. 540 "Dėl Paviršinio vandens telkinių apsaugos zonų ir pakrančių apsaugos juostų nustatymo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255AD9B3B80">
            <w:r w:rsidRPr="00532B9F">
              <w:rPr>
                <w:rFonts w:ascii="Times New Roman" w:eastAsia="MS Mincho" w:hAnsi="Times New Roman"/>
                <w:sz w:val="20"/>
                <w:iCs/>
                <w:color w:val="0000FF" w:themeColor="hyperlink"/>
                <w:u w:val="single"/>
              </w:rPr>
              <w:t>D1-577</w:t>
            </w:r>
          </w:fldSimple>
          <w:r>
            <w:rPr>
              <w:rFonts w:ascii="Times New Roman" w:eastAsia="MS Mincho" w:hAnsi="Times New Roman"/>
              <w:sz w:val="20"/>
              <w:iCs/>
            </w:rPr>
            <w:t>,
2012-07-05,
Žin., 2012, Nr.
82-4302 (2012-07-13), i. k. 112301MISAK00D1-577                </w:t>
          </w:r>
        </w:p>
        <w:p>
          <w:pPr>
            <w:jc w:val="both"/>
            <w:rPr>
              <w:rFonts w:ascii="Times New Roman" w:hAnsi="Times New Roman"/>
            </w:rPr>
          </w:pPr>
          <w:r>
            <w:rPr>
              <w:rFonts w:ascii="Times New Roman" w:hAnsi="Times New Roman"/>
              <w:sz w:val="20"/>
            </w:rPr>
            <w:t>Dėl Lietuvos Respublikos aplinkos ministro 2001 m. lapkričio 7 d. įsakymo Nr. 540 "Dėl Paviršinių vandens telkinių apsaugos zonų ir pakrančių apsaugos juostų nustatymo tvarkos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08470F7623">
            <w:r w:rsidRPr="00532B9F">
              <w:rPr>
                <w:rFonts w:ascii="Times New Roman" w:eastAsia="MS Mincho" w:hAnsi="Times New Roman"/>
                <w:sz w:val="20"/>
                <w:iCs/>
                <w:color w:val="0000FF" w:themeColor="hyperlink"/>
                <w:u w:val="single"/>
              </w:rPr>
              <w:t>D1-206</w:t>
            </w:r>
          </w:fldSimple>
          <w:r>
            <w:rPr>
              <w:rFonts w:ascii="Times New Roman" w:eastAsia="MS Mincho" w:hAnsi="Times New Roman"/>
              <w:sz w:val="20"/>
              <w:iCs/>
            </w:rPr>
            <w:t>,
2013-03-19,
Žin., 2013, Nr.
30-1489 (2013-03-23), i. k. 113301MISAK00D1-206                </w:t>
          </w:r>
        </w:p>
        <w:p>
          <w:pPr>
            <w:jc w:val="both"/>
            <w:rPr>
              <w:rFonts w:ascii="Times New Roman" w:hAnsi="Times New Roman"/>
            </w:rPr>
          </w:pPr>
          <w:r>
            <w:rPr>
              <w:rFonts w:ascii="Times New Roman" w:hAnsi="Times New Roman"/>
              <w:sz w:val="20"/>
            </w:rPr>
            <w:t>Dėl Lietuvos Respublikos aplinkos ministro 2001 m. lapkričio 7 d. įsakymo Nr. 540 "Dėl Paviršinių vandens telkinių apsaugos zonų ir pakrančių apsaugos juostų nustatymo tvarkos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bb4f000a8511e9a5eaf2cd290f1944">
            <w:r w:rsidRPr="00532B9F">
              <w:rPr>
                <w:rFonts w:ascii="Times New Roman" w:eastAsia="MS Mincho" w:hAnsi="Times New Roman"/>
                <w:sz w:val="20"/>
                <w:iCs/>
                <w:color w:val="0000FF" w:themeColor="hyperlink"/>
                <w:u w:val="single"/>
              </w:rPr>
              <w:t>D1-1127</w:t>
            </w:r>
          </w:fldSimple>
          <w:r>
            <w:rPr>
              <w:rFonts w:ascii="Times New Roman" w:eastAsia="MS Mincho" w:hAnsi="Times New Roman"/>
              <w:sz w:val="20"/>
              <w:iCs/>
            </w:rPr>
            <w:t>,
2018-12-28,
paskelbta TAR 2018-12-28, i. k. 2018-21796                </w:t>
          </w:r>
        </w:p>
        <w:p>
          <w:pPr>
            <w:jc w:val="both"/>
            <w:rPr>
              <w:rFonts w:ascii="Times New Roman" w:hAnsi="Times New Roman"/>
            </w:rPr>
          </w:pPr>
          <w:r>
            <w:rPr>
              <w:rFonts w:ascii="Times New Roman" w:hAnsi="Times New Roman"/>
              <w:sz w:val="20"/>
            </w:rPr>
            <w:t>Dėl Lietuvos Respublikos aplinkos ministro 2001 m. lapkričio 7 d. įsakymo Nr. 540 „Dėl Paviršinių vandens telkinių apsaugos zonų ir pakrančių apsaugos juostų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984d50803f11e98436e02a0124fc68">
            <w:r w:rsidRPr="00532B9F">
              <w:rPr>
                <w:rFonts w:ascii="Times New Roman" w:eastAsia="MS Mincho" w:hAnsi="Times New Roman"/>
                <w:sz w:val="20"/>
                <w:iCs/>
                <w:color w:val="0000FF" w:themeColor="hyperlink"/>
                <w:u w:val="single"/>
              </w:rPr>
              <w:t>D1-320</w:t>
            </w:r>
          </w:fldSimple>
          <w:r>
            <w:rPr>
              <w:rFonts w:ascii="Times New Roman" w:eastAsia="MS Mincho" w:hAnsi="Times New Roman"/>
              <w:sz w:val="20"/>
              <w:iCs/>
            </w:rPr>
            <w:t>,
2019-05-23,
paskelbta TAR 2019-05-27, i. k. 2019-08318                </w:t>
          </w:r>
        </w:p>
        <w:p>
          <w:pPr>
            <w:jc w:val="both"/>
            <w:rPr>
              <w:rFonts w:ascii="Times New Roman" w:hAnsi="Times New Roman"/>
            </w:rPr>
          </w:pPr>
          <w:r>
            <w:rPr>
              <w:rFonts w:ascii="Times New Roman" w:hAnsi="Times New Roman"/>
              <w:sz w:val="20"/>
            </w:rPr>
            <w:t>Dėl Lietuvos Respublikos aplinkos ministro 2001 m. lapkričio 7 d. įsakymo Nr. 540 „Dėl Paviršinių vandens telkinių apsaugos zonų ir pakrančių apsaugos juostų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bd5c01ffe11eabe008ea93139d588">
            <w:r w:rsidRPr="00532B9F">
              <w:rPr>
                <w:rFonts w:ascii="Times New Roman" w:eastAsia="MS Mincho" w:hAnsi="Times New Roman"/>
                <w:sz w:val="20"/>
                <w:iCs/>
                <w:color w:val="0000FF" w:themeColor="hyperlink"/>
                <w:u w:val="single"/>
              </w:rPr>
              <w:t>D1-747</w:t>
            </w:r>
          </w:fldSimple>
          <w:r>
            <w:rPr>
              <w:rFonts w:ascii="Times New Roman" w:eastAsia="MS Mincho" w:hAnsi="Times New Roman"/>
              <w:sz w:val="20"/>
              <w:iCs/>
            </w:rPr>
            <w:t>,
2019-12-16,
paskelbta TAR 2019-12-17, i. k. 2019-20302                </w:t>
          </w:r>
        </w:p>
        <w:p>
          <w:pPr>
            <w:jc w:val="both"/>
            <w:rPr>
              <w:rFonts w:ascii="Times New Roman" w:hAnsi="Times New Roman"/>
            </w:rPr>
          </w:pPr>
          <w:r>
            <w:rPr>
              <w:rFonts w:ascii="Times New Roman" w:hAnsi="Times New Roman"/>
              <w:sz w:val="20"/>
            </w:rPr>
            <w:t>Dėl Lietuvos Respublikos aplinkos ministro 2001 m. lapkričio 7 d. įsakymo Nr. 540 „Dėl Paviršinių vandens telkinių apsaugos zonų ir pakrančių apsaugos juostų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vyriausiasis administracinis teismas,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02efbe0f88d11ec8fa7d02a65c371ad">
            <w:r w:rsidRPr="00532B9F">
              <w:rPr>
                <w:rFonts w:ascii="Times New Roman" w:eastAsia="MS Mincho" w:hAnsi="Times New Roman"/>
                <w:sz w:val="20"/>
                <w:iCs/>
                <w:color w:val="0000FF" w:themeColor="hyperlink"/>
                <w:u w:val="single"/>
              </w:rPr>
              <w:t>2022-06-23 Nr. AB-17078-3-66-3-00031-2022-8</w:t>
            </w:r>
          </w:fldSimple>
          <w:r>
            <w:rPr>
              <w:rFonts w:ascii="Times New Roman" w:eastAsia="MS Mincho" w:hAnsi="Times New Roman"/>
              <w:sz w:val="20"/>
              <w:iCs/>
            </w:rPr>
            <w:t>,
2022-06-23,
paskelbta TAR 2022-07-01, i. k. 2022-14282                </w:t>
          </w:r>
        </w:p>
        <w:p>
          <w:pPr>
            <w:jc w:val="both"/>
            <w:rPr>
              <w:rFonts w:ascii="Times New Roman" w:hAnsi="Times New Roman"/>
            </w:rPr>
          </w:pPr>
          <w:r>
            <w:rPr>
              <w:rFonts w:ascii="Times New Roman" w:hAnsi="Times New Roman"/>
              <w:sz w:val="20"/>
            </w:rPr>
            <w:t>Nuasmenintas sprendimas 2022-06-23 Nr. AB-17078-3-66-3-00031-2022-8</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9d59e02ab211edb4cae1b158f98ea5">
            <w:r w:rsidRPr="00532B9F">
              <w:rPr>
                <w:rFonts w:ascii="Times New Roman" w:eastAsia="MS Mincho" w:hAnsi="Times New Roman"/>
                <w:sz w:val="20"/>
                <w:iCs/>
                <w:color w:val="0000FF" w:themeColor="hyperlink"/>
                <w:u w:val="single"/>
              </w:rPr>
              <w:t>D1-293</w:t>
            </w:r>
          </w:fldSimple>
          <w:r>
            <w:rPr>
              <w:rFonts w:ascii="Times New Roman" w:eastAsia="MS Mincho" w:hAnsi="Times New Roman"/>
              <w:sz w:val="20"/>
              <w:iCs/>
            </w:rPr>
            <w:t>,
2022-09-02,
paskelbta TAR 2022-09-02, i. k. 2022-18253                </w:t>
          </w:r>
        </w:p>
        <w:p>
          <w:pPr>
            <w:jc w:val="both"/>
            <w:rPr>
              <w:rFonts w:ascii="Times New Roman" w:hAnsi="Times New Roman"/>
            </w:rPr>
          </w:pPr>
          <w:r>
            <w:rPr>
              <w:rFonts w:ascii="Times New Roman" w:hAnsi="Times New Roman"/>
              <w:sz w:val="20"/>
            </w:rPr>
            <w:t>Dėl Lietuvos Respublikos aplinkos ministro 2001 m. lapkričio 7 d. įsakymo Nr. 540 „Dėl Paviršinių vandens telkinių apsaugos zonų ir pakrančių apsaugos juostų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198500bf6511eea5a28c81c82193a8">
            <w:r w:rsidRPr="00532B9F">
              <w:rPr>
                <w:rFonts w:ascii="Times New Roman" w:eastAsia="MS Mincho" w:hAnsi="Times New Roman"/>
                <w:sz w:val="20"/>
                <w:iCs/>
                <w:color w:val="0000FF" w:themeColor="hyperlink"/>
                <w:u w:val="single"/>
              </w:rPr>
              <w:t>D1-37</w:t>
            </w:r>
          </w:fldSimple>
          <w:r>
            <w:rPr>
              <w:rFonts w:ascii="Times New Roman" w:eastAsia="MS Mincho" w:hAnsi="Times New Roman"/>
              <w:sz w:val="20"/>
              <w:iCs/>
            </w:rPr>
            <w:t>,
2024-01-30,
paskelbta TAR 2024-01-30, i. k. 2024-01707                </w:t>
          </w:r>
        </w:p>
        <w:p>
          <w:pPr>
            <w:jc w:val="both"/>
            <w:rPr>
              <w:rFonts w:ascii="Times New Roman" w:hAnsi="Times New Roman"/>
            </w:rPr>
          </w:pPr>
          <w:r>
            <w:rPr>
              <w:rFonts w:ascii="Times New Roman" w:hAnsi="Times New Roman"/>
              <w:sz w:val="20"/>
            </w:rPr>
            <w:t>Dėl Lietuvos Respublikos aplinkos ministro 2001 m. lapkričio 7 d. įsakymo Nr. 540 „Dėl Paviršinių vandens telkinių apsaugos zonų ir pakrančių apsaugos juostų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f18f3340e2311f1bd71e5905aa24d51">
            <w:r w:rsidRPr="00532B9F">
              <w:rPr>
                <w:rFonts w:ascii="Times New Roman" w:eastAsia="MS Mincho" w:hAnsi="Times New Roman"/>
                <w:sz w:val="20"/>
                <w:iCs/>
                <w:color w:val="0000FF" w:themeColor="hyperlink"/>
                <w:u w:val="single"/>
              </w:rPr>
              <w:t>D1-23</w:t>
            </w:r>
          </w:fldSimple>
          <w:r>
            <w:rPr>
              <w:rFonts w:ascii="Times New Roman" w:eastAsia="MS Mincho" w:hAnsi="Times New Roman"/>
              <w:sz w:val="20"/>
              <w:iCs/>
            </w:rPr>
            <w:t>,
2026-02-20,
paskelbta TAR 2026-02-20, i. k. 2026-02775                </w:t>
          </w:r>
        </w:p>
        <w:p>
          <w:pPr>
            <w:jc w:val="both"/>
            <w:rPr>
              <w:rFonts w:ascii="Times New Roman" w:hAnsi="Times New Roman"/>
            </w:rPr>
          </w:pPr>
          <w:r>
            <w:rPr>
              <w:rFonts w:ascii="Times New Roman" w:hAnsi="Times New Roman"/>
              <w:sz w:val="20"/>
            </w:rPr>
            <w:t>Dėl Lietuvos Respublikos aplinkos ministro 2001 m. lapkričio 7 d. įsakymo Nr. 540 „Dėl Paviršinių vandens telkinių apsaugos zonų ir pakrančių apsaugos juostų nustatymo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napToGrid w:val="0"/>
        <w:ind w:firstLine="312"/>
        <w:jc w:val="both"/>
        <w:rPr>
          <w:rFonts w:ascii="TimesLT" w:hAnsi="TimesLT"/>
          <w:sz w:val="20"/>
          <w:lang w:eastAsia="lt-LT"/>
        </w:rPr>
      </w:pPr>
      <w:r>
        <w:rPr>
          <w:rFonts w:ascii="TimesLT" w:hAnsi="TimesLT"/>
          <w:sz w:val="20"/>
          <w:lang w:eastAsia="lt-LT"/>
        </w:rPr>
        <w:separator/>
      </w:r>
    </w:p>
  </w:endnote>
  <w:endnote w:type="continuationSeparator" w:id="0">
    <w:p>
      <w:pPr>
        <w:snapToGrid w:val="0"/>
        <w:ind w:firstLine="312"/>
        <w:jc w:val="both"/>
        <w:rPr>
          <w:rFonts w:ascii="TimesLT" w:hAnsi="TimesLT"/>
          <w:sz w:val="20"/>
          <w:lang w:eastAsia="lt-LT"/>
        </w:rPr>
      </w:pPr>
      <w:r>
        <w:rPr>
          <w:rFonts w:ascii="TimesLT" w:hAnsi="TimesLT"/>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napToGrid w:val="0"/>
        <w:ind w:firstLine="312"/>
        <w:jc w:val="both"/>
        <w:rPr>
          <w:rFonts w:ascii="TimesLT" w:hAnsi="TimesLT"/>
          <w:sz w:val="20"/>
          <w:lang w:eastAsia="lt-LT"/>
        </w:rPr>
      </w:pPr>
      <w:r>
        <w:rPr>
          <w:rFonts w:ascii="TimesLT" w:hAnsi="TimesLT"/>
          <w:sz w:val="20"/>
          <w:lang w:eastAsia="lt-LT"/>
        </w:rPr>
        <w:separator/>
      </w:r>
    </w:p>
  </w:footnote>
  <w:footnote w:type="continuationSeparator" w:id="0">
    <w:p>
      <w:pPr>
        <w:snapToGrid w:val="0"/>
        <w:ind w:firstLine="312"/>
        <w:jc w:val="both"/>
        <w:rPr>
          <w:rFonts w:ascii="TimesLT" w:hAnsi="TimesLT"/>
          <w:sz w:val="20"/>
          <w:lang w:eastAsia="lt-LT"/>
        </w:rPr>
      </w:pPr>
      <w:r>
        <w:rPr>
          <w:rFonts w:ascii="TimesLT" w:hAnsi="TimesLT"/>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21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91D1FE"/>
  <w15:docId w15:val="{60AA4A7F-11F1-4FB6-88B7-0459193661D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16.xml"/>
  <Relationship Id="rId15" Type="http://schemas.openxmlformats.org/officeDocument/2006/relationships/header" Target="header17.xml"/>
  <Relationship Id="rId16" Type="http://schemas.openxmlformats.org/officeDocument/2006/relationships/footer" Target="footer16.xml"/>
  <Relationship Id="rId17" Type="http://schemas.openxmlformats.org/officeDocument/2006/relationships/footer" Target="footer17.xml"/>
  <Relationship Id="rId18" Type="http://schemas.openxmlformats.org/officeDocument/2006/relationships/header" Target="header18.xml"/>
  <Relationship Id="rId19" Type="http://schemas.openxmlformats.org/officeDocument/2006/relationships/footer" Target="footer18.xml"/>
  <Relationship Id="rId2" Type="http://schemas.openxmlformats.org/officeDocument/2006/relationships/header" Target="header8.xml"/>
  <Relationship Id="rId20"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a3b31f8b9d743dea63bfc4dc223249b" PartId="7a21b0a5fd2d4933a52e17980745cf80">
    <Part Type="preambule" DocPartId="9d704c43d557400a951482ff2f671666" PartId="93f0c97ab6974a86b0d4606cbe289771"/>
    <Part Type="pastraipa" DocPartId="4820bf0f7aaa4c43a2c0d4796e152c56" PartId="7d91d45482064d02838fc359b1d1e80d"/>
    <Part Type="signatura" DocPartId="0e0655525ef340a88328bfc95fcf74ca" PartId="e5c2a0c58f18417a868cd7437e9abdf7"/>
  </Part>
  <Part Type="patvirtinta" Title="PAVIRŠINIŲ VANDENS TELKINIŲ APSAUGOS ZONŲ IR PAKRANČIŲ APSAUGOS JUOSTŲ NUSTATYMO TVARKOS APRAŠAS" DocPartId="9193adbd65e94afd95b1b4dc08f71a75" PartId="10284c1e6ee74eba9abb38a2be4e0d76">
    <Part Type="skyrius" Nr="1" Title="BENDROSIOS NUOSTATOS" DocPartId="728554f044ec4482b98dca651d7fcbab" PartId="a96c40b68e7f45bea31844f5d2babf34">
      <Part Type="punktas" Nr="1" Abbr="1 p." DocPartId="a3ec838f7475400e93f9e30577789f4e" PartId="d87c7f7f7c78494d87f14737a68d9547"/>
      <Part Type="punktas" Nr="2" Abbr="2 p." DocPartId="bb6d9ba05d894f9bb4b7349d121939ae" PartId="02deefa1b0c246fbbc4665ff23060f44"/>
      <Part Type="punktas" Nr="3" Abbr="3 p." DocPartId="46c1f6b9cccb4ab380b2adef6ebdcd8b" PartId="cdf2d74cde1d4504ad91383b0cf1c682">
        <Part Type="papunktis" Nr="3.1" Abbr="3.1 pp." DocPartId="ca6dcab5bce84f88acfa636ef1b9b671" PartId="f8e525715aef4ca7bd76827d05391672"/>
        <Part Type="papunktis" Nr="3.2" Abbr="3.2 pp." DocPartId="5696d4b730c046ee8bc0e89fd74348f7" PartId="1dc588abc5aa431785bced77ab84e29b"/>
        <Part Type="papunktis" Nr="3.3" Abbr="3.3 pp." DocPartId="d767e798f6f44e5ab5f17ab53b274f9b" PartId="43634b3b197f40a38391f49960170b3b"/>
      </Part>
    </Part>
    <Part Type="skyrius" Nr="2" Title="PAVIRŠINIO VANDENS TELKINIO APSAUGOS ZONOS NUSTATYMAS" DocPartId="786545a1c6de4e8eaba9ed6a66e1f0de" PartId="6c4f190a70e940e3b35973ec2277e70b">
      <Part Type="punktas" Nr="4" Abbr="4 p." DocPartId="44406c334cb645759b7b51dd6974650c" PartId="f8f59d664d5a44e1832b436f2539e924"/>
      <Part Type="punktas" Nr="5" Abbr="5 p." DocPartId="f39c65ef6fe74e30bba7c36a75ff924a" PartId="30fef6fd3b6e4660bbac698c51925a77">
        <Part Type="papunktis" Nr="5.1" Abbr="5.1 pp." DocPartId="fd44bdd7eff04e72ae5cf8dc8eccabdb" PartId="303f0e5c362d429084a7b7cdd96051c8"/>
        <Part Type="papunktis" Nr="5.2" Abbr="5.2 pp." DocPartId="1201666cf5474edc93ea04e72fafa9d2" PartId="5af386fe002d4f90a8dab1d7c32769e0"/>
        <Part Type="papunktis" Nr="5.3" Abbr="5.3 pp." DocPartId="aef24a457bbb48a3be01b212a0ce1341" PartId="1ee4cb2bacac48958acfa21dce56c354"/>
        <Part Type="papunktis" Nr="5.4" Abbr="5.4 pp." DocPartId="7907b60c2b94418dadc8c66a550d2fd9" PartId="3a8cbca3e42b48b4abfb3718fe99dbd9"/>
        <Part Type="papunktis" Nr="5.5" Abbr="5.5 pp." DocPartId="b098460a428742f0b4189943819fca7b" PartId="a5abc26451694b798d34b242d216e58c"/>
      </Part>
      <Part Type="punktas" Nr="6" Abbr="6 p." DocPartId="e515434633794be890c0ce1e2967d11b" PartId="36d5dcc918f24ce6915f3601c5993f5b">
        <Part Type="papunktis" Nr="6.1" Abbr="6.1 pp." DocPartId="7471b990b5d94e8aaacdc3b6532bea64" PartId="2418c6a1893d41ebb8b9082e010c6e1e"/>
        <Part Type="papunktis" Nr="6.2" Abbr="6.2 pp." DocPartId="6296fcd227c146999b30594a2a517532" PartId="5243b3eadc874b8392e11903d37507c0"/>
        <Part Type="papunktis" Nr="6.3" Abbr="6.3 pp." DocPartId="6aea425dbe394e0ba224ec2550a4d8bb" PartId="10030c5ab7614ea9a61b80bc15c91afe"/>
        <Part Type="papunktis" Nr="6.4" Abbr="6.4 pp." DocPartId="ae20673bcb0f4d279f9c5f8359faf78e" PartId="2fa2ae22081445278b150bf4c2b1fcd0"/>
        <Part Type="papunktis" Nr="6.5" Abbr="6.5 pp." DocPartId="2590ab8dc84e4234a531895304e3ae73" PartId="3ee1c4ef093841d1a4fbc6904153b242"/>
      </Part>
      <Part Type="punktas" Nr="7" Abbr="7 p." DocPartId="78154c8f5a03449eb945f98f7983b06e" PartId="de0520ebfd51431182e5b7cfe719c705"/>
    </Part>
    <Part Type="skyrius" Nr="3" Title="PAVIRŠINIO VANDENS TELKINIO PAKRANTĖS APSAUGOS JUOSTOS NUSTATYMAS" DocPartId="5e8f93fc0174417585d4e59d3d59deca" PartId="6f0d77f858194015bd7393380afe731e">
      <Part Type="punktas" Nr="8" Abbr="8 p." DocPartId="eb940329d550436484f0c590456e1cd4" PartId="f67eff3efb29473ca0865b736bfaeea5"/>
      <Part Type="punktas" Nr="9" Abbr="9 p." DocPartId="671a28fbb5d94060a9be6fc689d75d70" PartId="0b7fa73c99434f47b399fd4a8463f5c9"/>
      <Part Type="punktas" Nr="10" Abbr="10 p." DocPartId="5ff5a76b40414ea78b1fb725aa7f8b93" PartId="4cbbebc292cc42ef9451e55c06316d16"/>
      <Part Type="punktas" Nr="11" Abbr="11 p." DocPartId="95f1f87c703244ed9383c6514686e433" PartId="769bb6d73628451db962606914c775dc"/>
      <Part Type="punktas" Nr="12" Abbr="12 p." DocPartId="ba79e4d51cdc4aa58789d5f22a3023a6" PartId="d32476bf24c44433a5c24be0282ea0b5"/>
    </Part>
    <Part Type="pabaiga" DocPartId="f36c45498d094763a7716ed2cd282da8" PartId="05fac573e77c4b46a1c3248ad0eeef42"/>
  </Part>
</Parts>
</file>

<file path=customXml/itemProps1.xml><?xml version="1.0" encoding="utf-8"?>
<ds:datastoreItem xmlns:ds="http://schemas.openxmlformats.org/officeDocument/2006/customXml" ds:itemID="{6C57C1EC-6D6C-4E8D-B4AE-FFADAEE54FA2}">
  <ds:schemaRefs>
    <ds:schemaRef ds:uri="http://lrs.lt/TAIS/DocParts"/>
  </ds:schemaRefs>
</ds:datastoreItem>
</file>

<file path=docProps/app.xml><?xml version="1.0" encoding="utf-8"?>
<Properties xmlns="http://schemas.openxmlformats.org/officeDocument/2006/extended-properties">
  <Template>Normal.dotm</Template>
  <TotalTime>13</TotalTime>
  <Pages>7</Pages>
  <Words>8596</Words>
  <Characters>4900</Characters>
  <Application>Microsoft Office Word</Application>
  <DocSecurity>0</DocSecurity>
  <Lines>40</Lines>
  <Paragraphs>26</Paragraphs>
  <ScaleCrop>false</ScaleCrop>
  <Company/>
  <LinksUpToDate>false</LinksUpToDate>
  <CharactersWithSpaces>13470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2015-09-12T01:12:00Z</dcterms:created>
  <dc:creator>Win2003Stdx32</dc:creator>
  <lastModifiedBy>JUOSPONIENĖ Karolina</lastModifiedBy>
  <dcterms:modified xsi:type="dcterms:W3CDTF">2026-02-23T18:36:00Z</dcterms:modified>
  <revision>20</revision>
</coreProperties>
</file>