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2025-07-01 iki 2026-04-28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2"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5"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6"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8"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4f808f79a70446efa9c2fa70ec39d48e"/>
                <w:lock w:val="sdtLocked"/>
                <w:richText/>
              </w:sdtPr>
              <w:sdtContent>
                <w:p>
                  <w:pPr>
                    <w:ind w:firstLine="720"/>
                    <w:jc w:val="both"/>
                    <w:rPr>
                      <w:b/>
                      <w:bCs/>
                      <w:sz w:val="22"/>
                    </w:rPr>
                  </w:pPr>
                  <w:sdt>
                    <w:sdtPr>
                      <w:alias w:val="Numeris"/>
                      <w:tag w:val="nr_4f808f79a70446efa9c2fa70ec39d48e"/>
                      <w:lock w:val="sdtLocked"/>
                      <w:richText/>
                    </w:sdtPr>
                    <w:sdtContent>
                      <w:r>
                        <w:rPr>
                          <w:b/>
                          <w:bCs/>
                          <w:sz w:val="22"/>
                        </w:rPr>
                        <w:t>6</w:t>
                      </w:r>
                    </w:sdtContent>
                  </w:sdt>
                  <w:r>
                    <w:rPr>
                      <w:b/>
                      <w:bCs/>
                      <w:sz w:val="22"/>
                    </w:rPr>
                    <w:t xml:space="preserve"> straipsnis. </w:t>
                  </w:r>
                  <w:sdt>
                    <w:sdtPr>
                      <w:alias w:val="Pavadinimas"/>
                      <w:tag w:val="title_4f808f79a70446efa9c2fa70ec39d48e"/>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1"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17d336ab6ab045f4a05c039726755382"/>
                        <w:lock w:val="sdtLocked"/>
                        <w:richText/>
                      </w:sdtPr>
                      <w:sdtContent>
                        <w:p>
                          <w:pPr>
                            <w:tabs>
                              <w:tab w:val="left" w:pos="1134"/>
                            </w:tabs>
                            <w:ind w:firstLine="720"/>
                            <w:jc w:val="both"/>
                            <w:rPr>
                              <w:sz w:val="22"/>
                              <w:szCs w:val="22"/>
                            </w:rPr>
                          </w:pPr>
                          <w:sdt>
                            <w:sdtPr>
                              <w:alias w:val="Numeris"/>
                              <w:tag w:val="nr_17d336ab6ab045f4a05c039726755382"/>
                              <w:lock w:val="sdtLocked"/>
                              <w:richText/>
                            </w:sdtPr>
                            <w:sdtContent>
                              <w:r>
                                <w:rPr>
                                  <w:sz w:val="22"/>
                                  <w:szCs w:val="22"/>
                                </w:rPr>
                                <w:t>2</w:t>
                              </w:r>
                            </w:sdtContent>
                          </w:sdt>
                          <w:r>
                            <w:rPr>
                              <w:sz w:val="22"/>
                              <w:szCs w:val="22"/>
                            </w:rPr>
                            <w:t xml:space="preserve">) atlieka finansų rinkos priežiūrą, išskyrus atvejus, kai pagal 2013 m. spalio 15 d. Tarybos reglamento </w:t>
                          </w:r>
                          <w:hyperlink r:id="rId34" w:tgtFrame="_blank" w:history="1">
                            <w:r>
                              <w:rPr>
                                <w:color w:val="0000FF" w:themeColor="hyperlink"/>
                                <w:sz w:val="22"/>
                                <w:szCs w:val="22"/>
                                <w:u w:val="single"/>
                              </w:rPr>
                              <w:t>(ES) Nr. 1024/2013</w:t>
                            </w:r>
                          </w:hyperlink>
                          <w:r>
                            <w:rPr>
                              <w:sz w:val="22"/>
                              <w:szCs w:val="22"/>
                            </w:rPr>
                            <w:t xml:space="preserve">, kuriuo Europos Centriniam Bankui pavedami specialūs uždaviniai, susiję su rizikos ribojimu pagrįstos kredito įstaigų priežiūros politika, nuostatas šias funkcijas atlieka Europos Centrinis Bankas ar pagal Reglamento </w:t>
                          </w:r>
                          <w:hyperlink r:id="rId35" w:tgtFrame="_blank" w:history="1">
                            <w:r>
                              <w:rPr>
                                <w:color w:val="0000FF" w:themeColor="hyperlink"/>
                                <w:sz w:val="22"/>
                                <w:szCs w:val="22"/>
                                <w:u w:val="single"/>
                              </w:rPr>
                              <w:t>(ES) 2024/1620</w:t>
                            </w:r>
                          </w:hyperlink>
                          <w:r>
                            <w:rPr>
                              <w:sz w:val="22"/>
                              <w:szCs w:val="22"/>
                            </w:rPr>
                            <w:t xml:space="preserve"> nuostatas priežiūrą atlieka Europos Sąjungos Kovos su pinigų plovimu ir teroristų finansavimu institucija, taip pat pagal Reglamentą </w:t>
                          </w:r>
                          <w:hyperlink r:id="rId36" w:tgtFrame="_blank" w:history="1">
                            <w:r>
                              <w:rPr>
                                <w:color w:val="0000FF" w:themeColor="hyperlink"/>
                                <w:sz w:val="22"/>
                                <w:szCs w:val="22"/>
                                <w:u w:val="single"/>
                              </w:rPr>
                              <w:t>(ES) Nr. 1024/2013</w:t>
                            </w:r>
                          </w:hyperlink>
                          <w:r>
                            <w:rPr>
                              <w:sz w:val="22"/>
                              <w:szCs w:val="22"/>
                            </w:rPr>
                            <w:t xml:space="preserve">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6"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1"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9"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7"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8"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111f10efca384772929f5ee00f5a3192"/>
                <w:lock w:val="sdtLocked"/>
                <w:richText/>
              </w:sdtPr>
              <w:sdtContent>
                <w:p>
                  <w:pPr>
                    <w:ind w:firstLine="720"/>
                    <w:jc w:val="both"/>
                    <w:rPr>
                      <w:b/>
                      <w:sz w:val="22"/>
                    </w:rPr>
                  </w:pPr>
                  <w:sdt>
                    <w:sdtPr>
                      <w:alias w:val="Numeris"/>
                      <w:tag w:val="nr_111f10efca384772929f5ee00f5a3192"/>
                      <w:lock w:val="sdtLocked"/>
                      <w:richText/>
                    </w:sdtPr>
                    <w:sdtContent>
                      <w:r>
                        <w:rPr>
                          <w:b/>
                          <w:sz w:val="22"/>
                        </w:rPr>
                        <w:t>11</w:t>
                      </w:r>
                    </w:sdtContent>
                  </w:sdt>
                  <w:r>
                    <w:rPr>
                      <w:b/>
                      <w:sz w:val="22"/>
                    </w:rPr>
                    <w:t xml:space="preserve"> straipsnis. </w:t>
                  </w:r>
                  <w:sdt>
                    <w:sdtPr>
                      <w:alias w:val="Pavadinimas"/>
                      <w:tag w:val="title_111f10efca384772929f5ee00f5a3192"/>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d29758063abc43a09c409fa6a97ababd"/>
                        <w:lock w:val="sdtLocked"/>
                        <w:richText/>
                      </w:sdtPr>
                      <w:sdtContent>
                        <w:p>
                          <w:pPr>
                            <w:tabs>
                              <w:tab w:val="left" w:pos="1134"/>
                            </w:tabs>
                            <w:ind w:firstLine="720"/>
                            <w:jc w:val="both"/>
                            <w:rPr>
                              <w:sz w:val="22"/>
                              <w:szCs w:val="22"/>
                            </w:rPr>
                          </w:pPr>
                          <w:sdt>
                            <w:sdtPr>
                              <w:alias w:val="Numeris"/>
                              <w:tag w:val="nr_d29758063abc43a09c409fa6a97ababd"/>
                              <w:lock w:val="sdtLocked"/>
                              <w:richText/>
                            </w:sdtPr>
                            <w:sdtContent>
                              <w:r>
                                <w:rPr>
                                  <w:sz w:val="22"/>
                                  <w:szCs w:val="22"/>
                                </w:rPr>
                                <w:t>13</w:t>
                              </w:r>
                            </w:sdtContent>
                          </w:sdt>
                          <w:r>
                            <w:rPr>
                              <w:sz w:val="22"/>
                              <w:szCs w:val="22"/>
                            </w:rPr>
                            <w:t xml:space="preserve">) šio įstatymo 42 straipsnio 1 dalyje nurodytiems finansų rinkos dalyviams (toliau – prižiūrimi finansų rinkos dalyviai) ir kitiems asmenims taiko įstatymų ir Europos Sąjungos teisės aktų nustatytas poveikio priemones, finansų rinką reglamentuojančiuose teisės aktuose nustatytus privalomus nurodymus ir kitas kitiems asmenims privalomas vykdyti priemones, išskyrus atvejus, kai pagal Reglamento </w:t>
                          </w:r>
                          <w:hyperlink r:id="rId51" w:tgtFrame="_blank" w:history="1">
                            <w:r>
                              <w:rPr>
                                <w:color w:val="0000FF" w:themeColor="hyperlink"/>
                                <w:sz w:val="22"/>
                                <w:szCs w:val="22"/>
                                <w:u w:val="single"/>
                              </w:rPr>
                              <w:t>(ES) Nr. 1024/2013</w:t>
                            </w:r>
                          </w:hyperlink>
                          <w:r>
                            <w:rPr>
                              <w:sz w:val="22"/>
                              <w:szCs w:val="22"/>
                            </w:rPr>
                            <w:t xml:space="preserve"> nuostatas tai atlieka Europos Centrinis Bankas ar pagal Reglamento </w:t>
                          </w:r>
                          <w:hyperlink r:id="rId52" w:tgtFrame="_blank" w:history="1">
                            <w:r>
                              <w:rPr>
                                <w:color w:val="0000FF" w:themeColor="hyperlink"/>
                                <w:sz w:val="22"/>
                                <w:szCs w:val="22"/>
                                <w:u w:val="single"/>
                              </w:rPr>
                              <w:t>(ES) 2024/1620</w:t>
                            </w:r>
                          </w:hyperlink>
                          <w:r>
                            <w:rPr>
                              <w:sz w:val="22"/>
                              <w:szCs w:val="22"/>
                            </w:rPr>
                            <w:t xml:space="preserve"> nuostatas tai 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1"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4"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5"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6"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7"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9"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0"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60"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9"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4"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5"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2"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3"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1e1d00cd0da64f028faa6d3810f7a75c"/>
                <w:lock w:val="sdtLocked"/>
                <w:richText/>
              </w:sdtPr>
              <w:sdtContent>
                <w:p>
                  <w:pPr>
                    <w:ind w:firstLine="720"/>
                    <w:jc w:val="both"/>
                    <w:rPr>
                      <w:sz w:val="22"/>
                    </w:rPr>
                  </w:pPr>
                  <w:sdt>
                    <w:sdtPr>
                      <w:alias w:val="Numeris"/>
                      <w:tag w:val="nr_1e1d00cd0da64f028faa6d3810f7a75c"/>
                      <w:lock w:val="sdtLocked"/>
                      <w:richText/>
                    </w:sdtPr>
                    <w:sdtContent>
                      <w:r>
                        <w:rPr>
                          <w:b/>
                          <w:sz w:val="22"/>
                        </w:rPr>
                        <w:t>19</w:t>
                      </w:r>
                    </w:sdtContent>
                  </w:sdt>
                  <w:r>
                    <w:rPr>
                      <w:b/>
                      <w:sz w:val="22"/>
                    </w:rPr>
                    <w:t xml:space="preserve"> straipsnis. </w:t>
                  </w:r>
                  <w:sdt>
                    <w:sdtPr>
                      <w:alias w:val="Pavadinimas"/>
                      <w:tag w:val="title_1e1d00cd0da64f028faa6d3810f7a75c"/>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1d3f2470a9aa420eb6af1d50333dca5a"/>
                <w:lock w:val="sdtLocked"/>
                <w:richText/>
              </w:sdtPr>
              <w:sdtContent>
                <w:p>
                  <w:pPr>
                    <w:ind w:firstLine="720"/>
                    <w:jc w:val="both"/>
                    <w:rPr>
                      <w:b/>
                      <w:sz w:val="22"/>
                    </w:rPr>
                  </w:pPr>
                  <w:sdt>
                    <w:sdtPr>
                      <w:alias w:val="Numeris"/>
                      <w:tag w:val="nr_1d3f2470a9aa420eb6af1d50333dca5a"/>
                      <w:lock w:val="sdtLocked"/>
                      <w:richText/>
                    </w:sdtPr>
                    <w:sdtContent>
                      <w:r>
                        <w:rPr>
                          <w:b/>
                          <w:sz w:val="22"/>
                        </w:rPr>
                        <w:t>20</w:t>
                      </w:r>
                    </w:sdtContent>
                  </w:sdt>
                  <w:r>
                    <w:rPr>
                      <w:b/>
                      <w:sz w:val="22"/>
                    </w:rPr>
                    <w:t xml:space="preserve"> straipsnis. </w:t>
                  </w:r>
                  <w:sdt>
                    <w:sdtPr>
                      <w:alias w:val="Pavadinimas"/>
                      <w:tag w:val="title_1d3f2470a9aa420eb6af1d50333dca5a"/>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7487763b72b44790bde0a48d61f73af7"/>
                <w:lock w:val="sdtLocked"/>
                <w:richText/>
              </w:sdtPr>
              <w:sdtContent>
                <w:p>
                  <w:pPr>
                    <w:ind w:firstLine="720"/>
                    <w:jc w:val="both"/>
                    <w:rPr>
                      <w:color w:val="000000"/>
                      <w:sz w:val="22"/>
                      <w:szCs w:val="22"/>
                      <w:lang w:eastAsia="lt-LT"/>
                    </w:rPr>
                  </w:pPr>
                  <w:sdt>
                    <w:sdtPr>
                      <w:alias w:val="Numeris"/>
                      <w:tag w:val="nr_7487763b72b44790bde0a48d61f73af7"/>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7487763b72b44790bde0a48d61f73af7"/>
                      <w:lock w:val="sdtLocked"/>
                      <w:richText/>
                    </w:sdtPr>
                    <w:sdtContent>
                      <w:r>
                        <w:rPr>
                          <w:b/>
                          <w:bCs/>
                          <w:color w:val="000000"/>
                          <w:sz w:val="22"/>
                          <w:szCs w:val="22"/>
                          <w:lang w:eastAsia="lt-LT"/>
                        </w:rPr>
                        <w:t>Lietuvos banko nuostolio padengimas ir pelno paskirstymas</w:t>
                      </w:r>
                    </w:sdtContent>
                  </w:sdt>
                </w:p>
                <w:sdt>
                  <w:sdtPr>
                    <w:alias w:val="23 str. 1 d."/>
                    <w:tag w:val="part_ebf7c04a01a44b7d8d865a38c4137945"/>
                    <w:lock w:val="sdtLocked"/>
                    <w:richText/>
                  </w:sdtPr>
                  <w:sdtContent>
                    <w:p>
                      <w:pPr>
                        <w:ind w:firstLine="720"/>
                        <w:jc w:val="both"/>
                        <w:rPr>
                          <w:color w:val="000000"/>
                          <w:sz w:val="22"/>
                          <w:szCs w:val="22"/>
                          <w:lang w:eastAsia="lt-LT"/>
                        </w:rPr>
                      </w:pPr>
                      <w:sdt>
                        <w:sdtPr>
                          <w:alias w:val="Numeris"/>
                          <w:tag w:val="nr_ebf7c04a01a44b7d8d865a38c4137945"/>
                          <w:lock w:val="sdtLocked"/>
                          <w:richText/>
                        </w:sdtPr>
                        <w:sdtContent>
                          <w:r>
                            <w:rPr>
                              <w:color w:val="000000"/>
                              <w:sz w:val="22"/>
                              <w:szCs w:val="22"/>
                              <w:lang w:eastAsia="lt-LT"/>
                            </w:rPr>
                            <w:t>1</w:t>
                          </w:r>
                        </w:sdtContent>
                      </w:sdt>
                      <w:r>
                        <w:rPr>
                          <w:color w:val="000000"/>
                          <w:sz w:val="22"/>
                          <w:szCs w:val="22"/>
                          <w:lang w:eastAsia="lt-LT"/>
                        </w:rPr>
                        <w:t xml:space="preserve">. Šio įstatymo nustatyta tvarka patvirtinus paskutinių pasibaigusių finansinių metų finansinių ataskaitų rinkinį, tų </w:t>
                      </w:r>
                      <w:r>
                        <w:rPr>
                          <w:color w:val="000000"/>
                          <w:sz w:val="22"/>
                          <w:szCs w:val="22"/>
                          <w:shd w:val="clear" w:color="auto" w:fill="FFFFFF"/>
                          <w:lang w:eastAsia="lt-LT"/>
                        </w:rPr>
                        <w:t xml:space="preserve">metų </w:t>
                      </w:r>
                      <w:r>
                        <w:rPr>
                          <w:color w:val="000000"/>
                          <w:sz w:val="22"/>
                          <w:szCs w:val="22"/>
                          <w:lang w:eastAsia="lt-LT"/>
                        </w:rPr>
                        <w:t>pelnas skirstomas ar nuostolis dengiamas šiame straipsnyje nustatyta tvarka.</w:t>
                      </w:r>
                    </w:p>
                  </w:sdtContent>
                </w:sdt>
                <w:sdt>
                  <w:sdtPr>
                    <w:alias w:val="23 str. 2 d."/>
                    <w:tag w:val="part_67656bb77a754124a62aff07c36526b8"/>
                    <w:lock w:val="sdtLocked"/>
                    <w:richText/>
                  </w:sdtPr>
                  <w:sdtContent>
                    <w:p>
                      <w:pPr>
                        <w:ind w:firstLine="720"/>
                        <w:jc w:val="both"/>
                        <w:rPr>
                          <w:color w:val="000000"/>
                          <w:sz w:val="22"/>
                          <w:szCs w:val="22"/>
                          <w:lang w:eastAsia="lt-LT"/>
                        </w:rPr>
                      </w:pPr>
                      <w:sdt>
                        <w:sdtPr>
                          <w:alias w:val="Numeris"/>
                          <w:tag w:val="nr_67656bb77a754124a62aff07c36526b8"/>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shd w:val="clear" w:color="auto" w:fill="FFFFFF"/>
                          <w:lang w:eastAsia="lt-LT"/>
                        </w:rPr>
                        <w:t>Nuostolis</w:t>
                      </w:r>
                      <w:r>
                        <w:rPr>
                          <w:color w:val="000000"/>
                          <w:sz w:val="22"/>
                          <w:szCs w:val="22"/>
                          <w:lang w:eastAsia="lt-LT"/>
                        </w:rPr>
                        <w:t xml:space="preserve"> dengiamas turimu Lietuvos banko atsargos kapitalu. Kai atsargos kapitalo nepakanka šiam nuostoliui dengti, likęs nepadengtas nuostolis dengiamas paskesnių finansinių metų pelnu.</w:t>
                      </w:r>
                    </w:p>
                  </w:sdtContent>
                </w:sdt>
                <w:sdt>
                  <w:sdtPr>
                    <w:alias w:val="23 str. 3 d."/>
                    <w:tag w:val="part_93866160eba54ba3b13496549ff33f20"/>
                    <w:lock w:val="sdtLocked"/>
                    <w:richText/>
                  </w:sdtPr>
                  <w:sdtContent>
                    <w:p>
                      <w:pPr>
                        <w:ind w:firstLine="720"/>
                        <w:jc w:val="both"/>
                        <w:rPr>
                          <w:color w:val="000000"/>
                          <w:sz w:val="22"/>
                          <w:szCs w:val="22"/>
                          <w:lang w:eastAsia="lt-LT"/>
                        </w:rPr>
                      </w:pPr>
                      <w:sdt>
                        <w:sdtPr>
                          <w:alias w:val="Numeris"/>
                          <w:tag w:val="nr_93866160eba54ba3b13496549ff33f20"/>
                          <w:lock w:val="sdtLocked"/>
                          <w:richText/>
                        </w:sdtPr>
                        <w:sdtContent>
                          <w:r>
                            <w:rPr>
                              <w:color w:val="000000"/>
                              <w:sz w:val="22"/>
                              <w:szCs w:val="22"/>
                              <w:lang w:eastAsia="lt-LT"/>
                            </w:rPr>
                            <w:t>3</w:t>
                          </w:r>
                        </w:sdtContent>
                      </w:sdt>
                      <w:r>
                        <w:rPr>
                          <w:color w:val="000000"/>
                          <w:sz w:val="22"/>
                          <w:szCs w:val="22"/>
                          <w:lang w:eastAsia="lt-LT"/>
                        </w:rPr>
                        <w:t xml:space="preserve">. </w:t>
                      </w:r>
                      <w:r>
                        <w:rPr>
                          <w:color w:val="000000"/>
                          <w:sz w:val="22"/>
                          <w:szCs w:val="22"/>
                          <w:shd w:val="clear" w:color="auto" w:fill="FFFFFF"/>
                          <w:lang w:eastAsia="lt-LT"/>
                        </w:rPr>
                        <w:t>Pelnas</w:t>
                      </w:r>
                      <w:r>
                        <w:rPr>
                          <w:color w:val="000000"/>
                          <w:sz w:val="22"/>
                          <w:szCs w:val="22"/>
                          <w:lang w:eastAsia="lt-LT"/>
                        </w:rPr>
                        <w:t xml:space="preserve"> skirstomas šia eilės tvarka:</w:t>
                      </w:r>
                    </w:p>
                    <w:sdt>
                      <w:sdtPr>
                        <w:alias w:val="23 str. 3 d. 1 p."/>
                        <w:tag w:val="part_49ebc5a398f0401baaaf42e7b805e78b"/>
                        <w:lock w:val="sdtLocked"/>
                        <w:richText/>
                      </w:sdtPr>
                      <w:sdtContent>
                        <w:p>
                          <w:pPr>
                            <w:ind w:firstLine="720"/>
                            <w:jc w:val="both"/>
                            <w:rPr>
                              <w:color w:val="000000"/>
                              <w:sz w:val="22"/>
                              <w:szCs w:val="22"/>
                              <w:lang w:eastAsia="lt-LT"/>
                            </w:rPr>
                          </w:pPr>
                          <w:sdt>
                            <w:sdtPr>
                              <w:alias w:val="Numeris"/>
                              <w:tag w:val="nr_49ebc5a398f0401baaaf42e7b805e78b"/>
                              <w:lock w:val="sdtLocked"/>
                              <w:richText/>
                            </w:sdtPr>
                            <w:sdtContent>
                              <w:r>
                                <w:rPr>
                                  <w:color w:val="000000"/>
                                  <w:sz w:val="22"/>
                                  <w:szCs w:val="22"/>
                                  <w:lang w:eastAsia="lt-LT"/>
                                </w:rPr>
                                <w:t>1</w:t>
                              </w:r>
                            </w:sdtContent>
                          </w:sdt>
                          <w:r>
                            <w:rPr>
                              <w:color w:val="000000"/>
                              <w:sz w:val="22"/>
                              <w:szCs w:val="22"/>
                              <w:lang w:eastAsia="lt-LT"/>
                            </w:rPr>
                            <w:t>) ankstesnių finansinių metų nepadengtiems nuostoliams dengti;</w:t>
                          </w:r>
                        </w:p>
                      </w:sdtContent>
                    </w:sdt>
                    <w:sdt>
                      <w:sdtPr>
                        <w:alias w:val="23 str. 3 d. 2 p."/>
                        <w:tag w:val="part_84fad8ec0d9f4bc287c54152499a7023"/>
                        <w:lock w:val="sdtLocked"/>
                        <w:richText/>
                      </w:sdtPr>
                      <w:sdtContent>
                        <w:p>
                          <w:pPr>
                            <w:ind w:firstLine="720"/>
                            <w:jc w:val="both"/>
                            <w:rPr>
                              <w:color w:val="000000"/>
                              <w:sz w:val="22"/>
                              <w:szCs w:val="22"/>
                              <w:lang w:eastAsia="lt-LT"/>
                            </w:rPr>
                          </w:pPr>
                          <w:sdt>
                            <w:sdtPr>
                              <w:alias w:val="Numeris"/>
                              <w:tag w:val="nr_84fad8ec0d9f4bc287c54152499a7023"/>
                              <w:lock w:val="sdtLocked"/>
                              <w:richText/>
                            </w:sdtPr>
                            <w:sdtContent>
                              <w:r>
                                <w:rPr>
                                  <w:color w:val="000000"/>
                                  <w:sz w:val="22"/>
                                  <w:szCs w:val="22"/>
                                  <w:lang w:eastAsia="lt-LT"/>
                                </w:rPr>
                                <w:t>2</w:t>
                              </w:r>
                            </w:sdtContent>
                          </w:sdt>
                          <w:r>
                            <w:rPr>
                              <w:color w:val="000000"/>
                              <w:sz w:val="22"/>
                              <w:szCs w:val="22"/>
                              <w:lang w:eastAsia="lt-LT"/>
                            </w:rPr>
                            <w:t>) po paskirstymo pagal šios dalies 1 punkto nuostatas likusi suma ar jos dalis skiriama įstatiniam kapitalui iki šio įstatymo 20 straipsnyje nustatyto dydžio;</w:t>
                          </w:r>
                        </w:p>
                      </w:sdtContent>
                    </w:sdt>
                    <w:sdt>
                      <w:sdtPr>
                        <w:alias w:val="23 str. 3 d. 3 p."/>
                        <w:tag w:val="part_9999958c0c08420194340d6073422472"/>
                        <w:lock w:val="sdtLocked"/>
                        <w:richText/>
                      </w:sdtPr>
                      <w:sdtContent>
                        <w:p>
                          <w:pPr>
                            <w:ind w:firstLine="720"/>
                            <w:jc w:val="both"/>
                            <w:rPr>
                              <w:color w:val="000000"/>
                              <w:sz w:val="22"/>
                              <w:szCs w:val="22"/>
                              <w:lang w:eastAsia="lt-LT"/>
                            </w:rPr>
                          </w:pPr>
                          <w:sdt>
                            <w:sdtPr>
                              <w:alias w:val="Numeris"/>
                              <w:tag w:val="nr_9999958c0c08420194340d6073422472"/>
                              <w:lock w:val="sdtLocked"/>
                              <w:richText/>
                            </w:sdtPr>
                            <w:sdtContent>
                              <w:r>
                                <w:rPr>
                                  <w:color w:val="000000"/>
                                  <w:sz w:val="22"/>
                                  <w:szCs w:val="22"/>
                                  <w:lang w:eastAsia="lt-LT"/>
                                </w:rPr>
                                <w:t>3</w:t>
                              </w:r>
                            </w:sdtContent>
                          </w:sdt>
                          <w:r>
                            <w:rPr>
                              <w:color w:val="000000"/>
                              <w:sz w:val="22"/>
                              <w:szCs w:val="22"/>
                              <w:lang w:eastAsia="lt-LT"/>
                            </w:rPr>
                            <w:t>) po paskirstymo pagal šios dalies 2 punkto nuostatas likusi suma ar jos dalis skiriama 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0246834eec45468288a510d127a1f9d3"/>
                        <w:lock w:val="sdtLocked"/>
                        <w:richText/>
                      </w:sdtPr>
                      <w:sdtContent>
                        <w:p>
                          <w:pPr>
                            <w:ind w:firstLine="720"/>
                            <w:jc w:val="both"/>
                            <w:rPr>
                              <w:color w:val="000000"/>
                              <w:sz w:val="22"/>
                              <w:szCs w:val="22"/>
                              <w:lang w:eastAsia="lt-LT"/>
                            </w:rPr>
                          </w:pPr>
                          <w:sdt>
                            <w:sdtPr>
                              <w:alias w:val="Numeris"/>
                              <w:tag w:val="nr_0246834eec45468288a510d127a1f9d3"/>
                              <w:lock w:val="sdtLocked"/>
                              <w:richText/>
                            </w:sdtPr>
                            <w:sdtContent>
                              <w:r>
                                <w:rPr>
                                  <w:color w:val="000000"/>
                                  <w:sz w:val="22"/>
                                  <w:szCs w:val="22"/>
                                  <w:lang w:eastAsia="lt-LT"/>
                                </w:rPr>
                                <w:t>4</w:t>
                              </w:r>
                            </w:sdtContent>
                          </w:sdt>
                          <w:r>
                            <w:rPr>
                              <w:color w:val="000000"/>
                              <w:sz w:val="22"/>
                              <w:szCs w:val="22"/>
                              <w:lang w:eastAsia="lt-LT"/>
                            </w:rPr>
                            <w:t>) po paskirstymo pagal šios dalies 3 punkto nuostatas likusi suma skiriama Lietuvos banko pelno įmokai į valstybės biudžetą.</w:t>
                          </w:r>
                        </w:p>
                        <w:p>
                          <w:pPr>
                            <w:jc w:val="both"/>
                            <w:rPr>
                              <w:b/>
                              <w:sz w:val="22"/>
                            </w:rPr>
                          </w:pPr>
                          <w:r>
                            <w:rPr>
                              <w:b/>
                              <w:i/>
                              <w:color w:val="000000"/>
                              <w:sz w:val="20"/>
                              <w:lang w:eastAsia="lt-LT"/>
                            </w:rPr>
                            <w:t>TAR pastaba</w:t>
                          </w:r>
                          <w:r>
                            <w:rPr>
                              <w:i/>
                              <w:color w:val="000000"/>
                              <w:sz w:val="20"/>
                              <w:lang w:eastAsia="lt-LT"/>
                            </w:rPr>
                            <w:t>. 2025-04-10 įstatymu XV-153 keičiamas 23 straipsnis taikomas skirstant 2024 metų ir vėlesnių finansinių metų Lietuvos banko pelną ar dengiant nuostolį</w:t>
                          </w:r>
                          <w:r>
                            <w:rPr>
                              <w:color w:val="000000"/>
                              <w:szCs w:val="24"/>
                              <w:lang w:eastAsia="lt-LT"/>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4532016c011f08fdabd4950271e2c">
                    <w:r w:rsidRPr="00532B9F">
                      <w:rPr>
                        <w:rFonts w:ascii="Times New Roman" w:eastAsia="MS Mincho" w:hAnsi="Times New Roman"/>
                        <w:sz w:val="20"/>
                        <w:i/>
                        <w:iCs/>
                        <w:color w:val="0000FF" w:themeColor="hyperlink"/>
                        <w:u w:val="single"/>
                      </w:rPr>
                      <w:t>XV-153</w:t>
                    </w:r>
                  </w:fldSimple>
                  <w:r>
                    <w:rPr>
                      <w:rFonts w:ascii="Times New Roman" w:eastAsia="MS Mincho" w:hAnsi="Times New Roman"/>
                      <w:sz w:val="20"/>
                      <w:i/>
                      <w:iCs/>
                    </w:rPr>
                    <w:t>,
2025-04-10,
paskelbta TAR 2025-04-11, i. k. 2025-06427            </w:t>
                  </w:r>
                </w:p>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7"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4"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6"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4"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6f1e3a076ab41daa162a4b17f030209"/>
                    <w:lock w:val="sdtLocked"/>
                    <w:richText/>
                  </w:sdtPr>
                  <w:sdtContent>
                    <w:p>
                      <w:pPr>
                        <w:ind w:firstLine="720"/>
                        <w:jc w:val="both"/>
                        <w:rPr>
                          <w:bCs/>
                          <w:sz w:val="22"/>
                          <w:szCs w:val="22"/>
                        </w:rPr>
                      </w:pPr>
                      <w:sdt>
                        <w:sdtPr>
                          <w:alias w:val="Numeris"/>
                          <w:tag w:val="nr_96f1e3a076ab41daa162a4b17f030209"/>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 kredito administratoriai</w:t>
                      </w:r>
                      <w:r>
                        <w:rPr>
                          <w:bCs/>
                          <w:sz w:val="22"/>
                          <w:szCs w:val="22"/>
                          <w:lang w:eastAsia="lt-LT"/>
                        </w:rPr>
                        <w:t xml:space="preserve">, </w:t>
                      </w:r>
                      <w:r>
                        <w:rPr>
                          <w:bCs/>
                          <w:kern w:val="2"/>
                          <w:sz w:val="22"/>
                          <w:szCs w:val="22"/>
                          <w:lang w:eastAsia="lt-LT"/>
                        </w:rPr>
                        <w:t>kriptoturto paslaugų teikėjai, asmenys, viešai siūlantys ar prašantys įtraukti į prekybą kriptoturtą, kuris nėra su turtu susieti žetonai arba elektroninių pinigų žetonai.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725a7997be744c26978fff2551e00032"/>
                        <w:lock w:val="sdtLocked"/>
                        <w:richText/>
                      </w:sdtPr>
                      <w:sdtContent>
                        <w:p>
                          <w:pPr>
                            <w:ind w:firstLine="720"/>
                            <w:jc w:val="both"/>
                            <w:rPr>
                              <w:bCs/>
                              <w:sz w:val="22"/>
                              <w:szCs w:val="22"/>
                            </w:rPr>
                          </w:pPr>
                          <w:sdt>
                            <w:sdtPr>
                              <w:alias w:val="Numeris"/>
                              <w:tag w:val="nr_725a7997be744c26978fff2551e00032"/>
                              <w:lock w:val="sdtLocked"/>
                              <w:richText/>
                            </w:sdtPr>
                            <w:sdtContent>
                              <w:r>
                                <w:rPr>
                                  <w:sz w:val="22"/>
                                  <w:szCs w:val="22"/>
                                </w:rPr>
                                <w:t>1</w:t>
                              </w:r>
                            </w:sdtContent>
                          </w:sdt>
                          <w:r>
                            <w:rPr>
                              <w:sz w:val="22"/>
                              <w:szCs w:val="22"/>
                            </w:rPr>
                            <w:t xml:space="preserve">) atlieka bankų, užsienio valstybių bankų filialų, įsteigtų Lietuvos Respublikoje, centrinių kredito unijų, kredito unijų priežiūrą ir kitas Lietuvos Respublikos bankų įstatymo, Lietuvos Respublikos centrinių kredito unijų įstatymo </w:t>
                          </w:r>
                          <w:r>
                            <w:rPr>
                              <w:bCs/>
                              <w:sz w:val="22"/>
                              <w:szCs w:val="22"/>
                            </w:rPr>
                            <w:t>ir</w:t>
                          </w:r>
                          <w:r>
                            <w:rPr>
                              <w:sz w:val="22"/>
                              <w:szCs w:val="22"/>
                            </w:rPr>
                            <w:t xml:space="preserve"> Lietuvos Respublikos kredito unijų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7ebd56905eb9460596297b10271d3d26"/>
                        <w:lock w:val="sdtLocked"/>
                        <w:richText/>
                      </w:sdtPr>
                      <w:sdtContent>
                        <w:p>
                          <w:pPr>
                            <w:ind w:firstLine="720"/>
                            <w:jc w:val="both"/>
                            <w:rPr>
                              <w:bCs/>
                              <w:sz w:val="22"/>
                              <w:szCs w:val="22"/>
                            </w:rPr>
                          </w:pPr>
                          <w:sdt>
                            <w:sdtPr>
                              <w:alias w:val="Numeris"/>
                              <w:tag w:val="nr_7ebd56905eb9460596297b10271d3d26"/>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 įstatymų, reglamentuojančių šių subjektų veiklą,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17 p."/>
                        <w:tag w:val="part_fa8636ea9763414da6fdcd96f2b9b2c7"/>
                        <w:lock w:val="sdtLocked"/>
                        <w:richText/>
                      </w:sdtPr>
                      <w:sdtContent>
                        <w:p>
                          <w:pPr>
                            <w:ind w:firstLine="720"/>
                            <w:jc w:val="both"/>
                          </w:pPr>
                          <w:sdt>
                            <w:sdtPr>
                              <w:alias w:val="Numeris"/>
                              <w:tag w:val="nr_fa8636ea9763414da6fdcd96f2b9b2c7"/>
                              <w:lock w:val="sdtLocked"/>
                              <w:richText/>
                            </w:sdtPr>
                            <w:sdtContent>
                              <w:r>
                                <w:rPr>
                                  <w:bCs/>
                                  <w:kern w:val="2"/>
                                  <w:sz w:val="22"/>
                                  <w:szCs w:val="22"/>
                                  <w:lang w:eastAsia="lt-LT"/>
                                </w:rPr>
                                <w:t>17</w:t>
                              </w:r>
                            </w:sdtContent>
                          </w:sdt>
                          <w:r>
                            <w:rPr>
                              <w:bCs/>
                              <w:kern w:val="2"/>
                              <w:sz w:val="22"/>
                              <w:szCs w:val="22"/>
                              <w:lang w:eastAsia="lt-LT"/>
                            </w:rPr>
                            <w:t xml:space="preserve">) atlieka </w:t>
                          </w:r>
                          <w:r>
                            <w:rPr>
                              <w:sz w:val="22"/>
                              <w:szCs w:val="22"/>
                              <w:lang w:eastAsia="lt-LT"/>
                            </w:rPr>
                            <w:t>su turtu susietų žetonų emitentų, elektroninių pinigų žetonų emitentų</w:t>
                          </w:r>
                          <w:r>
                            <w:rPr>
                              <w:bCs/>
                              <w:sz w:val="22"/>
                              <w:szCs w:val="22"/>
                              <w:lang w:eastAsia="lt-LT"/>
                            </w:rPr>
                            <w:t xml:space="preserve">, </w:t>
                          </w:r>
                          <w:r>
                            <w:rPr>
                              <w:bCs/>
                              <w:kern w:val="2"/>
                              <w:sz w:val="22"/>
                              <w:szCs w:val="22"/>
                              <w:lang w:eastAsia="lt-LT"/>
                            </w:rPr>
                            <w:t xml:space="preserve">kriptoturto paslaugų teikėjų, asmenų, viešai siūlančių ar prašančių įtraukti į prekybą kriptoturtą, kuris nėra su turtu susieti žetonai arba elektroninių pinigų žetonai, </w:t>
                          </w:r>
                          <w:r>
                            <w:rPr>
                              <w:kern w:val="2"/>
                              <w:sz w:val="22"/>
                              <w:szCs w:val="22"/>
                              <w:lang w:eastAsia="lt-LT"/>
                            </w:rPr>
                            <w:t>priežiūrą</w:t>
                          </w:r>
                          <w:r>
                            <w:rPr>
                              <w:bCs/>
                              <w:kern w:val="2"/>
                              <w:sz w:val="22"/>
                              <w:szCs w:val="22"/>
                              <w:lang w:eastAsia="lt-LT"/>
                            </w:rPr>
                            <w:t xml:space="preserve"> ir</w:t>
                          </w:r>
                          <w:r>
                            <w:rPr>
                              <w:sz w:val="22"/>
                              <w:szCs w:val="22"/>
                              <w:lang w:eastAsia="lt-LT"/>
                            </w:rPr>
                            <w:t xml:space="preserve"> </w:t>
                          </w:r>
                          <w:r>
                            <w:rPr>
                              <w:bCs/>
                              <w:kern w:val="2"/>
                              <w:sz w:val="22"/>
                              <w:szCs w:val="22"/>
                              <w:lang w:eastAsia="lt-LT"/>
                            </w:rPr>
                            <w:t xml:space="preserve">kitas Kriptoturto rinkų įstatyme ir Reglamente </w:t>
                          </w:r>
                          <w:hyperlink r:id="rId184"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9 p."/>
                        <w:tag w:val="part_257610ec95734fd5b756844f3f0d42e1"/>
                        <w:lock w:val="sdtLocked"/>
                        <w:richText/>
                      </w:sdtPr>
                      <w:sdtContent>
                        <w:p>
                          <w:pPr>
                            <w:suppressAutoHyphens/>
                            <w:ind w:firstLine="720"/>
                            <w:jc w:val="both"/>
                            <w:rPr>
                              <w:sz w:val="22"/>
                              <w:szCs w:val="22"/>
                              <w:lang w:eastAsia="zh-CN" w:bidi="lt-LT"/>
                            </w:rPr>
                          </w:pPr>
                          <w:sdt>
                            <w:sdtPr>
                              <w:alias w:val="Numeris"/>
                              <w:tag w:val="nr_257610ec95734fd5b756844f3f0d42e1"/>
                              <w:lock w:val="sdtLocked"/>
                              <w:richText/>
                            </w:sdtPr>
                            <w:sdtContent>
                              <w:r>
                                <w:rPr>
                                  <w:sz w:val="22"/>
                                  <w:szCs w:val="22"/>
                                  <w:lang w:eastAsia="zh-CN" w:bidi="lt-LT"/>
                                </w:rPr>
                                <w:t>19</w:t>
                              </w:r>
                            </w:sdtContent>
                          </w:sdt>
                          <w:r>
                            <w:rPr>
                              <w:sz w:val="22"/>
                              <w:szCs w:val="22"/>
                              <w:lang w:eastAsia="zh-CN" w:bidi="lt-LT"/>
                            </w:rPr>
                            <w:t xml:space="preserve">) atlieka </w:t>
                          </w:r>
                          <w:r>
                            <w:rPr>
                              <w:sz w:val="22"/>
                              <w:szCs w:val="22"/>
                              <w:lang w:eastAsia="zh-CN"/>
                            </w:rPr>
                            <w:t xml:space="preserve">Reglamento </w:t>
                          </w:r>
                          <w:hyperlink r:id="rId196" w:tgtFrame="_blank" w:history="1">
                            <w:r>
                              <w:rPr>
                                <w:color w:val="0000FF" w:themeColor="hyperlink"/>
                                <w:sz w:val="22"/>
                                <w:szCs w:val="22"/>
                                <w:u w:val="single"/>
                                <w:lang w:eastAsia="zh-CN"/>
                              </w:rPr>
                              <w:t>(ES) 2022/2554</w:t>
                            </w:r>
                          </w:hyperlink>
                          <w:r>
                            <w:rPr>
                              <w:sz w:val="22"/>
                              <w:szCs w:val="22"/>
                              <w:lang w:eastAsia="zh-CN"/>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Content>
                </w:sdt>
                <w:sdt>
                  <w:sdtPr>
                    <w:alias w:val="42 str. 3 d."/>
                    <w:tag w:val="part_97fee8b44222468d8c8da6c5fcc52d3c"/>
                    <w:lock w:val="sdtLocked"/>
                    <w:richText/>
                  </w:sdtPr>
                  <w:sdtContent>
                    <w:p>
                      <w:pPr>
                        <w:tabs>
                          <w:tab w:val="left" w:pos="1134"/>
                        </w:tabs>
                        <w:ind w:firstLine="720"/>
                        <w:jc w:val="both"/>
                        <w:rPr>
                          <w:sz w:val="22"/>
                          <w:szCs w:val="22"/>
                        </w:rPr>
                      </w:pPr>
                      <w:sdt>
                        <w:sdtPr>
                          <w:alias w:val="Numeris"/>
                          <w:tag w:val="nr_97fee8b44222468d8c8da6c5fcc52d3c"/>
                          <w:lock w:val="sdtLocked"/>
                          <w:richText/>
                        </w:sdtPr>
                        <w:sdtContent>
                          <w:r>
                            <w:rPr>
                              <w:sz w:val="22"/>
                              <w:szCs w:val="22"/>
                            </w:rPr>
                            <w:t>3</w:t>
                          </w:r>
                        </w:sdtContent>
                      </w:sdt>
                      <w:r>
                        <w:rPr>
                          <w:sz w:val="22"/>
                          <w:szCs w:val="22"/>
                        </w:rPr>
                        <w:t xml:space="preserve">. Lietuvos bankas finansų rinkos priežiūrą atlieka tiek, kiek pagal Reglamento </w:t>
                      </w:r>
                      <w:hyperlink r:id="rId157" w:tgtFrame="_blank" w:history="1">
                        <w:r>
                          <w:rPr>
                            <w:color w:val="0000FF" w:themeColor="hyperlink"/>
                            <w:sz w:val="22"/>
                            <w:szCs w:val="22"/>
                            <w:u w:val="single"/>
                          </w:rPr>
                          <w:t>(ES) Nr. 1024/2013</w:t>
                        </w:r>
                      </w:hyperlink>
                      <w:r>
                        <w:rPr>
                          <w:sz w:val="22"/>
                          <w:szCs w:val="22"/>
                        </w:rPr>
                        <w:t xml:space="preserve"> nuostatas tai nepavesta Europos Centriniam Bankui ar pagal Reglamento </w:t>
                      </w:r>
                      <w:hyperlink r:id="rId158" w:tgtFrame="_blank" w:history="1">
                        <w:r>
                          <w:rPr>
                            <w:color w:val="0000FF" w:themeColor="hyperlink"/>
                            <w:sz w:val="22"/>
                            <w:szCs w:val="22"/>
                            <w:u w:val="single"/>
                          </w:rPr>
                          <w:t>(ES) 2024/1620</w:t>
                        </w:r>
                      </w:hyperlink>
                      <w:r>
                        <w:rPr>
                          <w:sz w:val="22"/>
                          <w:szCs w:val="22"/>
                        </w:rPr>
                        <w:t xml:space="preserve"> nuostatas priežiūros neatlieka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0"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1" w:history="1">
                        <w:r>
                          <w:rPr>
                            <w:i/>
                            <w:color w:val="0000FF"/>
                            <w:sz w:val="20"/>
                            <w:u w:val="single"/>
                          </w:rPr>
                          <w:t>XI-1666</w:t>
                        </w:r>
                      </w:hyperlink>
                      <w:r>
                        <w:rPr>
                          <w:i/>
                          <w:sz w:val="20"/>
                        </w:rPr>
                        <w:t>, 2011-11-17, Žin., 2011, Nr. 145-6812 (2011-12-01)</w:t>
                      </w:r>
                    </w:p>
                    <w:p>
                      <w:pPr>
                        <w:jc w:val="both"/>
                      </w:pPr>
                      <w:r>
                        <w:rPr>
                          <w:i/>
                          <w:sz w:val="20"/>
                        </w:rPr>
                        <w:t xml:space="preserve">Nr. </w:t>
                      </w:r>
                      <w:hyperlink r:id="rId162"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2 p."/>
                        <w:tag w:val="part_03e57e2a85cb43fcb19ca7e1b716b97f"/>
                        <w:lock w:val="sdtLocked"/>
                        <w:richText/>
                      </w:sdtPr>
                      <w:sdtContent>
                        <w:p>
                          <w:pPr>
                            <w:tabs>
                              <w:tab w:val="left" w:pos="2460"/>
                            </w:tabs>
                            <w:ind w:firstLine="720"/>
                            <w:jc w:val="both"/>
                            <w:rPr>
                              <w:sz w:val="22"/>
                              <w:szCs w:val="22"/>
                            </w:rPr>
                          </w:pPr>
                          <w:sdt>
                            <w:sdtPr>
                              <w:alias w:val="Numeris"/>
                              <w:tag w:val="nr_03e57e2a85cb43fcb19ca7e1b716b97f"/>
                              <w:lock w:val="sdtLocked"/>
                              <w:richText/>
                            </w:sdtPr>
                            <w:sdtContent>
                              <w:r>
                                <w:rPr>
                                  <w:sz w:val="22"/>
                                  <w:szCs w:val="22"/>
                                </w:rPr>
                                <w:t>22</w:t>
                              </w:r>
                            </w:sdtContent>
                          </w:sdt>
                          <w:r>
                            <w:rPr>
                              <w:sz w:val="22"/>
                              <w:szCs w:val="22"/>
                            </w:rPr>
                            <w:t xml:space="preserve">) Europos Sąjungos Kovos su pinigų plovimu ir teroristų finansavimu institucijai, jeigu ji reikalinga Reglamente </w:t>
                          </w:r>
                          <w:hyperlink r:id="rId203" w:tgtFrame="_blank" w:history="1">
                            <w:r>
                              <w:rPr>
                                <w:color w:val="0000FF" w:themeColor="hyperlink"/>
                                <w:sz w:val="22"/>
                                <w:szCs w:val="22"/>
                                <w:u w:val="single"/>
                              </w:rPr>
                              <w:t>(ES) 2024/1620</w:t>
                            </w:r>
                          </w:hyperlink>
                          <w:r>
                            <w:rPr>
                              <w:sz w:val="22"/>
                              <w:szCs w:val="22"/>
                            </w:rPr>
                            <w:t xml:space="preserve"> nustatytoms funkcijoms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998302ed411efbdaea558de59136c">
                        <w:r w:rsidRPr="00532B9F">
                          <w:rPr>
                            <w:rFonts w:ascii="Times New Roman" w:eastAsia="MS Mincho" w:hAnsi="Times New Roman"/>
                            <w:sz w:val="20"/>
                            <w:i/>
                            <w:iCs/>
                            <w:color w:val="0000FF" w:themeColor="hyperlink"/>
                            <w:u w:val="single"/>
                          </w:rPr>
                          <w:t>XIV-2717</w:t>
                        </w:r>
                      </w:fldSimple>
                      <w:r>
                        <w:rPr>
                          <w:rFonts w:ascii="Times New Roman" w:eastAsia="MS Mincho" w:hAnsi="Times New Roman"/>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4" w:history="1">
                        <w:r>
                          <w:rPr>
                            <w:i/>
                            <w:color w:val="0000FF"/>
                            <w:sz w:val="20"/>
                            <w:u w:val="single"/>
                          </w:rPr>
                          <w:t>XI-557</w:t>
                        </w:r>
                      </w:hyperlink>
                      <w:r>
                        <w:rPr>
                          <w:i/>
                          <w:sz w:val="20"/>
                        </w:rPr>
                        <w:t>, 2009-12-10, Žin., 2009, Nr. 153-6895 (2009-12-28)</w:t>
                      </w:r>
                    </w:p>
                    <w:p>
                      <w:pPr>
                        <w:jc w:val="both"/>
                      </w:pPr>
                      <w:r>
                        <w:rPr>
                          <w:i/>
                          <w:sz w:val="20"/>
                        </w:rPr>
                        <w:t xml:space="preserve">Nr. </w:t>
                      </w:r>
                      <w:hyperlink r:id="rId165"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6c3e3f8a866d4fbd868b88e80fa3c72a"/>
                    <w:lock w:val="sdtLocked"/>
                    <w:richText/>
                  </w:sdtPr>
                  <w:sdtContent>
                    <w:p>
                      <w:pPr>
                        <w:widowControl w:val="0"/>
                        <w:ind w:firstLine="720"/>
                        <w:jc w:val="both"/>
                      </w:pPr>
                      <w:sdt>
                        <w:sdtPr>
                          <w:alias w:val="Numeris"/>
                          <w:tag w:val="nr_6c3e3f8a866d4fbd868b88e80fa3c72a"/>
                          <w:lock w:val="sdtLocked"/>
                          <w:richText/>
                        </w:sdtPr>
                        <w:sdtContent>
                          <w:r>
                            <w:rPr>
                              <w:sz w:val="22"/>
                              <w:szCs w:val="22"/>
                            </w:rPr>
                            <w:t>3</w:t>
                          </w:r>
                        </w:sdtContent>
                      </w:sdt>
                      <w:r>
                        <w:rPr>
                          <w:sz w:val="22"/>
                          <w:szCs w:val="22"/>
                        </w:rPr>
                        <w:t>. Lietuvos banko sprendimas dėl baudos skyrimo ir (arba) kitų išieškotinų sumų</w:t>
                      </w:r>
                      <w:r>
                        <w:rPr>
                          <w:bCs/>
                          <w:sz w:val="22"/>
                          <w:szCs w:val="22"/>
                        </w:rPr>
                        <w:t xml:space="preserve"> </w:t>
                      </w:r>
                      <w:r>
                        <w:rPr>
                          <w:sz w:val="22"/>
                          <w:szCs w:val="22"/>
                        </w:rPr>
                        <w:t xml:space="preserve">yra vykdomasis dokumentas, vykdomas Lietuvos Respublikos </w:t>
                      </w:r>
                      <w:r>
                        <w:rPr>
                          <w:sz w:val="22"/>
                          <w:szCs w:val="22"/>
                          <w:shd w:val="clear" w:color="auto" w:fill="FFFFFF"/>
                        </w:rPr>
                        <w:t>civilinio proceso kodekso nustatyta tvarka. Lietuvos banko sprendimas gali būti pateikiamas vykdyti ne vėliau kaip per 3 metus nuo jo priėmimo dienos ar, jeigu Lietuvos banko sprendimas buvo apskųstas, teismo sprendimo įsiteisėjimo dienos. Kai baudos sumokėjimas buvo išdėstytas šio straipsnio 2 dalyje nustatyta tvarka, Lietuvos banko sprendimas gali būti pateikiamas vykdyti per 3 metus nuo išdėstymo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72"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73"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74"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75"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76"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77"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78"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79" w:tgtFrame="_blank" w:history="1">
                        <w:r>
                          <w:rPr>
                            <w:color w:val="0000FF" w:themeColor="hyperlink"/>
                            <w:sz w:val="22"/>
                            <w:szCs w:val="22"/>
                            <w:u w:val="single"/>
                            <w:lang w:eastAsia="lt-LT"/>
                          </w:rPr>
                          <w:t>(ES) Nr. 1093/2010</w:t>
                        </w:r>
                      </w:hyperlink>
                      <w:r>
                        <w:rPr>
                          <w:sz w:val="22"/>
                          <w:szCs w:val="22"/>
                          <w:lang w:eastAsia="lt-LT"/>
                        </w:rPr>
                        <w:t xml:space="preserve">, </w:t>
                      </w:r>
                      <w:hyperlink r:id="rId180" w:tgtFrame="_blank" w:history="1">
                        <w:r>
                          <w:rPr>
                            <w:color w:val="0000FF" w:themeColor="hyperlink"/>
                            <w:sz w:val="22"/>
                            <w:szCs w:val="22"/>
                            <w:u w:val="single"/>
                            <w:lang w:eastAsia="lt-LT"/>
                          </w:rPr>
                          <w:t>(ES) Nr. 575/2013</w:t>
                        </w:r>
                      </w:hyperlink>
                      <w:r>
                        <w:rPr>
                          <w:sz w:val="22"/>
                          <w:szCs w:val="22"/>
                          <w:lang w:eastAsia="lt-LT"/>
                        </w:rPr>
                        <w:t xml:space="preserve">, </w:t>
                      </w:r>
                      <w:hyperlink r:id="rId181" w:tgtFrame="_blank" w:history="1">
                        <w:r>
                          <w:rPr>
                            <w:color w:val="0000FF" w:themeColor="hyperlink"/>
                            <w:sz w:val="22"/>
                            <w:szCs w:val="22"/>
                            <w:u w:val="single"/>
                            <w:lang w:eastAsia="lt-LT"/>
                          </w:rPr>
                          <w:t>(ES) Nr. 600/2014</w:t>
                        </w:r>
                      </w:hyperlink>
                      <w:r>
                        <w:rPr>
                          <w:sz w:val="22"/>
                          <w:szCs w:val="22"/>
                          <w:lang w:eastAsia="lt-LT"/>
                        </w:rPr>
                        <w:t xml:space="preserve"> ir </w:t>
                      </w:r>
                      <w:hyperlink r:id="rId182"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83"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5a1dd90099204943a281b77b35b407ff"/>
                <w:lock w:val="sdtLocked"/>
                <w:richText/>
              </w:sdtPr>
              <w:sdtContent>
                <w:p>
                  <w:pPr>
                    <w:tabs>
                      <w:tab w:val="left" w:pos="1134"/>
                    </w:tabs>
                    <w:ind w:left="2410" w:hanging="1690"/>
                    <w:jc w:val="both"/>
                    <w:rPr>
                      <w:sz w:val="22"/>
                      <w:szCs w:val="22"/>
                    </w:rPr>
                  </w:pPr>
                  <w:sdt>
                    <w:sdtPr>
                      <w:alias w:val="Numeris"/>
                      <w:tag w:val="nr_5a1dd90099204943a281b77b35b407ff"/>
                      <w:lock w:val="sdtLocked"/>
                      <w:richText/>
                    </w:sdtPr>
                    <w:sdtContent>
                      <w:r>
                        <w:rPr>
                          <w:b/>
                          <w:bCs/>
                          <w:sz w:val="22"/>
                          <w:szCs w:val="22"/>
                        </w:rPr>
                        <w:t>46</w:t>
                      </w:r>
                    </w:sdtContent>
                  </w:sdt>
                  <w:r>
                    <w:rPr>
                      <w:b/>
                      <w:bCs/>
                      <w:sz w:val="22"/>
                      <w:szCs w:val="22"/>
                    </w:rPr>
                    <w:t xml:space="preserve"> straipsnis. </w:t>
                  </w:r>
                  <w:sdt>
                    <w:sdtPr>
                      <w:alias w:val="Pavadinimas"/>
                      <w:tag w:val="title_5a1dd90099204943a281b77b35b407ff"/>
                      <w:lock w:val="sdtLocked"/>
                      <w:richText/>
                    </w:sdtPr>
                    <w:sdtContent>
                      <w:r>
                        <w:rPr>
                          <w:b/>
                          <w:bCs/>
                          <w:sz w:val="22"/>
                          <w:szCs w:val="22"/>
                        </w:rPr>
                        <w:t>Bendradarbiavimas su kitų valstybių finansų rinkos priežiūros institucijomis</w:t>
                      </w:r>
                    </w:sdtContent>
                  </w:sdt>
                </w:p>
                <w:sdt>
                  <w:sdtPr>
                    <w:alias w:val="46 str. 1 d."/>
                    <w:tag w:val="part_b2c07b92d08f4b10986f38eaf252ee64"/>
                    <w:lock w:val="sdtLocked"/>
                    <w:richText/>
                  </w:sdtPr>
                  <w:sdtContent>
                    <w:p>
                      <w:pPr>
                        <w:tabs>
                          <w:tab w:val="left" w:pos="1134"/>
                        </w:tabs>
                        <w:ind w:firstLine="720"/>
                        <w:jc w:val="both"/>
                        <w:rPr>
                          <w:sz w:val="22"/>
                          <w:szCs w:val="22"/>
                        </w:rPr>
                      </w:pPr>
                      <w:r>
                        <w:rPr>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Europos Sąjungos Kovos su pinigų plovimu ir teroristų finansavimu institucija ir kitomis Lietuvos Respublikos ir užsienio valstybių institucijomis dėl bendradarbiavimo finansų rinkos priežiūros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9"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0"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1"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a6b03480db0c41d69e609cbec8def78d"/>
                        <w:lock w:val="sdtLocked"/>
                        <w:richText/>
                      </w:sdtPr>
                      <w:sdtContent>
                        <w:p>
                          <w:pPr>
                            <w:ind w:firstLine="720"/>
                            <w:jc w:val="both"/>
                          </w:pPr>
                          <w:sdt>
                            <w:sdtPr>
                              <w:alias w:val="Numeris"/>
                              <w:tag w:val="nr_a6b03480db0c41d69e609cbec8def78d"/>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
                      <w:sdtPr>
                        <w:alias w:val="6 p."/>
                        <w:tag w:val="part_dabb50b397064d5a8d88f0bbf48e2432"/>
                        <w:lock w:val="sdtLocked"/>
                        <w:richText/>
                      </w:sdtPr>
                      <w:sdtContent>
                        <w:p>
                          <w:pPr>
                            <w:ind w:firstLine="720"/>
                            <w:jc w:val="both"/>
                            <w:rPr>
                              <w:bCs/>
                              <w:sz w:val="22"/>
                              <w:szCs w:val="22"/>
                              <w:lang w:eastAsia="lt-LT"/>
                            </w:rPr>
                          </w:pPr>
                          <w:sdt>
                            <w:sdtPr>
                              <w:alias w:val="Numeris"/>
                              <w:tag w:val="nr_dabb50b397064d5a8d88f0bbf48e2432"/>
                              <w:lock w:val="sdtLocked"/>
                              <w:richText/>
                            </w:sdtPr>
                            <w:sdtContent>
                              <w:r>
                                <w:rPr>
                                  <w:bCs/>
                                  <w:sz w:val="22"/>
                                  <w:szCs w:val="22"/>
                                  <w:lang w:eastAsia="lt-LT"/>
                                </w:rPr>
                                <w:t>6</w:t>
                              </w:r>
                            </w:sdtContent>
                          </w:sdt>
                          <w:r>
                            <w:rPr>
                              <w:bCs/>
                              <w:sz w:val="22"/>
                              <w:szCs w:val="22"/>
                              <w:lang w:eastAsia="lt-LT"/>
                            </w:rPr>
                            <w:t xml:space="preserve">) Reglamente </w:t>
                          </w:r>
                          <w:hyperlink r:id="rId194" w:tgtFrame="_blank" w:history="1">
                            <w:r>
                              <w:rPr>
                                <w:bCs/>
                                <w:color w:val="0000FF" w:themeColor="hyperlink"/>
                                <w:sz w:val="22"/>
                                <w:szCs w:val="22"/>
                                <w:u w:val="single"/>
                                <w:lang w:eastAsia="lt-LT"/>
                              </w:rPr>
                              <w:t>(ES) 2023/1114</w:t>
                            </w:r>
                          </w:hyperlink>
                          <w:r>
                            <w:rPr>
                              <w:bCs/>
                              <w:sz w:val="22"/>
                              <w:szCs w:val="22"/>
                              <w:lang w:eastAsia="lt-LT"/>
                            </w:rPr>
                            <w:t xml:space="preserve"> nurodyto kriptoturto, kuris nėra su turtu susieti žetonai arba elektroninių pinigų žetonai, viešo siūlymo ar įtraukimo į prekybą, kaip tai nurodyta Reglamento </w:t>
                          </w:r>
                          <w:hyperlink r:id="rId195" w:tgtFrame="_blank" w:history="1">
                            <w:r>
                              <w:rPr>
                                <w:bCs/>
                                <w:color w:val="0000FF" w:themeColor="hyperlink"/>
                                <w:sz w:val="22"/>
                                <w:szCs w:val="22"/>
                                <w:u w:val="single"/>
                                <w:lang w:eastAsia="lt-LT"/>
                              </w:rPr>
                              <w:t>(ES) 2023/1114</w:t>
                            </w:r>
                          </w:hyperlink>
                          <w:r>
                            <w:rPr>
                              <w:bCs/>
                              <w:sz w:val="22"/>
                              <w:szCs w:val="22"/>
                              <w:lang w:eastAsia="lt-LT"/>
                            </w:rPr>
                            <w:t xml:space="preserve"> 4 ir 5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acfeb4b5ca92404aa7797bdec956392c"/>
                <w:lock w:val="sdtLocked"/>
                <w:richText/>
              </w:sdtPr>
              <w:sdtContent>
                <w:p>
                  <w:pPr>
                    <w:ind w:firstLine="720"/>
                    <w:jc w:val="both"/>
                    <w:rPr>
                      <w:sz w:val="22"/>
                      <w:szCs w:val="22"/>
                    </w:rPr>
                  </w:pPr>
                  <w:sdt>
                    <w:sdtPr>
                      <w:alias w:val="Numeris"/>
                      <w:tag w:val="nr_acfeb4b5ca92404aa7797bdec956392c"/>
                      <w:lock w:val="sdtLocked"/>
                      <w:richText/>
                    </w:sdtPr>
                    <w:sdtContent>
                      <w:r>
                        <w:rPr>
                          <w:b/>
                          <w:sz w:val="22"/>
                          <w:szCs w:val="22"/>
                        </w:rPr>
                        <w:t>49</w:t>
                      </w:r>
                    </w:sdtContent>
                  </w:sdt>
                  <w:r>
                    <w:rPr>
                      <w:b/>
                      <w:sz w:val="22"/>
                      <w:szCs w:val="22"/>
                    </w:rPr>
                    <w:t xml:space="preserve"> straipsnis. </w:t>
                  </w:r>
                  <w:sdt>
                    <w:sdtPr>
                      <w:alias w:val="Pavadinimas"/>
                      <w:tag w:val="title_acfeb4b5ca92404aa7797bdec956392c"/>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5"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8"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9"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4"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10d5aba215774bada9b013954682c07b"/>
                <w:lock w:val="sdtLocked"/>
                <w:richText/>
              </w:sdtPr>
              <w:sdtContent>
                <w:sdt>
                  <w:sdtPr>
                    <w:alias w:val="Pavadinimas"/>
                    <w:tag w:val="title_10d5aba215774bada9b013954682c07b"/>
                    <w:lock w:val="sdtLocked"/>
                    <w:richText/>
                  </w:sdtPr>
                  <w:sdtContent>
                    <w:p>
                      <w:pPr>
                        <w:ind w:left="2520" w:hanging="1800"/>
                        <w:jc w:val="both"/>
                        <w:rPr>
                          <w:b/>
                          <w:sz w:val="22"/>
                        </w:rPr>
                      </w:pPr>
                      <w:sdt>
                        <w:sdtPr>
                          <w:alias w:val="Numeris"/>
                          <w:tag w:val="nr_10d5aba215774bada9b013954682c07b"/>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1"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5"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6"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8"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e286024b41e44ef4b67facfac6aa01a9"/>
        <w:lock w:val="sdtLocked"/>
        <w:richText/>
      </w:sdtPr>
      <w:sdtContent>
        <w:p>
          <w:pPr>
            <w:ind w:firstLine="6480"/>
            <w:jc w:val="both"/>
            <w:sectPr>
              <w:headerReference w:type="even" r:id="rId119"/>
              <w:headerReference w:type="default" r:id="rId120"/>
              <w:footerReference w:type="even" r:id="rId121"/>
              <w:footerReference w:type="default" r:id="rId122"/>
              <w:headerReference w:type="first" r:id="rId123"/>
              <w:footerReference w:type="first" r:id="rId124"/>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e286024b41e44ef4b67facfac6aa01a9"/>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e286024b41e44ef4b67facfac6aa01a9"/>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Asmenys, viešai siūlantys ir prašantys įtraukti į prekybą kriptoturtą, kuris nėra su turtu susieti žetonai arba elektroninių pinigų žetonai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bCs/>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Kriptoturto paslaugų teikėjai, gavę kriptoturto paslaugų teikėjo licenciją pagal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iCs/>
                    <w:sz w:val="22"/>
                    <w:szCs w:val="22"/>
                    <w:lang w:eastAsia="lt-LT"/>
                  </w:rPr>
                  <w:t>0,7 procento (minimali įmokos suma 3 000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861738b7eb7a47cd82ce912bef48a4f8"/>
            <w:lock w:val="sdtLocked"/>
            <w:richText/>
          </w:sdtPr>
          <w:sdtContent>
            <w:p>
              <w:pPr>
                <w:tabs>
                  <w:tab w:val="left" w:pos="13608"/>
                </w:tabs>
                <w:ind w:firstLine="720"/>
                <w:jc w:val="both"/>
                <w:rPr>
                  <w:rFonts w:eastAsia="Calibri"/>
                  <w:sz w:val="22"/>
                  <w:szCs w:val="22"/>
                </w:rPr>
              </w:pPr>
              <w:sdt>
                <w:sdtPr>
                  <w:alias w:val="Numeris"/>
                  <w:tag w:val="nr_861738b7eb7a47cd82ce912bef48a4f8"/>
                  <w:lock w:val="sdtLocked"/>
                  <w:richText/>
                </w:sdtPr>
                <w:sdtContent>
                  <w:r>
                    <w:rPr>
                      <w:sz w:val="22"/>
                      <w:szCs w:val="22"/>
                    </w:rPr>
                    <w:t>12</w:t>
                  </w:r>
                </w:sdtContent>
              </w:sdt>
              <w:r>
                <w:rPr>
                  <w:sz w:val="22"/>
                  <w:szCs w:val="22"/>
                </w:rPr>
                <w:t xml:space="preserve">. 2013 m. birželio 26 d. Europos Parlamento ir Tarybos direktyva </w:t>
              </w:r>
              <w:hyperlink r:id="rId167" w:tgtFrame="_blank" w:history="1">
                <w:r>
                  <w:rPr>
                    <w:color w:val="0000FF" w:themeColor="hyperlink"/>
                    <w:sz w:val="22"/>
                    <w:szCs w:val="22"/>
                    <w:u w:val="single"/>
                  </w:rPr>
                  <w:t>2013/36/ES</w:t>
                </w:r>
              </w:hyperlink>
              <w:r>
                <w:rPr>
                  <w:sz w:val="22"/>
                  <w:szCs w:val="22"/>
                </w:rPr>
                <w:t xml:space="preserve"> dėl galimybės verstis kredito įstaigų veikla ir dėl riziką ribojančios kredito įstaigų ir investicinių įmonių priežiūros, kuria iš dalies keičiama Direktyva </w:t>
              </w:r>
              <w:hyperlink r:id="rId168" w:tgtFrame="_blank" w:history="1">
                <w:r>
                  <w:rPr>
                    <w:color w:val="0000FF" w:themeColor="hyperlink"/>
                    <w:sz w:val="22"/>
                    <w:szCs w:val="22"/>
                    <w:u w:val="single"/>
                  </w:rPr>
                  <w:t>2002/87/EB</w:t>
                </w:r>
              </w:hyperlink>
              <w:r>
                <w:rPr>
                  <w:sz w:val="22"/>
                  <w:szCs w:val="22"/>
                </w:rPr>
                <w:t xml:space="preserve"> ir panaikinamos direktyvos </w:t>
              </w:r>
              <w:hyperlink r:id="rId169" w:tgtFrame="_blank" w:history="1">
                <w:r>
                  <w:rPr>
                    <w:color w:val="0000FF" w:themeColor="hyperlink"/>
                    <w:sz w:val="22"/>
                    <w:szCs w:val="22"/>
                    <w:u w:val="single"/>
                  </w:rPr>
                  <w:t>2006/48/EB</w:t>
                </w:r>
              </w:hyperlink>
              <w:r>
                <w:rPr>
                  <w:sz w:val="22"/>
                  <w:szCs w:val="22"/>
                </w:rPr>
                <w:t xml:space="preserve"> bei </w:t>
              </w:r>
              <w:hyperlink r:id="rId170" w:tgtFrame="_blank" w:history="1">
                <w:r>
                  <w:rPr>
                    <w:color w:val="0000FF" w:themeColor="hyperlink"/>
                    <w:sz w:val="22"/>
                    <w:szCs w:val="22"/>
                    <w:u w:val="single"/>
                  </w:rPr>
                  <w:t>2006/49/EB</w:t>
                </w:r>
              </w:hyperlink>
              <w:r>
                <w:rPr>
                  <w:sz w:val="22"/>
                  <w:szCs w:val="22"/>
                </w:rPr>
                <w:t xml:space="preserve">, su paskutiniais pakeitimais, padarytais 2023 m. gegužės 31 d. Europos Parlamento ir Tarybos reglamentu </w:t>
              </w:r>
              <w:hyperlink r:id="rId171" w:tgtFrame="_blank" w:history="1">
                <w:r>
                  <w:rPr>
                    <w:color w:val="0000FF" w:themeColor="hyperlink"/>
                    <w:sz w:val="22"/>
                    <w:szCs w:val="22"/>
                    <w:u w:val="single"/>
                  </w:rPr>
                  <w:t>(ES) 2023/1114</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191"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192" w:tgtFrame="_blank" w:history="1">
                <w:r>
                  <w:rPr>
                    <w:color w:val="0000FF" w:themeColor="hyperlink"/>
                    <w:sz w:val="22"/>
                    <w:szCs w:val="22"/>
                    <w:u w:val="single"/>
                  </w:rPr>
                  <w:t>2008/48/EB</w:t>
                </w:r>
              </w:hyperlink>
              <w:r>
                <w:rPr>
                  <w:sz w:val="22"/>
                  <w:szCs w:val="22"/>
                </w:rPr>
                <w:t xml:space="preserve"> ir </w:t>
              </w:r>
              <w:hyperlink r:id="rId193" w:tgtFrame="_blank" w:history="1">
                <w:r>
                  <w:rPr>
                    <w:color w:val="0000FF" w:themeColor="hyperlink"/>
                    <w:sz w:val="22"/>
                    <w:szCs w:val="22"/>
                    <w:u w:val="single"/>
                  </w:rPr>
                  <w:t>2014/17/ES</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punktas"/>
            <w:tag w:val="part_2d79518cf2df490f91cea02c3b8cbd57"/>
            <w:lock w:val="sdtLocked"/>
            <w:richText/>
          </w:sdtPr>
          <w:sdtContent>
            <w:p>
              <w:pPr>
                <w:ind w:firstLine="720"/>
                <w:jc w:val="both"/>
                <w:rPr>
                  <w:sz w:val="22"/>
                  <w:szCs w:val="22"/>
                  <w:lang w:eastAsia="zh-CN"/>
                </w:rPr>
              </w:pPr>
              <w:sdt>
                <w:sdtPr>
                  <w:alias w:val="Numeris"/>
                  <w:tag w:val="nr_2d79518cf2df490f91cea02c3b8cbd57"/>
                  <w:lock w:val="sdtLocked"/>
                  <w:richText/>
                </w:sdtPr>
                <w:sdtContent>
                  <w:r>
                    <w:rPr>
                      <w:sz w:val="22"/>
                      <w:szCs w:val="22"/>
                      <w:lang w:eastAsia="zh-CN"/>
                    </w:rPr>
                    <w:t>23</w:t>
                  </w:r>
                  <w:r>
                    <w:rPr>
                      <w:sz w:val="22"/>
                      <w:szCs w:val="22"/>
                      <w:vertAlign w:val="superscript"/>
                      <w:lang w:eastAsia="zh-CN"/>
                    </w:rPr>
                    <w:t>1</w:t>
                  </w:r>
                </w:sdtContent>
              </w:sdt>
              <w:r>
                <w:rPr>
                  <w:sz w:val="22"/>
                  <w:szCs w:val="22"/>
                  <w:lang w:eastAsia="zh-CN"/>
                </w:rPr>
                <w:t xml:space="preserve">. 2022 m. gruodžio 14 d. Europos Parlamento ir Tarybos reglamentas </w:t>
              </w:r>
              <w:hyperlink r:id="rId197" w:tgtFrame="_blank" w:history="1">
                <w:r>
                  <w:rPr>
                    <w:color w:val="0000FF" w:themeColor="hyperlink"/>
                    <w:sz w:val="22"/>
                    <w:szCs w:val="22"/>
                    <w:u w:val="single"/>
                    <w:lang w:eastAsia="zh-CN"/>
                  </w:rPr>
                  <w:t>(ES) 2022/2554</w:t>
                </w:r>
              </w:hyperlink>
              <w:r>
                <w:rPr>
                  <w:sz w:val="22"/>
                  <w:szCs w:val="22"/>
                  <w:lang w:eastAsia="zh-CN"/>
                </w:rPr>
                <w:t xml:space="preserve"> dėl skaitmeninės veiklos atsparumo finansų sektoriuje, kuriuo iš dalies keičiami reglamentai </w:t>
              </w:r>
              <w:hyperlink r:id="rId198" w:tgtFrame="_blank" w:history="1">
                <w:r>
                  <w:rPr>
                    <w:color w:val="0000FF" w:themeColor="hyperlink"/>
                    <w:sz w:val="22"/>
                    <w:szCs w:val="22"/>
                    <w:u w:val="single"/>
                    <w:lang w:eastAsia="zh-CN"/>
                  </w:rPr>
                  <w:t>(EB) Nr. 1060/2009</w:t>
                </w:r>
              </w:hyperlink>
              <w:r>
                <w:rPr>
                  <w:sz w:val="22"/>
                  <w:szCs w:val="22"/>
                  <w:lang w:eastAsia="zh-CN"/>
                </w:rPr>
                <w:t xml:space="preserve">, </w:t>
              </w:r>
              <w:hyperlink r:id="rId199" w:tgtFrame="_blank" w:history="1">
                <w:r>
                  <w:rPr>
                    <w:color w:val="0000FF" w:themeColor="hyperlink"/>
                    <w:sz w:val="22"/>
                    <w:szCs w:val="22"/>
                    <w:u w:val="single"/>
                    <w:lang w:eastAsia="zh-CN"/>
                  </w:rPr>
                  <w:t>(ES) Nr. 648/2012</w:t>
                </w:r>
              </w:hyperlink>
              <w:r>
                <w:rPr>
                  <w:sz w:val="22"/>
                  <w:szCs w:val="22"/>
                  <w:lang w:eastAsia="zh-CN"/>
                </w:rPr>
                <w:t xml:space="preserve">, </w:t>
              </w:r>
              <w:hyperlink r:id="rId200" w:tgtFrame="_blank" w:history="1">
                <w:r>
                  <w:rPr>
                    <w:color w:val="0000FF" w:themeColor="hyperlink"/>
                    <w:sz w:val="22"/>
                    <w:szCs w:val="22"/>
                    <w:u w:val="single"/>
                    <w:lang w:eastAsia="zh-CN"/>
                  </w:rPr>
                  <w:t>(ES) Nr. 600/2014</w:t>
                </w:r>
              </w:hyperlink>
              <w:r>
                <w:rPr>
                  <w:sz w:val="22"/>
                  <w:szCs w:val="22"/>
                  <w:lang w:eastAsia="zh-CN"/>
                </w:rPr>
                <w:t xml:space="preserve">, </w:t>
              </w:r>
              <w:hyperlink r:id="rId201" w:tgtFrame="_blank" w:history="1">
                <w:r>
                  <w:rPr>
                    <w:color w:val="0000FF" w:themeColor="hyperlink"/>
                    <w:sz w:val="22"/>
                    <w:szCs w:val="22"/>
                    <w:u w:val="single"/>
                    <w:lang w:eastAsia="zh-CN"/>
                  </w:rPr>
                  <w:t>(ES) Nr. 909/2014</w:t>
                </w:r>
              </w:hyperlink>
              <w:r>
                <w:rPr>
                  <w:sz w:val="22"/>
                  <w:szCs w:val="22"/>
                  <w:lang w:eastAsia="zh-CN"/>
                </w:rPr>
                <w:t xml:space="preserve"> ir </w:t>
              </w:r>
              <w:hyperlink r:id="rId202" w:tgtFrame="_blank" w:history="1">
                <w:r>
                  <w:rPr>
                    <w:color w:val="0000FF" w:themeColor="hyperlink"/>
                    <w:sz w:val="22"/>
                    <w:szCs w:val="22"/>
                    <w:u w:val="single"/>
                    <w:lang w:eastAsia="zh-CN"/>
                  </w:rPr>
                  <w:t>(ES) 2016/1011</w:t>
                </w:r>
              </w:hyperlink>
              <w:r>
                <w:rPr>
                  <w:sz w:val="22"/>
                  <w:szCs w:val="22"/>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185"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186" w:tgtFrame="_blank" w:history="1">
                <w:r>
                  <w:rPr>
                    <w:color w:val="0000FF" w:themeColor="hyperlink"/>
                    <w:sz w:val="22"/>
                    <w:szCs w:val="22"/>
                    <w:u w:val="single"/>
                  </w:rPr>
                  <w:t>(ES) Nr. 1093/2010</w:t>
                </w:r>
              </w:hyperlink>
              <w:r>
                <w:rPr>
                  <w:sz w:val="22"/>
                  <w:szCs w:val="22"/>
                </w:rPr>
                <w:t xml:space="preserve"> bei </w:t>
              </w:r>
              <w:hyperlink r:id="rId187" w:tgtFrame="_blank" w:history="1">
                <w:r>
                  <w:rPr>
                    <w:color w:val="0000FF" w:themeColor="hyperlink"/>
                    <w:sz w:val="22"/>
                    <w:szCs w:val="22"/>
                    <w:u w:val="single"/>
                  </w:rPr>
                  <w:t>(ES) Nr. 1095/2010</w:t>
                </w:r>
              </w:hyperlink>
              <w:r>
                <w:rPr>
                  <w:sz w:val="22"/>
                  <w:szCs w:val="22"/>
                </w:rPr>
                <w:t xml:space="preserve"> ir direktyvos </w:t>
              </w:r>
              <w:hyperlink r:id="rId188" w:tgtFrame="_blank" w:history="1">
                <w:r>
                  <w:rPr>
                    <w:color w:val="0000FF" w:themeColor="hyperlink"/>
                    <w:sz w:val="22"/>
                    <w:szCs w:val="22"/>
                    <w:u w:val="single"/>
                  </w:rPr>
                  <w:t>2013/36/ES</w:t>
                </w:r>
              </w:hyperlink>
              <w:r>
                <w:rPr>
                  <w:sz w:val="22"/>
                  <w:szCs w:val="22"/>
                </w:rPr>
                <w:t xml:space="preserve"> bei </w:t>
              </w:r>
              <w:hyperlink r:id="rId189"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190" w:tgtFrame="_blank" w:history="1">
                <w:r>
                  <w:rPr>
                    <w:color w:val="0000FF" w:themeColor="hyperlink"/>
                    <w:sz w:val="22"/>
                    <w:szCs w:val="22"/>
                    <w:u w:val="single"/>
                  </w:rPr>
                  <w:t>(ES) 2023/2869</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25 p."/>
            <w:tag w:val="part_4c30b226760c4686ac26f079d5e37688"/>
            <w:lock w:val="sdtLocked"/>
            <w:richText/>
          </w:sdtPr>
          <w:sdtContent>
            <w:p>
              <w:pPr>
                <w:tabs>
                  <w:tab w:val="left" w:pos="1134"/>
                </w:tabs>
                <w:ind w:firstLine="720"/>
                <w:jc w:val="both"/>
                <w:rPr>
                  <w:sz w:val="22"/>
                  <w:szCs w:val="22"/>
                </w:rPr>
              </w:pPr>
              <w:sdt>
                <w:sdtPr>
                  <w:alias w:val="Numeris"/>
                  <w:tag w:val="nr_4c30b226760c4686ac26f079d5e37688"/>
                  <w:lock w:val="sdtLocked"/>
                  <w:richText/>
                </w:sdtPr>
                <w:sdtContent>
                  <w:r>
                    <w:rPr>
                      <w:sz w:val="22"/>
                      <w:szCs w:val="22"/>
                    </w:rPr>
                    <w:t>25</w:t>
                  </w:r>
                </w:sdtContent>
              </w:sdt>
              <w:r>
                <w:rPr>
                  <w:sz w:val="22"/>
                  <w:szCs w:val="22"/>
                </w:rPr>
                <w:t xml:space="preserve">. 2024 m. gegužės 31 d. Europos Parlamento ir Tarybos reglamentas </w:t>
              </w:r>
              <w:hyperlink r:id="rId204" w:tgtFrame="_blank" w:history="1">
                <w:r>
                  <w:rPr>
                    <w:color w:val="0000FF" w:themeColor="hyperlink"/>
                    <w:sz w:val="22"/>
                    <w:szCs w:val="22"/>
                    <w:u w:val="single"/>
                  </w:rPr>
                  <w:t>(ES) 2024/1620</w:t>
                </w:r>
              </w:hyperlink>
              <w:r>
                <w:rPr>
                  <w:sz w:val="22"/>
                  <w:szCs w:val="22"/>
                </w:rPr>
                <w:t xml:space="preserve">, kuriuo įsteigiama Kovos su pinigų plovimu ir teroristų finansavimu institucija ir iš dalies keičiami reglamentai </w:t>
              </w:r>
              <w:hyperlink r:id="rId205" w:tgtFrame="_blank" w:history="1">
                <w:r>
                  <w:rPr>
                    <w:color w:val="0000FF" w:themeColor="hyperlink"/>
                    <w:sz w:val="22"/>
                    <w:szCs w:val="22"/>
                    <w:u w:val="single"/>
                  </w:rPr>
                  <w:t>(ES) Nr. 1093/2010</w:t>
                </w:r>
              </w:hyperlink>
              <w:r>
                <w:rPr>
                  <w:sz w:val="22"/>
                  <w:szCs w:val="22"/>
                </w:rPr>
                <w:t xml:space="preserve">, </w:t>
              </w:r>
              <w:hyperlink r:id="rId206" w:tgtFrame="_blank" w:history="1">
                <w:r>
                  <w:rPr>
                    <w:color w:val="0000FF" w:themeColor="hyperlink"/>
                    <w:sz w:val="22"/>
                    <w:szCs w:val="22"/>
                    <w:u w:val="single"/>
                  </w:rPr>
                  <w:t>(ES) Nr. 1094/2010</w:t>
                </w:r>
              </w:hyperlink>
              <w:r>
                <w:rPr>
                  <w:sz w:val="22"/>
                  <w:szCs w:val="22"/>
                </w:rPr>
                <w:t xml:space="preserve"> ir </w:t>
              </w:r>
              <w:hyperlink r:id="rId207" w:tgtFrame="_blank" w:history="1">
                <w:r>
                  <w:rPr>
                    <w:color w:val="0000FF" w:themeColor="hyperlink"/>
                    <w:sz w:val="22"/>
                    <w:szCs w:val="22"/>
                    <w:u w:val="single"/>
                  </w:rPr>
                  <w:t>(ES) Nr. 1095/2010</w:t>
                </w:r>
              </w:hyperlink>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5"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8"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1" w:history="1">
            <w:r>
              <w:rPr>
                <w:rStyle w:val="Hipersaitas"/>
                <w:sz w:val="20"/>
              </w:rPr>
              <w:t>89-2741</w:t>
            </w:r>
          </w:hyperlink>
          <w:r>
            <w:rPr>
              <w:sz w:val="20"/>
            </w:rPr>
            <w:t xml:space="preserve">) ir Lietuvos Respublikos baudžiamojo proceso kodeksu (Žin., 2002, Nr. </w:t>
          </w:r>
          <w:hyperlink r:id="rId132"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3"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9"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0"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7"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16a3c01b3a11eeb233e8b04dc9bb3d">
            <w:r w:rsidRPr="00532B9F">
              <w:rPr>
                <w:rFonts w:ascii="Times New Roman" w:eastAsia="MS Mincho" w:hAnsi="Times New Roman"/>
                <w:sz w:val="20"/>
                <w:iCs/>
                <w:color w:val="0000FF" w:themeColor="hyperlink"/>
                <w:u w:val="single"/>
              </w:rPr>
              <w:t>XIV-2143</w:t>
            </w:r>
          </w:fldSimple>
          <w:r>
            <w:rPr>
              <w:rFonts w:ascii="Times New Roman" w:eastAsia="MS Mincho" w:hAnsi="Times New Roman"/>
              <w:sz w:val="20"/>
              <w:iCs/>
            </w:rPr>
            <w:t>,
2023-06-29,
paskelbta TAR 2023-07-05, i. k. 2023-14039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06f40499d11efbdaea558de59136c">
            <w:r w:rsidRPr="00532B9F">
              <w:rPr>
                <w:rFonts w:ascii="Times New Roman" w:eastAsia="MS Mincho" w:hAnsi="Times New Roman"/>
                <w:sz w:val="20"/>
                <w:iCs/>
                <w:color w:val="0000FF" w:themeColor="hyperlink"/>
                <w:u w:val="single"/>
              </w:rPr>
              <w:t>XIV-2880</w:t>
            </w:r>
          </w:fldSimple>
          <w:r>
            <w:rPr>
              <w:rFonts w:ascii="Times New Roman" w:eastAsia="MS Mincho" w:hAnsi="Times New Roman"/>
              <w:sz w:val="20"/>
              <w:iCs/>
            </w:rPr>
            <w:t>,
2024-07-11,
paskelbta TAR 2024-07-24, i. k. 2024-13490                </w:t>
          </w:r>
        </w:p>
        <w:p>
          <w:pPr>
            <w:jc w:val="both"/>
            <w:rPr>
              <w:rFonts w:ascii="Times New Roman" w:hAnsi="Times New Roman"/>
            </w:rPr>
          </w:pPr>
          <w:r>
            <w:rPr>
              <w:rFonts w:ascii="Times New Roman" w:hAnsi="Times New Roman"/>
              <w:sz w:val="20"/>
            </w:rPr>
            <w:t>Lietuvos Respublikos Lietuvos banko įstatymo Nr. I-678 42, 43-7, 47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0998302ed411efbdaea558de59136c">
            <w:r w:rsidRPr="00532B9F">
              <w:rPr>
                <w:rFonts w:ascii="Times New Roman" w:eastAsia="MS Mincho" w:hAnsi="Times New Roman"/>
                <w:sz w:val="20"/>
                <w:iCs/>
                <w:color w:val="0000FF" w:themeColor="hyperlink"/>
                <w:u w:val="single"/>
              </w:rPr>
              <w:t>XIV-2717</w:t>
            </w:r>
          </w:fldSimple>
          <w:r>
            <w:rPr>
              <w:rFonts w:ascii="Times New Roman" w:eastAsia="MS Mincho" w:hAnsi="Times New Roman"/>
              <w:sz w:val="20"/>
              <w:iCs/>
            </w:rPr>
            <w:t>,
2024-06-13,
paskelbta TAR 2024-06-20, i. k. 2024-11240                </w:t>
          </w:r>
        </w:p>
        <w:p>
          <w:pPr>
            <w:jc w:val="both"/>
            <w:rPr>
              <w:rFonts w:ascii="Times New Roman" w:hAnsi="Times New Roman"/>
            </w:rPr>
          </w:pPr>
          <w:r>
            <w:rPr>
              <w:rFonts w:ascii="Times New Roman" w:hAnsi="Times New Roman"/>
              <w:sz w:val="20"/>
            </w:rPr>
            <w:t>Lietuvos Respublikos Lietuvos banko įstatymo Nr. I-678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a077d02ed511efbdaea558de59136c">
            <w:r w:rsidRPr="00532B9F">
              <w:rPr>
                <w:rFonts w:ascii="Times New Roman" w:eastAsia="MS Mincho" w:hAnsi="Times New Roman"/>
                <w:sz w:val="20"/>
                <w:iCs/>
                <w:color w:val="0000FF" w:themeColor="hyperlink"/>
                <w:u w:val="single"/>
              </w:rPr>
              <w:t>XIV-2721</w:t>
            </w:r>
          </w:fldSimple>
          <w:r>
            <w:rPr>
              <w:rFonts w:ascii="Times New Roman" w:eastAsia="MS Mincho" w:hAnsi="Times New Roman"/>
              <w:sz w:val="20"/>
              <w:iCs/>
            </w:rPr>
            <w:t>,
2024-06-13,
paskelbta TAR 2024-06-20, i. k. 2024-11244                </w:t>
          </w:r>
        </w:p>
        <w:p>
          <w:pPr>
            <w:jc w:val="both"/>
            <w:rPr>
              <w:rFonts w:ascii="Times New Roman" w:hAnsi="Times New Roman"/>
            </w:rPr>
          </w:pPr>
          <w:r>
            <w:rPr>
              <w:rFonts w:ascii="Times New Roman" w:hAnsi="Times New Roman"/>
              <w:sz w:val="20"/>
            </w:rPr>
            <w:t>Lietuvos Respublikos Lietuvos banko įstatymo Nr. I-678 43-3, 43-6, 43-7, 47-7 straipsnių pakeitimo ir Įstatymo papildymo 43-4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4532016c011f08fdabd4950271e2c">
            <w:r w:rsidRPr="00532B9F">
              <w:rPr>
                <w:rFonts w:ascii="Times New Roman" w:eastAsia="MS Mincho" w:hAnsi="Times New Roman"/>
                <w:sz w:val="20"/>
                <w:iCs/>
                <w:color w:val="0000FF" w:themeColor="hyperlink"/>
                <w:u w:val="single"/>
              </w:rPr>
              <w:t>XV-153</w:t>
            </w:r>
          </w:fldSimple>
          <w:r>
            <w:rPr>
              <w:rFonts w:ascii="Times New Roman" w:eastAsia="MS Mincho" w:hAnsi="Times New Roman"/>
              <w:sz w:val="20"/>
              <w:iCs/>
            </w:rPr>
            <w:t>,
2025-04-10,
paskelbta TAR 2025-04-11, i. k. 2025-06427                </w:t>
          </w:r>
        </w:p>
        <w:p>
          <w:pPr>
            <w:jc w:val="both"/>
            <w:rPr>
              <w:rFonts w:ascii="Times New Roman" w:hAnsi="Times New Roman"/>
            </w:rPr>
          </w:pPr>
          <w:r>
            <w:rPr>
              <w:rFonts w:ascii="Times New Roman" w:hAnsi="Times New Roman"/>
              <w:sz w:val="20"/>
            </w:rPr>
            <w:t>Lietuvos Respublikos Lietuvos banko įstatymo Nr. I-678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b1cd6255bf11f0b070ee7f1ceefc75">
            <w:r w:rsidRPr="00532B9F">
              <w:rPr>
                <w:rFonts w:ascii="Times New Roman" w:eastAsia="MS Mincho" w:hAnsi="Times New Roman"/>
                <w:sz w:val="20"/>
                <w:iCs/>
                <w:color w:val="0000FF" w:themeColor="hyperlink"/>
                <w:u w:val="single"/>
              </w:rPr>
              <w:t>XV-293</w:t>
            </w:r>
          </w:fldSimple>
          <w:r>
            <w:rPr>
              <w:rFonts w:ascii="Times New Roman" w:eastAsia="MS Mincho" w:hAnsi="Times New Roman"/>
              <w:sz w:val="20"/>
              <w:iCs/>
            </w:rPr>
            <w:t>,
2025-06-19,
paskelbta TAR 2025-06-30, i. k. 2025-11961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84b0c055c511f0b070ee7f1ceefc75">
            <w:r w:rsidRPr="00532B9F">
              <w:rPr>
                <w:rFonts w:ascii="Times New Roman" w:eastAsia="MS Mincho" w:hAnsi="Times New Roman"/>
                <w:sz w:val="20"/>
                <w:iCs/>
                <w:color w:val="0000FF" w:themeColor="hyperlink"/>
                <w:u w:val="single"/>
              </w:rPr>
              <w:t>XV-327</w:t>
            </w:r>
          </w:fldSimple>
          <w:r>
            <w:rPr>
              <w:rFonts w:ascii="Times New Roman" w:eastAsia="MS Mincho" w:hAnsi="Times New Roman"/>
              <w:sz w:val="20"/>
              <w:iCs/>
            </w:rPr>
            <w:t>,
2025-06-25,
paskelbta TAR 2025-06-30, i. k. 2025-11987                </w:t>
          </w:r>
        </w:p>
        <w:p>
          <w:pPr>
            <w:jc w:val="both"/>
            <w:rPr>
              <w:rFonts w:ascii="Times New Roman" w:hAnsi="Times New Roman"/>
            </w:rPr>
          </w:pPr>
          <w:r>
            <w:rPr>
              <w:rFonts w:ascii="Times New Roman" w:hAnsi="Times New Roman"/>
              <w:sz w:val="20"/>
            </w:rPr>
            <w:t>Lietuvos Respublikos Lietuvos banko įstatymo Nr. I-678 8, 11, 42, 43, 46 straipsnių ir 3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241354"/>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227304&amp;b="/>
  <Relationship Id="rId103" Type="http://schemas.openxmlformats.org/officeDocument/2006/relationships/hyperlink" TargetMode="External" Target="http://www3.lrs.lt/cgi-bin/preps2?a=274804&amp;b="/>
  <Relationship Id="rId104" Type="http://schemas.openxmlformats.org/officeDocument/2006/relationships/hyperlink" TargetMode="External" Target="http://www3.lrs.lt/cgi-bin/preps2?a=396599&amp;b="/>
  <Relationship Id="rId105" Type="http://schemas.openxmlformats.org/officeDocument/2006/relationships/hyperlink" TargetMode="External" Target="http://www3.lrs.lt/cgi-bin/preps2?a=396597&amp;b="/>
  <Relationship Id="rId106" Type="http://schemas.openxmlformats.org/officeDocument/2006/relationships/hyperlink" TargetMode="External" Target="http://www3.lrs.lt/cgi-bin/preps2?a=227304&amp;b="/>
  <Relationship Id="rId107" Type="http://schemas.openxmlformats.org/officeDocument/2006/relationships/hyperlink" TargetMode="External" Target="http://www3.lrs.lt/cgi-bin/preps2?a=274804&amp;b="/>
  <Relationship Id="rId108" Type="http://schemas.openxmlformats.org/officeDocument/2006/relationships/hyperlink" TargetMode="External" Target="http://www3.lrs.lt/cgi-bin/preps2?a=396599&amp;b="/>
  <Relationship Id="rId109" Type="http://schemas.openxmlformats.org/officeDocument/2006/relationships/hyperlink" TargetMode="External" Target="http://www3.lrs.lt/cgi-bin/preps2?a=396597&amp;b="/>
  <Relationship Id="rId11" Type="http://schemas.openxmlformats.org/officeDocument/2006/relationships/webSettings" Target="webSettings.xml"/>
  <Relationship Id="rId110" Type="http://schemas.openxmlformats.org/officeDocument/2006/relationships/hyperlink" TargetMode="External" Target="http://www3.lrs.lt/cgi-bin/preps2?a=412373&amp;b="/>
  <Relationship Id="rId111" Type="http://schemas.openxmlformats.org/officeDocument/2006/relationships/hyperlink" TargetMode="External" Target="http://www3.lrs.lt/cgi-bin/preps2?a=213881&amp;b="/>
  <Relationship Id="rId112" Type="http://schemas.openxmlformats.org/officeDocument/2006/relationships/hyperlink" TargetMode="External" Target="http://www3.lrs.lt/cgi-bin/preps2?a=231828&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469641&amp;b="/>
  <Relationship Id="rId116" Type="http://schemas.openxmlformats.org/officeDocument/2006/relationships/hyperlink" TargetMode="External" Target="http://www3.lrs.lt/cgi-bin/preps2?a=227304&amp;b="/>
  <Relationship Id="rId117" Type="http://schemas.openxmlformats.org/officeDocument/2006/relationships/hyperlink" TargetMode="External" Target="http://www3.lrs.lt/cgi-bin/preps2?a=274804&amp;b="/>
  <Relationship Id="rId118" Type="http://schemas.openxmlformats.org/officeDocument/2006/relationships/hyperlink" TargetMode="External" Target="http://www3.lrs.lt/cgi-bin/preps2?a=231829&amp;b="/>
  <Relationship Id="rId119" Type="http://schemas.openxmlformats.org/officeDocument/2006/relationships/header" Target="header76.xml"/>
  <Relationship Id="rId12" Type="http://schemas.openxmlformats.org/officeDocument/2006/relationships/hyperlink" TargetMode="External" Target="http://www3.lrs.lt/cgi-bin/preps2?Condition1=128873&amp;Condition2="/>
  <Relationship Id="rId120" Type="http://schemas.openxmlformats.org/officeDocument/2006/relationships/header" Target="header77.xml"/>
  <Relationship Id="rId121" Type="http://schemas.openxmlformats.org/officeDocument/2006/relationships/footer" Target="footer76.xml"/>
  <Relationship Id="rId122" Type="http://schemas.openxmlformats.org/officeDocument/2006/relationships/footer" Target="footer77.xml"/>
  <Relationship Id="rId123" Type="http://schemas.openxmlformats.org/officeDocument/2006/relationships/header" Target="header78.xml"/>
  <Relationship Id="rId124" Type="http://schemas.openxmlformats.org/officeDocument/2006/relationships/footer" Target="footer78.xml"/>
  <Relationship Id="rId125" Type="http://schemas.openxmlformats.org/officeDocument/2006/relationships/hyperlink" TargetMode="External" Target="http://www3.lrs.lt/cgi-bin/preps2?Condition1=26025&amp;Condition2="/>
  <Relationship Id="rId126" Type="http://schemas.openxmlformats.org/officeDocument/2006/relationships/hyperlink" TargetMode="External" Target="http://www3.lrs.lt/cgi-bin/preps2?Condition1=37819&amp;Condition2="/>
  <Relationship Id="rId127" Type="http://schemas.openxmlformats.org/officeDocument/2006/relationships/hyperlink" TargetMode="External" Target="http://www3.lrs.lt/cgi-bin/preps2?Condition1=41676&amp;Condition2="/>
  <Relationship Id="rId128" Type="http://schemas.openxmlformats.org/officeDocument/2006/relationships/hyperlink" TargetMode="External" Target="http://www3.lrs.lt/cgi-bin/preps2?Condition1=128873&amp;Condition2="/>
  <Relationship Id="rId129" Type="http://schemas.openxmlformats.org/officeDocument/2006/relationships/hyperlink" TargetMode="External" Target="http://www3.lrs.lt/cgi-bin/preps2?a=206757&amp;b="/>
  <Relationship Id="rId13" Type="http://schemas.openxmlformats.org/officeDocument/2006/relationships/hyperlink" TargetMode="External" Target="http://www3.lrs.lt/cgi-bin/preps2?a=227304&amp;b="/>
  <Relationship Id="rId130" Type="http://schemas.openxmlformats.org/officeDocument/2006/relationships/hyperlink" TargetMode="External" Target="http://www3.lrs.lt/cgi-bin/preps2?a=209663&amp;b="/>
  <Relationship Id="rId131" Type="http://schemas.openxmlformats.org/officeDocument/2006/relationships/hyperlink" TargetMode="External" Target="http://www3.lrs.lt/cgi-bin/preps2?a=111555&amp;b="/>
  <Relationship Id="rId132" Type="http://schemas.openxmlformats.org/officeDocument/2006/relationships/hyperlink" TargetMode="External" Target="http://www3.lrs.lt/cgi-bin/preps2?a=163482&amp;b="/>
  <Relationship Id="rId133" Type="http://schemas.openxmlformats.org/officeDocument/2006/relationships/hyperlink" TargetMode="External" Target="http://www3.lrs.lt/cgi-bin/preps2?a=213881&amp;b="/>
  <Relationship Id="rId134" Type="http://schemas.openxmlformats.org/officeDocument/2006/relationships/hyperlink" TargetMode="External" Target="http://www3.lrs.lt/cgi-bin/preps2?a=227304&amp;b="/>
  <Relationship Id="rId135" Type="http://schemas.openxmlformats.org/officeDocument/2006/relationships/hyperlink" TargetMode="External" Target="http://www3.lrs.lt/cgi-bin/preps2?a=230454&amp;b="/>
  <Relationship Id="rId136" Type="http://schemas.openxmlformats.org/officeDocument/2006/relationships/hyperlink" TargetMode="External" Target="http://www3.lrs.lt/cgi-bin/preps2?a=231828&amp;b="/>
  <Relationship Id="rId137" Type="http://schemas.openxmlformats.org/officeDocument/2006/relationships/hyperlink" TargetMode="External" Target="http://www3.lrs.lt/cgi-bin/preps2?a=231829&amp;b="/>
  <Relationship Id="rId138" Type="http://schemas.openxmlformats.org/officeDocument/2006/relationships/hyperlink" TargetMode="External" Target="http://www3.lrs.lt/cgi-bin/preps2?a=274804&amp;b="/>
  <Relationship Id="rId139" Type="http://schemas.openxmlformats.org/officeDocument/2006/relationships/hyperlink" TargetMode="External" Target="http://www3.lrs.lt/cgi-bin/preps2?a=361205&amp;b="/>
  <Relationship Id="rId14" Type="http://schemas.openxmlformats.org/officeDocument/2006/relationships/hyperlink" TargetMode="External" Target="http://www3.lrs.lt/cgi-bin/preps2?a=274804&amp;b="/>
  <Relationship Id="rId140" Type="http://schemas.openxmlformats.org/officeDocument/2006/relationships/hyperlink" TargetMode="External" Target="http://www3.lrs.lt/cgi-bin/preps2?a=396599&amp;b="/>
  <Relationship Id="rId141" Type="http://schemas.openxmlformats.org/officeDocument/2006/relationships/hyperlink" TargetMode="External" Target="http://www3.lrs.lt/cgi-bin/preps2?a=412356&amp;b="/>
  <Relationship Id="rId142" Type="http://schemas.openxmlformats.org/officeDocument/2006/relationships/hyperlink" TargetMode="External" Target="http://www3.lrs.lt/cgi-bin/preps2?a=464959&amp;b="/>
  <Relationship Id="rId143" Type="http://schemas.openxmlformats.org/officeDocument/2006/relationships/hyperlink" TargetMode="External" Target="http://www3.lrs.lt/cgi-bin/preps2?a=469641&amp;b="/>
  <Relationship Id="rId144" Type="http://schemas.openxmlformats.org/officeDocument/2006/relationships/hyperlink" TargetMode="External" Target="http://www3.lrs.lt/cgi-bin/preps2?a=478702&amp;b="/>
  <Relationship Id="rId145" Type="http://schemas.openxmlformats.org/officeDocument/2006/relationships/hyperlink" TargetMode="External" Target="http://www3.lrs.lt/cgi-bin/preps2?a=340369&amp;b="/>
  <Relationship Id="rId146" Type="http://schemas.openxmlformats.org/officeDocument/2006/relationships/hyperlink" TargetMode="External" Target="http://www3.lrs.lt/cgi-bin/preps2?a=359889&amp;b="/>
  <Relationship Id="rId147" Type="http://schemas.openxmlformats.org/officeDocument/2006/relationships/hyperlink" TargetMode="External" Target="http://www3.lrs.lt/cgi-bin/preps2?a=361206&amp;b="/>
  <Relationship Id="rId148" Type="http://schemas.openxmlformats.org/officeDocument/2006/relationships/hyperlink" TargetMode="External" Target="http://www3.lrs.lt/cgi-bin/preps2?a=386459&amp;b="/>
  <Relationship Id="rId149" Type="http://schemas.openxmlformats.org/officeDocument/2006/relationships/hyperlink" TargetMode="External" Target="http://www3.lrs.lt/cgi-bin/preps2?a=396597&amp;b="/>
  <Relationship Id="rId15" Type="http://schemas.openxmlformats.org/officeDocument/2006/relationships/hyperlink" TargetMode="External" Target="http://www3.lrs.lt/cgi-bin/preps2?a=464959&amp;b="/>
  <Relationship Id="rId150" Type="http://schemas.openxmlformats.org/officeDocument/2006/relationships/hyperlink" TargetMode="External" Target="http://www3.lrs.lt/cgi-bin/preps2?a=412373&amp;b="/>
  <Relationship Id="rId151" Type="http://schemas.openxmlformats.org/officeDocument/2006/relationships/hyperlink" TargetMode="External" Target="http://www3.lrs.lt/cgi-bin/preps2?a=415118&amp;b="/>
  <Relationship Id="rId152" Type="http://schemas.openxmlformats.org/officeDocument/2006/relationships/hyperlink" TargetMode="External" Target="http://www3.lrs.lt/cgi-bin/preps2?a=464957&amp;b="/>
  <Relationship Id="rId153" Type="http://schemas.openxmlformats.org/officeDocument/2006/relationships/hyperlink" TargetMode="External" Target="http://www3.lrs.lt/cgi-bin/preps2?a=478691&amp;b="/>
  <Relationship Id="rId154" Type="http://schemas.openxmlformats.org/officeDocument/2006/relationships/hyperlink" TargetMode="External" Target="http://www3.lrs.lt/cgi-bin/preps2?a=412373&amp;b="/>
  <Relationship Id="rId155" Type="http://schemas.openxmlformats.org/officeDocument/2006/relationships/hyperlink" TargetMode="External" Target="http://www3.lrs.lt/cgi-bin/preps2?a=274804&amp;b="/>
  <Relationship Id="rId156" Type="http://schemas.openxmlformats.org/officeDocument/2006/relationships/hyperlink" TargetMode="External" Target="http://www3.lrs.lt/cgi-bin/preps2?a=478702&amp;b="/>
  <Relationship Id="rId157" Type="http://schemas.openxmlformats.org/officeDocument/2006/relationships/hyperlink" TargetMode="External" Target="http://eur-lex.europa.eu/legal-content/LIT/TXT/?uri=CELEX:32013R1024&amp;locale=lt"/>
  <Relationship Id="rId158" Type="http://schemas.openxmlformats.org/officeDocument/2006/relationships/hyperlink" TargetMode="External" Target="http://eur-lex.europa.eu/legal-content/LIT/TXT/?uri=CELEX:32024R1620&amp;locale=lt"/>
  <Relationship Id="rId159" Type="http://schemas.openxmlformats.org/officeDocument/2006/relationships/hyperlink" TargetMode="External" Target="http://www3.lrs.lt/cgi-bin/preps2?a=230454&amp;b="/>
  <Relationship Id="rId16" Type="http://schemas.openxmlformats.org/officeDocument/2006/relationships/hyperlink" TargetMode="External" Target="http://www3.lrs.lt/cgi-bin/preps2?a=464957&amp;b="/>
  <Relationship Id="rId160" Type="http://schemas.openxmlformats.org/officeDocument/2006/relationships/hyperlink" TargetMode="External" Target="http://www3.lrs.lt/cgi-bin/preps2?a=361206&amp;b="/>
  <Relationship Id="rId161" Type="http://schemas.openxmlformats.org/officeDocument/2006/relationships/hyperlink" TargetMode="External" Target="http://www3.lrs.lt/cgi-bin/preps2?a=412373&amp;b="/>
  <Relationship Id="rId162" Type="http://schemas.openxmlformats.org/officeDocument/2006/relationships/hyperlink" TargetMode="External" Target="http://www3.lrs.lt/cgi-bin/preps2?a=478691&amp;b="/>
  <Relationship Id="rId163" Type="http://schemas.openxmlformats.org/officeDocument/2006/relationships/hyperlink" TargetMode="External" Target="http://www3.lrs.lt/cgi-bin/preps2?a=230454&amp;b="/>
  <Relationship Id="rId164" Type="http://schemas.openxmlformats.org/officeDocument/2006/relationships/hyperlink" TargetMode="External" Target="http://www3.lrs.lt/cgi-bin/preps2?a=361206&amp;b="/>
  <Relationship Id="rId165" Type="http://schemas.openxmlformats.org/officeDocument/2006/relationships/hyperlink" TargetMode="External" Target="http://www3.lrs.lt/cgi-bin/preps2?a=412373&amp;b="/>
  <Relationship Id="rId166" Type="http://schemas.openxmlformats.org/officeDocument/2006/relationships/hyperlink" TargetMode="External" Target="http://www3.lrs.lt/cgi-bin/preps2?a=274804&amp;b="/>
  <Relationship Id="rId167" Type="http://schemas.openxmlformats.org/officeDocument/2006/relationships/hyperlink" TargetMode="External" Target="http://eur-lex.europa.eu/legal-content/LIT/TXT/?uri=CELEX:32013L0036&amp;locale=lt"/>
  <Relationship Id="rId168" Type="http://schemas.openxmlformats.org/officeDocument/2006/relationships/hyperlink" TargetMode="External" Target="http://eur-lex.europa.eu/legal-content/LIT/TXT/?uri=CELEX:32002L0087&amp;locale=lt"/>
  <Relationship Id="rId169" Type="http://schemas.openxmlformats.org/officeDocument/2006/relationships/hyperlink" TargetMode="External" Target="http://eur-lex.europa.eu/legal-content/LIT/TXT/?uri=CELEX:32006L0048&amp;locale=lt"/>
  <Relationship Id="rId17" Type="http://schemas.openxmlformats.org/officeDocument/2006/relationships/hyperlink" TargetMode="External" Target="http://www3.lrs.lt/cgi-bin/preps2?a=227304&amp;b="/>
  <Relationship Id="rId170" Type="http://schemas.openxmlformats.org/officeDocument/2006/relationships/hyperlink" TargetMode="External" Target="http://eur-lex.europa.eu/legal-content/LIT/TXT/?uri=CELEX:32006L0049&amp;locale=lt"/>
  <Relationship Id="rId171" Type="http://schemas.openxmlformats.org/officeDocument/2006/relationships/hyperlink" TargetMode="External" Target="http://eur-lex.europa.eu/legal-content/LIT/TXT/?uri=CELEX:32023R1114&amp;locale=lt"/>
  <Relationship Id="rId172" Type="http://schemas.openxmlformats.org/officeDocument/2006/relationships/hyperlink" TargetMode="External" Target="http://eur-lex.europa.eu/legal-content/LIT/TXT/?uri=CELEX:32013R0575&amp;locale=lt"/>
  <Relationship Id="rId173" Type="http://schemas.openxmlformats.org/officeDocument/2006/relationships/hyperlink" TargetMode="External" Target="http://eur-lex.europa.eu/legal-content/LIT/TXT/?uri=CELEX:32014R0600&amp;locale=lt"/>
  <Relationship Id="rId174" Type="http://schemas.openxmlformats.org/officeDocument/2006/relationships/hyperlink" TargetMode="External" Target="http://eur-lex.europa.eu/legal-content/LIT/TXT/?uri=CELEX:32014R0909&amp;locale=lt"/>
  <Relationship Id="rId175" Type="http://schemas.openxmlformats.org/officeDocument/2006/relationships/hyperlink" TargetMode="External" Target="http://eur-lex.europa.eu/legal-content/LIT/TXT/?uri=CELEX:32014R0596&amp;locale=lt"/>
  <Relationship Id="rId176" Type="http://schemas.openxmlformats.org/officeDocument/2006/relationships/hyperlink" TargetMode="External" Target="http://eur-lex.europa.eu/legal-content/LIT/TXT/?uri=CELEX:32014R1286&amp;locale=lt"/>
  <Relationship Id="rId177" Type="http://schemas.openxmlformats.org/officeDocument/2006/relationships/hyperlink" TargetMode="External" Target="http://eur-lex.europa.eu/legal-content/LIT/TXT/?uri=CELEX:32017R1129&amp;locale=lt"/>
  <Relationship Id="rId178" Type="http://schemas.openxmlformats.org/officeDocument/2006/relationships/hyperlink" TargetMode="External" Target="http://eur-lex.europa.eu/legal-content/LIT/TXT/?uri=CELEX:32019R2033&amp;locale=lt"/>
  <Relationship Id="rId179" Type="http://schemas.openxmlformats.org/officeDocument/2006/relationships/hyperlink" TargetMode="External" Target="http://eur-lex.europa.eu/legal-content/LIT/TXT/?uri=CELEX:32010R1093&amp;locale=lt"/>
  <Relationship Id="rId18" Type="http://schemas.openxmlformats.org/officeDocument/2006/relationships/hyperlink" TargetMode="External" Target="http://www3.lrs.lt/cgi-bin/preps2?a=412373&amp;b="/>
  <Relationship Id="rId180" Type="http://schemas.openxmlformats.org/officeDocument/2006/relationships/hyperlink" TargetMode="External" Target="http://eur-lex.europa.eu/legal-content/LIT/TXT/?uri=CELEX:32013R0575&amp;locale=lt"/>
  <Relationship Id="rId181" Type="http://schemas.openxmlformats.org/officeDocument/2006/relationships/hyperlink" TargetMode="External" Target="http://eur-lex.europa.eu/legal-content/LIT/TXT/?uri=CELEX:32014R0600&amp;locale=lt"/>
  <Relationship Id="rId182" Type="http://schemas.openxmlformats.org/officeDocument/2006/relationships/hyperlink" TargetMode="External" Target="http://eur-lex.europa.eu/legal-content/LIT/TXT/?uri=CELEX:32014R0806&amp;locale=lt"/>
  <Relationship Id="rId183" Type="http://schemas.openxmlformats.org/officeDocument/2006/relationships/hyperlink" TargetMode="External" Target="http://eur-lex.europa.eu/legal-content/LIT/TXT/?uri=CELEX:32023R1114&amp;locale=lt"/>
  <Relationship Id="rId184" Type="http://schemas.openxmlformats.org/officeDocument/2006/relationships/hyperlink" TargetMode="External" Target="http://eur-lex.europa.eu/legal-content/LIT/TXT/?uri=CELEX:32023R1114&amp;locale=lt"/>
  <Relationship Id="rId185" Type="http://schemas.openxmlformats.org/officeDocument/2006/relationships/hyperlink" TargetMode="External" Target="http://eur-lex.europa.eu/legal-content/LIT/TXT/?uri=CELEX:32023R1114&amp;locale=lt"/>
  <Relationship Id="rId186" Type="http://schemas.openxmlformats.org/officeDocument/2006/relationships/hyperlink" TargetMode="External" Target="http://eur-lex.europa.eu/legal-content/LIT/TXT/?uri=CELEX:32010R1093&amp;locale=lt"/>
  <Relationship Id="rId187" Type="http://schemas.openxmlformats.org/officeDocument/2006/relationships/hyperlink" TargetMode="External" Target="http://eur-lex.europa.eu/legal-content/LIT/TXT/?uri=CELEX:32010R1095&amp;locale=lt"/>
  <Relationship Id="rId188" Type="http://schemas.openxmlformats.org/officeDocument/2006/relationships/hyperlink" TargetMode="External" Target="http://eur-lex.europa.eu/legal-content/LIT/TXT/?uri=CELEX:32013L0036&amp;locale=lt"/>
  <Relationship Id="rId189" Type="http://schemas.openxmlformats.org/officeDocument/2006/relationships/hyperlink" TargetMode="External" Target="http://eur-lex.europa.eu/legal-content/LIT/TXT/?uri=CELEX:32019L1937&amp;locale=lt"/>
  <Relationship Id="rId19" Type="http://schemas.openxmlformats.org/officeDocument/2006/relationships/hyperlink" TargetMode="External" Target="http://www3.lrs.lt/cgi-bin/preps2?a=227304&amp;b="/>
  <Relationship Id="rId190" Type="http://schemas.openxmlformats.org/officeDocument/2006/relationships/hyperlink" TargetMode="External" Target="http://eur-lex.europa.eu/legal-content/LIT/TXT/?uri=CELEX:32023R2869&amp;locale=lt"/>
  <Relationship Id="rId191" Type="http://schemas.openxmlformats.org/officeDocument/2006/relationships/hyperlink" TargetMode="External" Target="http://eur-lex.europa.eu/legal-content/LIT/TXT/?uri=CELEX:32021L2167&amp;locale=lt"/>
  <Relationship Id="rId192" Type="http://schemas.openxmlformats.org/officeDocument/2006/relationships/hyperlink" TargetMode="External" Target="http://eur-lex.europa.eu/legal-content/LIT/TXT/?uri=CELEX:32008L0048&amp;locale=lt"/>
  <Relationship Id="rId193" Type="http://schemas.openxmlformats.org/officeDocument/2006/relationships/hyperlink" TargetMode="External" Target="http://eur-lex.europa.eu/legal-content/LIT/TXT/?uri=CELEX:32014L0017&amp;locale=lt"/>
  <Relationship Id="rId194" Type="http://schemas.openxmlformats.org/officeDocument/2006/relationships/hyperlink" TargetMode="External" Target="http://eur-lex.europa.eu/legal-content/LIT/TXT/?uri=CELEX:32023R1114&amp;locale=lt"/>
  <Relationship Id="rId195" Type="http://schemas.openxmlformats.org/officeDocument/2006/relationships/hyperlink" TargetMode="External" Target="http://eur-lex.europa.eu/legal-content/LIT/TXT/?uri=CELEX:32023R1114&amp;locale=lt"/>
  <Relationship Id="rId196" Type="http://schemas.openxmlformats.org/officeDocument/2006/relationships/hyperlink" TargetMode="External" Target="http://eur-lex.europa.eu/legal-content/LIT/TXT/?uri=CELEX:32022R2554&amp;locale=lt"/>
  <Relationship Id="rId197" Type="http://schemas.openxmlformats.org/officeDocument/2006/relationships/hyperlink" TargetMode="External" Target="http://eur-lex.europa.eu/legal-content/LIT/TXT/?uri=CELEX:32022R2554&amp;locale=lt"/>
  <Relationship Id="rId198" Type="http://schemas.openxmlformats.org/officeDocument/2006/relationships/hyperlink" TargetMode="External" Target="http://eur-lex.europa.eu/legal-content/LIT/TXT/?uri=CELEX:32009R1060&amp;locale=lt"/>
  <Relationship Id="rId199" Type="http://schemas.openxmlformats.org/officeDocument/2006/relationships/hyperlink" TargetMode="External" Target="http://eur-lex.europa.eu/legal-content/LIT/TXT/?uri=CELEX:32012R0648&amp;locale=lt"/>
  <Relationship Id="rId2" Type="http://schemas.openxmlformats.org/officeDocument/2006/relationships/endnotes" Target="endnotes.xml"/>
  <Relationship Id="rId20" Type="http://schemas.openxmlformats.org/officeDocument/2006/relationships/hyperlink" TargetMode="External" Target="http://www3.lrs.lt/cgi-bin/preps2?a=274804&amp;b="/>
  <Relationship Id="rId200" Type="http://schemas.openxmlformats.org/officeDocument/2006/relationships/hyperlink" TargetMode="External" Target="http://eur-lex.europa.eu/legal-content/LIT/TXT/?uri=CELEX:32014R0600&amp;locale=lt"/>
  <Relationship Id="rId201" Type="http://schemas.openxmlformats.org/officeDocument/2006/relationships/hyperlink" TargetMode="External" Target="http://eur-lex.europa.eu/legal-content/LIT/TXT/?uri=CELEX:32014R0909&amp;locale=lt"/>
  <Relationship Id="rId202" Type="http://schemas.openxmlformats.org/officeDocument/2006/relationships/hyperlink" TargetMode="External" Target="http://eur-lex.europa.eu/legal-content/LIT/TXT/?uri=CELEX:32016R1011&amp;locale=lt"/>
  <Relationship Id="rId203" Type="http://schemas.openxmlformats.org/officeDocument/2006/relationships/hyperlink" TargetMode="External" Target="http://eur-lex.europa.eu/legal-content/LIT/TXT/?uri=CELEX:32024R1620&amp;locale=lt"/>
  <Relationship Id="rId204" Type="http://schemas.openxmlformats.org/officeDocument/2006/relationships/hyperlink" TargetMode="External" Target="http://eur-lex.europa.eu/legal-content/LIT/TXT/?uri=CELEX:32024R1620&amp;locale=lt"/>
  <Relationship Id="rId205" Type="http://schemas.openxmlformats.org/officeDocument/2006/relationships/hyperlink" TargetMode="External" Target="http://eur-lex.europa.eu/legal-content/LIT/TXT/?uri=CELEX:32010R1093&amp;locale=lt"/>
  <Relationship Id="rId206" Type="http://schemas.openxmlformats.org/officeDocument/2006/relationships/hyperlink" TargetMode="External" Target="http://eur-lex.europa.eu/legal-content/LIT/TXT/?uri=CELEX:32010R1094&amp;locale=lt"/>
  <Relationship Id="rId207" Type="http://schemas.openxmlformats.org/officeDocument/2006/relationships/hyperlink" TargetMode="External" Target="http://eur-lex.europa.eu/legal-content/LIT/TXT/?uri=CELEX:32010R1095&amp;locale=lt"/>
  <Relationship Id="rId208" Type="http://schemas.openxmlformats.org/officeDocument/2006/relationships/customXml" Target="../customXml/item1.xml"/>
  <Relationship Id="rId21" Type="http://schemas.openxmlformats.org/officeDocument/2006/relationships/hyperlink" TargetMode="External" Target="http://www3.lrs.lt/cgi-bin/preps2?a=412356&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213881&amp;b="/>
  <Relationship Id="rId27" Type="http://schemas.openxmlformats.org/officeDocument/2006/relationships/hyperlink" TargetMode="External" Target="http://www3.lrs.lt/cgi-bin/preps2?a=23045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361205&amp;b="/>
  <Relationship Id="rId3" Type="http://schemas.openxmlformats.org/officeDocument/2006/relationships/fontTable" Target="fontTable.xml"/>
  <Relationship Id="rId30" Type="http://schemas.openxmlformats.org/officeDocument/2006/relationships/hyperlink" TargetMode="External" Target="http://www3.lrs.lt/cgi-bin/preps2?a=412356&amp;b="/>
  <Relationship Id="rId31" Type="http://schemas.openxmlformats.org/officeDocument/2006/relationships/hyperlink" TargetMode="External" Target="http://www3.lrs.lt/cgi-bin/preps2?a=478702&amp;b="/>
  <Relationship Id="rId32" Type="http://schemas.openxmlformats.org/officeDocument/2006/relationships/hyperlink" TargetMode="External" Target="http://www3.lrs.lt/cgi-bin/preps2?a=361206&amp;b="/>
  <Relationship Id="rId33" Type="http://schemas.openxmlformats.org/officeDocument/2006/relationships/hyperlink" TargetMode="External" Target="http://www3.lrs.lt/cgi-bin/preps2?a=412373&amp;b="/>
  <Relationship Id="rId34" Type="http://schemas.openxmlformats.org/officeDocument/2006/relationships/hyperlink" TargetMode="External" Target="http://eur-lex.europa.eu/legal-content/LIT/TXT/?uri=CELEX:32013R1024&amp;locale=lt"/>
  <Relationship Id="rId35" Type="http://schemas.openxmlformats.org/officeDocument/2006/relationships/hyperlink" TargetMode="External" Target="http://eur-lex.europa.eu/legal-content/LIT/TXT/?uri=CELEX:32024R1620&amp;locale=lt"/>
  <Relationship Id="rId36" Type="http://schemas.openxmlformats.org/officeDocument/2006/relationships/hyperlink" TargetMode="External" Target="http://eur-lex.europa.eu/legal-content/LIT/TXT/?uri=CELEX:32013R1024&amp;locale=lt"/>
  <Relationship Id="rId37" Type="http://schemas.openxmlformats.org/officeDocument/2006/relationships/hyperlink" TargetMode="External" Target="http://www3.lrs.lt/cgi-bin/preps2?a=227304&amp;b="/>
  <Relationship Id="rId38" Type="http://schemas.openxmlformats.org/officeDocument/2006/relationships/hyperlink" TargetMode="External" Target="http://www3.lrs.lt/cgi-bin/preps2?a=396597&amp;b="/>
  <Relationship Id="rId39" Type="http://schemas.openxmlformats.org/officeDocument/2006/relationships/hyperlink" TargetMode="External" Target="http://www3.lrs.lt/cgi-bin/preps2?a=396597&amp;b="/>
  <Relationship Id="rId4" Type="http://schemas.openxmlformats.org/officeDocument/2006/relationships/footnotes" Target="footnotes.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227304&amp;b="/>
  <Relationship Id="rId42" Type="http://schemas.openxmlformats.org/officeDocument/2006/relationships/hyperlink" TargetMode="External" Target="http://www3.lrs.lt/cgi-bin/preps2?a=230454&amp;b="/>
  <Relationship Id="rId43" Type="http://schemas.openxmlformats.org/officeDocument/2006/relationships/hyperlink" TargetMode="External" Target="http://www3.lrs.lt/cgi-bin/preps2?a=274804&amp;b="/>
  <Relationship Id="rId44" Type="http://schemas.openxmlformats.org/officeDocument/2006/relationships/hyperlink" TargetMode="External" Target="http://www3.lrs.lt/cgi-bin/preps2?a=396599&amp;b="/>
  <Relationship Id="rId45" Type="http://schemas.openxmlformats.org/officeDocument/2006/relationships/hyperlink" TargetMode="External" Target="http://www3.lrs.lt/cgi-bin/preps2?a=412356&amp;b="/>
  <Relationship Id="rId46" Type="http://schemas.openxmlformats.org/officeDocument/2006/relationships/hyperlink" TargetMode="External" Target="http://www3.lrs.lt/cgi-bin/preps2?a=478702&amp;b="/>
  <Relationship Id="rId47" Type="http://schemas.openxmlformats.org/officeDocument/2006/relationships/hyperlink" TargetMode="External" Target="http://www3.lrs.lt/cgi-bin/preps2?a=340369&amp;b="/>
  <Relationship Id="rId48" Type="http://schemas.openxmlformats.org/officeDocument/2006/relationships/hyperlink" TargetMode="External" Target="http://www3.lrs.lt/cgi-bin/preps2?a=361206&amp;b="/>
  <Relationship Id="rId49" Type="http://schemas.openxmlformats.org/officeDocument/2006/relationships/hyperlink" TargetMode="External" Target="http://www3.lrs.lt/cgi-bin/preps2?a=396597&amp;b="/>
  <Relationship Id="rId5" Type="http://schemas.openxmlformats.org/officeDocument/2006/relationships/hyperlink" TargetMode="External" Target="http://www3.lrs.lt/cgi-bin/preps2?a=230454&amp;b="/>
  <Relationship Id="rId50" Type="http://schemas.openxmlformats.org/officeDocument/2006/relationships/hyperlink" TargetMode="External" Target="http://www3.lrs.lt/cgi-bin/preps2?a=412373&amp;b="/>
  <Relationship Id="rId51" Type="http://schemas.openxmlformats.org/officeDocument/2006/relationships/hyperlink" TargetMode="External" Target="http://eur-lex.europa.eu/legal-content/LIT/TXT/?uri=CELEX:32013R1024&amp;locale=lt"/>
  <Relationship Id="rId52" Type="http://schemas.openxmlformats.org/officeDocument/2006/relationships/hyperlink" TargetMode="External" Target="http://eur-lex.europa.eu/legal-content/LIT/TXT/?uri=CELEX:32024R1620&amp;locale=lt"/>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274804&amp;b="/>
  <Relationship Id="rId55" Type="http://schemas.openxmlformats.org/officeDocument/2006/relationships/hyperlink" TargetMode="External" Target="http://www3.lrs.lt/cgi-bin/preps2?a=412373&amp;b="/>
  <Relationship Id="rId56" Type="http://schemas.openxmlformats.org/officeDocument/2006/relationships/hyperlink" TargetMode="External" Target="http://www3.lrs.lt/cgi-bin/preps2?a=227304&amp;b="/>
  <Relationship Id="rId57" Type="http://schemas.openxmlformats.org/officeDocument/2006/relationships/hyperlink" TargetMode="External" Target="http://www3.lrs.lt/cgi-bin/preps2?a=274804&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396597&amp;b="/>
  <Relationship Id="rId6" Type="http://schemas.openxmlformats.org/officeDocument/2006/relationships/hyperlink" TargetMode="External" Target="http://www3.lrs.lt/cgi-bin/preps2?a=361206&amp;b="/>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386459&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396597&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74804&amp;b="/>
  <Relationship Id="rId7" Type="http://schemas.openxmlformats.org/officeDocument/2006/relationships/hyperlink" TargetMode="External" Target="http://www3.lrs.lt/cgi-bin/preps2?a=412373&amp;b="/>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27304&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412356&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settings" Target="setting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412356&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396599&amp;b="/>
  <Relationship Id="rId88" Type="http://schemas.openxmlformats.org/officeDocument/2006/relationships/hyperlink" TargetMode="External" Target="http://www3.lrs.lt/cgi-bin/preps2?a=396597&amp;b="/>
  <Relationship Id="rId89" Type="http://schemas.openxmlformats.org/officeDocument/2006/relationships/hyperlink" TargetMode="External" Target="http://www3.lrs.lt/cgi-bin/preps2?a=274804&amp;b="/>
  <Relationship Id="rId9" Type="http://schemas.openxmlformats.org/officeDocument/2006/relationships/styles" Target="styles.xml"/>
  <Relationship Id="rId90" Type="http://schemas.openxmlformats.org/officeDocument/2006/relationships/hyperlink" TargetMode="External" Target="http://www3.lrs.lt/cgi-bin/preps2?a=227304&amp;b="/>
  <Relationship Id="rId91" Type="http://schemas.openxmlformats.org/officeDocument/2006/relationships/hyperlink" TargetMode="External" Target="http://www3.lrs.lt/cgi-bin/preps2?a=274804&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361206&amp;b="/>
  <Relationship Id="rId94" Type="http://schemas.openxmlformats.org/officeDocument/2006/relationships/hyperlink" TargetMode="External" Target="http://www3.lrs.lt/cgi-bin/preps2?a=412373&amp;b="/>
  <Relationship Id="rId95" Type="http://schemas.openxmlformats.org/officeDocument/2006/relationships/hyperlink" TargetMode="External" Target="http://www3.lrs.lt/cgi-bin/preps2?a=230454&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227304&amp;b="/>
  <Relationship Id="rId99" Type="http://schemas.openxmlformats.org/officeDocument/2006/relationships/hyperlink" TargetMode="External" Target="http://www3.lrs.lt/cgi-bin/preps2?a=3612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4f808f79a70446efa9c2fa70ec39d48e">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17d336ab6ab045f4a05c039726755382"/>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111f10efca384772929f5ee00f5a3192">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d29758063abc43a09c409fa6a97ababd"/>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1e1d00cd0da64f028faa6d3810f7a75c">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1d3f2470a9aa420eb6af1d50333dca5a">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7487763b72b44790bde0a48d61f73af7">
        <Part Type="strDalis" Nr="1" Abbr="23 str. 1 d." DocPartId="21abd271e89b476abf2f1a36eca5e8aa" PartId="ebf7c04a01a44b7d8d865a38c4137945"/>
        <Part Type="strDalis" Nr="2" Abbr="23 str. 2 d." DocPartId="c0cc6662b5494b7ea9038bc306a48c82" PartId="67656bb77a754124a62aff07c36526b8"/>
        <Part Type="strDalis" Nr="3" Abbr="23 str. 3 d." DocPartId="e43d25422de643b1b548a5905105d7f7" PartId="93866160eba54ba3b13496549ff33f20">
          <Part Type="strPunktas" Nr="1" Abbr="23 str. 3 d. 1 p." DocPartId="754eea5bb8cd4f999c11d121446615f6" PartId="49ebc5a398f0401baaaf42e7b805e78b"/>
          <Part Type="strPunktas" Nr="2" Abbr="23 str. 3 d. 2 p." DocPartId="83c72dd3c2fa47c9b34c43b23ae5518e" PartId="84fad8ec0d9f4bc287c54152499a7023"/>
          <Part Type="strPunktas" Nr="3" Abbr="23 str. 3 d. 3 p." DocPartId="112c80cd82e0429590e594d73d17f869" PartId="9999958c0c08420194340d6073422472"/>
          <Part Type="strPunktas" Nr="4" Abbr="23 str. 3 d. 4 p." DocPartId="58ef79e31ebc4ff5a5c1dbaf399525c3" PartId="0246834eec45468288a510d127a1f9d3"/>
        </Part>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6f1e3a076ab41daa162a4b17f030209"/>
        <Part Type="strDalis" Nr="2" Abbr="42 str. 2 d." DocPartId="c7009312ed4446af8963ebab66c916b0" PartId="31b1da8f8a8749419990128679c49e31">
          <Part Type="strPunktas" Nr="1" Abbr="42 str. 2 d. 1 p." DocPartId="95994358b18a4dc6a7ba4c7c9c75bf41" PartId="725a7997be744c26978fff2551e00032"/>
          <Part Type="strPunktas" Nr="2" Abbr="42 str. 2 d. 2 p." DocPartId="878c57960cae40b2af0c8f5de9211732" PartId="80726d0f3b4e4792babf25bdaea0c8dd"/>
          <Part Type="strPunktas" Nr="3" Abbr="42 str. 2 d. 3 p." DocPartId="77ebd4ca67d64668814cd2cc2afd3e64" PartId="7ebd56905eb9460596297b10271d3d26"/>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42 str. 2 d. 17 p." DocPartId="d34ae8cf3adb4f2cb83f4be185a41ce1" PartId="fa8636ea9763414da6fdcd96f2b9b2c7"/>
          <Part Type="strPunktas" Nr="18" Abbr="18 p." DocPartId="10c0805ed4154e1ba3ed431dd9812e1b" PartId="6fc52758489d4f73b3a3a99c2b46097c"/>
          <Part Type="strPunktas" Nr="19" Abbr="19 p." DocPartId="3a84b9ed2eb441a5be86002178c869eb" PartId="257610ec95734fd5b756844f3f0d42e1"/>
        </Part>
        <Part Type="strDalis" Nr="3" Abbr="42 str. 3 d." DocPartId="9473c0a23a274fc989ed1c50f6c32f5c" PartId="97fee8b44222468d8c8da6c5fcc52d3c"/>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Type="strPunktas" Nr="22" Abbr="22 p." DocPartId="83dd92c94dfd43059ebcce972fd6f16b" PartId="03e57e2a85cb43fcb19ca7e1b716b97f"/>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6c3e3f8a866d4fbd868b88e80fa3c72a"/>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5a1dd90099204943a281b77b35b407ff">
        <Part Type="strDalis" Nr="1" Abbr="46 str. 1 d." DocPartId="c8e60cb1dcdf4fd78648a8af00ebb5e0" PartId="b2c07b92d08f4b10986f38eaf252ee64"/>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a6b03480db0c41d69e609cbec8def78d"/>
          <Part Type="strPunktas" Nr="6" Abbr="6 p." DocPartId="6e2ee453a4684de7bfab7b314742744a" PartId="dabb50b397064d5a8d88f0bbf48e2432"/>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acfeb4b5ca92404aa7797bdec956392c">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10d5aba215774bada9b013954682c07b">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e286024b41e44ef4b67facfac6aa01a9"/>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861738b7eb7a47cd82ce912bef48a4f8"/>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punktas" Nr="23-1" DocPartId="96932873f94a4967af132b042e18dee5" PartId="2d79518cf2df490f91cea02c3b8cbd57"/>
    <Part Type="strDalis" Nr="24" Abbr="3 pr. 24 d." DocPartId="2fbd6bb709aa4b0a9c84823b16609c2f" PartId="b598b9e9427447fda64bde6b2f8b468a"/>
    <Part Type="punktas" Nr="25" Abbr="25 p." DocPartId="09d002297d84460ebf49c16c4fbc9dfc" PartId="4c30b226760c4686ac26f079d5e37688"/>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4E55BBD-6936-4E60-9DF7-6F0335AB0E0E}">
  <ds:schemaRefs>
    <ds:schemaRef ds:uri="http://lrs.lt/TAIS/DocParts"/>
  </ds:schemaRefs>
</ds:datastoreItem>
</file>

<file path=customXml/itemProps3.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182</TotalTime>
  <Pages>42</Pages>
  <Words>20408</Words>
  <Characters>158418</Characters>
  <Application>Microsoft Office Word</Application>
  <DocSecurity>0</DocSecurity>
  <Lines>1320</Lines>
  <Paragraphs>356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178470</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DINDIENĖ Laura</lastModifiedBy>
  <dcterms:modified xsi:type="dcterms:W3CDTF">2025-07-01T07:20:00Z</dcterms:modified>
  <revision>71</revision>
  <dc:title>Neoficialus ?statymo tekstas</dc:title>
</coreProperties>
</file>