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2025-04-12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3"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6"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7"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8"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9"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bd10776c89c14307b5e9d33125d66525"/>
                <w:lock w:val="sdtLocked"/>
                <w:richText/>
              </w:sdtPr>
              <w:sdtContent>
                <w:p>
                  <w:pPr>
                    <w:ind w:firstLine="720"/>
                    <w:jc w:val="both"/>
                    <w:rPr>
                      <w:b/>
                      <w:bCs/>
                      <w:sz w:val="22"/>
                    </w:rPr>
                  </w:pPr>
                  <w:sdt>
                    <w:sdtPr>
                      <w:alias w:val="Numeris"/>
                      <w:tag w:val="nr_bd10776c89c14307b5e9d33125d66525"/>
                      <w:lock w:val="sdtLocked"/>
                      <w:richText/>
                    </w:sdtPr>
                    <w:sdtContent>
                      <w:r>
                        <w:rPr>
                          <w:b/>
                          <w:bCs/>
                          <w:sz w:val="22"/>
                        </w:rPr>
                        <w:t>6</w:t>
                      </w:r>
                    </w:sdtContent>
                  </w:sdt>
                  <w:r>
                    <w:rPr>
                      <w:b/>
                      <w:bCs/>
                      <w:sz w:val="22"/>
                    </w:rPr>
                    <w:t xml:space="preserve"> straipsnis. </w:t>
                  </w:r>
                  <w:sdt>
                    <w:sdtPr>
                      <w:alias w:val="Pavadinimas"/>
                      <w:tag w:val="title_bd10776c89c14307b5e9d33125d66525"/>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2"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6"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52f59de694e74ee6b7c85c1983e1b524"/>
                        <w:lock w:val="sdtLocked"/>
                        <w:richText/>
                      </w:sdtPr>
                      <w:sdtContent>
                        <w:p>
                          <w:pPr>
                            <w:ind w:firstLine="720"/>
                            <w:jc w:val="both"/>
                            <w:rPr>
                              <w:bCs/>
                              <w:sz w:val="22"/>
                              <w:szCs w:val="22"/>
                              <w:lang w:eastAsia="lt-LT"/>
                            </w:rPr>
                          </w:pPr>
                          <w:sdt>
                            <w:sdtPr>
                              <w:alias w:val="Numeris"/>
                              <w:tag w:val="nr_52f59de694e74ee6b7c85c1983e1b524"/>
                              <w:lock w:val="sdtLocked"/>
                              <w:richText/>
                            </w:sdtPr>
                            <w:sdtContent>
                              <w:r>
                                <w:rPr>
                                  <w:sz w:val="22"/>
                                  <w:szCs w:val="22"/>
                                  <w:lang w:eastAsia="lt-LT"/>
                                </w:rPr>
                                <w:t>1</w:t>
                              </w:r>
                            </w:sdtContent>
                          </w:sdt>
                          <w:r>
                            <w:rPr>
                              <w:sz w:val="22"/>
                              <w:szCs w:val="22"/>
                              <w:lang w:eastAsia="lt-LT"/>
                            </w:rPr>
                            <w:t xml:space="preserve">) </w:t>
                          </w:r>
                          <w:r>
                            <w:rPr>
                              <w:sz w:val="22"/>
                              <w:szCs w:val="22"/>
                            </w:rPr>
                            <w:t xml:space="preserve">pagal susitarimus su </w:t>
                          </w:r>
                          <w:r>
                            <w:rPr>
                              <w:color w:val="000000"/>
                              <w:sz w:val="22"/>
                              <w:szCs w:val="22"/>
                            </w:rPr>
                            <w:t>Sutarties dėl Europos Sąjungos veikimo Protokolo dėl Europos centrinių bankų sistemos ir Europos centrinio banko statuto 21.1 straipsnyje nustatytais viešaisiais subjektais</w:t>
                          </w:r>
                          <w:r>
                            <w:rPr>
                              <w:sz w:val="22"/>
                              <w:szCs w:val="22"/>
                            </w:rPr>
                            <w:t xml:space="preserve"> (toliau – viešieji subjektai) atlieka fiskalinio agento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8 str. 2 d. 2 p."/>
                        <w:tag w:val="part_3d348fd3ec4540b4a78d28a4348377e1"/>
                        <w:lock w:val="sdtLocked"/>
                        <w:richText/>
                      </w:sdtPr>
                      <w:sdtContent>
                        <w:p>
                          <w:pPr>
                            <w:ind w:firstLine="720"/>
                            <w:jc w:val="both"/>
                            <w:rPr>
                              <w:bCs/>
                              <w:sz w:val="22"/>
                              <w:szCs w:val="22"/>
                              <w:lang w:eastAsia="lt-LT"/>
                            </w:rPr>
                          </w:pPr>
                          <w:sdt>
                            <w:sdtPr>
                              <w:alias w:val="Numeris"/>
                              <w:tag w:val="nr_3d348fd3ec4540b4a78d28a4348377e1"/>
                              <w:lock w:val="sdtLocked"/>
                              <w:richText/>
                            </w:sdtPr>
                            <w:sdtContent>
                              <w:r>
                                <w:rPr>
                                  <w:rFonts w:eastAsia="Calibri"/>
                                  <w:bCs/>
                                  <w:sz w:val="22"/>
                                  <w:szCs w:val="22"/>
                                </w:rPr>
                                <w:t>2</w:t>
                              </w:r>
                            </w:sdtContent>
                          </w:sdt>
                          <w:r>
                            <w:rPr>
                              <w:rFonts w:eastAsia="Calibri"/>
                              <w:bCs/>
                              <w:sz w:val="22"/>
                              <w:szCs w:val="22"/>
                            </w:rPr>
                            <w:t>) atlieka finansų rinkos priežiūrą, išskyrus atvejus, kai pagal 2013 m. spalio 15 d. Tarybos reglamento (ES) Nr. 1024/2013, kuriuo Europos Centriniam Bankui pavedami specialūs uždaviniai, susiję su rizikos ribojimu pagrįstos kredito įstaigų priežiūros politika,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938e214d018a4bd490d20e4529839cda"/>
                        <w:lock w:val="sdtLocked"/>
                        <w:richText/>
                      </w:sdtPr>
                      <w:sdtContent>
                        <w:p>
                          <w:pPr>
                            <w:ind w:firstLine="720"/>
                            <w:jc w:val="both"/>
                            <w:rPr>
                              <w:bCs/>
                              <w:sz w:val="22"/>
                              <w:szCs w:val="22"/>
                              <w:lang w:eastAsia="lt-LT"/>
                            </w:rPr>
                          </w:pPr>
                          <w:sdt>
                            <w:sdtPr>
                              <w:alias w:val="Numeris"/>
                              <w:tag w:val="nr_938e214d018a4bd490d20e4529839cda"/>
                              <w:lock w:val="sdtLocked"/>
                              <w:richText/>
                            </w:sdtPr>
                            <w:sdtContent>
                              <w:r>
                                <w:rPr>
                                  <w:sz w:val="22"/>
                                  <w:szCs w:val="22"/>
                                  <w:lang w:eastAsia="lt-LT"/>
                                </w:rPr>
                                <w:t>5</w:t>
                              </w:r>
                            </w:sdtContent>
                          </w:sdt>
                          <w:r>
                            <w:rPr>
                              <w:sz w:val="22"/>
                              <w:szCs w:val="22"/>
                              <w:lang w:eastAsia="lt-LT"/>
                            </w:rPr>
                            <w:t xml:space="preserve">) </w:t>
                          </w:r>
                          <w:r>
                            <w:rPr>
                              <w:color w:val="000000"/>
                              <w:sz w:val="22"/>
                              <w:szCs w:val="22"/>
                            </w:rPr>
                            <w:t>savo nustatyta tvarka, sąlygomis ir terminais gali duoti paskolas, užtikrintas įkeičiamu Lietuvos bankui pakankamu turtu, Lietuvos Respublikoje įregistruotoms kredito ir kitoms finansų įstaigoms, draudimo ar perdraudimo veikla užsiimančioms įmonėms, jei tai neprieštarauja reikalavimams, atsirandantiems dėl Lietuvos banko dalyvavimo Europos centrinių bankų sistemoje, ypač reikalavimams, atsirandantiems dėl viešosios teisės subjektų vardu atliekamų operacijų;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4708a0756a11eabee4a336e7e6fdab">
                            <w:r w:rsidRPr="00532B9F">
                              <w:rPr>
                                <w:rFonts w:ascii="Times New Roman" w:eastAsia="MS Mincho" w:hAnsi="Times New Roman"/>
                                <w:sz w:val="20"/>
                                <w:i/>
                                <w:iCs/>
                                <w:color w:val="0000FF" w:themeColor="hyperlink"/>
                                <w:u w:val="single"/>
                              </w:rPr>
                              <w:t>XIII-2836</w:t>
                            </w:r>
                          </w:fldSimple>
                          <w:r>
                            <w:rPr>
                              <w:rFonts w:ascii="Times New Roman" w:eastAsia="MS Mincho" w:hAnsi="Times New Roman"/>
                              <w:sz w:val="20"/>
                              <w:i/>
                              <w:iCs/>
                            </w:rPr>
                            <w:t>,
2020-03-31,
paskelbta TAR 2020-04-03, i. k. 2020-06995            </w:t>
                          </w:r>
                        </w:p>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str. 2 d. 8 p."/>
                        <w:tag w:val="part_4f7be222dc6f4d1486528b0ceb3a3851"/>
                        <w:lock w:val="sdtLocked"/>
                        <w:richText/>
                      </w:sdtPr>
                      <w:sdtContent>
                        <w:p>
                          <w:pPr>
                            <w:tabs>
                              <w:tab w:val="left" w:pos="993"/>
                            </w:tabs>
                            <w:ind w:firstLine="720"/>
                            <w:jc w:val="both"/>
                            <w:rPr>
                              <w:bCs/>
                              <w:sz w:val="22"/>
                              <w:szCs w:val="22"/>
                              <w:lang w:eastAsia="lt-LT"/>
                            </w:rPr>
                          </w:pPr>
                          <w:sdt>
                            <w:sdtPr>
                              <w:alias w:val="Numeris"/>
                              <w:tag w:val="nr_4f7be222dc6f4d1486528b0ceb3a3851"/>
                              <w:lock w:val="sdtLocked"/>
                              <w:richText/>
                            </w:sdtPr>
                            <w:sdtContent>
                              <w:r>
                                <w:rPr>
                                  <w:sz w:val="22"/>
                                  <w:szCs w:val="22"/>
                                  <w:lang w:eastAsia="lt-LT"/>
                                </w:rPr>
                                <w:t>8</w:t>
                              </w:r>
                            </w:sdtContent>
                          </w:sdt>
                          <w:r>
                            <w:rPr>
                              <w:sz w:val="22"/>
                              <w:szCs w:val="22"/>
                              <w:lang w:eastAsia="lt-LT"/>
                            </w:rPr>
                            <w:t xml:space="preserve">) </w:t>
                          </w:r>
                          <w:r>
                            <w:rPr>
                              <w:sz w:val="22"/>
                              <w:szCs w:val="22"/>
                            </w:rPr>
                            <w:t>atlieka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(su visais pakeitimais), nuostatas šias funkcijas atlieka Bendra pertvarkymo valdyba, taip pat pagal Reglamentą (ES) Nr. 806/2014 atlieka nacionalinei pertvarkymo institucijai priskirtas funkcijas</w:t>
                          </w:r>
                          <w:r>
                            <w:rPr>
                              <w:sz w:val="22"/>
                              <w:szCs w:val="22"/>
                              <w:lang w:eastAsia="lt-LT"/>
                            </w:rPr>
                            <w:t>, o pagal Reglamentą (ES) 2021/23 – pagrindinių sandorio šalių pertvarkymo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7"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0"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31"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32"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4"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7"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8"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5"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6"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48a92f9090ec4dc493e41fdfcdc2c935"/>
                <w:lock w:val="sdtLocked"/>
                <w:richText/>
              </w:sdtPr>
              <w:sdtContent>
                <w:p>
                  <w:pPr>
                    <w:ind w:firstLine="720"/>
                    <w:jc w:val="both"/>
                    <w:rPr>
                      <w:b/>
                      <w:sz w:val="22"/>
                    </w:rPr>
                  </w:pPr>
                  <w:sdt>
                    <w:sdtPr>
                      <w:alias w:val="Numeris"/>
                      <w:tag w:val="nr_48a92f9090ec4dc493e41fdfcdc2c935"/>
                      <w:lock w:val="sdtLocked"/>
                      <w:richText/>
                    </w:sdtPr>
                    <w:sdtContent>
                      <w:r>
                        <w:rPr>
                          <w:b/>
                          <w:sz w:val="22"/>
                        </w:rPr>
                        <w:t>11</w:t>
                      </w:r>
                    </w:sdtContent>
                  </w:sdt>
                  <w:r>
                    <w:rPr>
                      <w:b/>
                      <w:sz w:val="22"/>
                    </w:rPr>
                    <w:t xml:space="preserve"> straipsnis. </w:t>
                  </w:r>
                  <w:sdt>
                    <w:sdtPr>
                      <w:alias w:val="Pavadinimas"/>
                      <w:tag w:val="title_48a92f9090ec4dc493e41fdfcdc2c935"/>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fb56c73ba1ea49829cce1759a294c0aa"/>
                        <w:lock w:val="sdtLocked"/>
                        <w:richText/>
                      </w:sdtPr>
                      <w:sdtContent>
                        <w:p>
                          <w:pPr>
                            <w:ind w:firstLine="720"/>
                            <w:jc w:val="both"/>
                            <w:rPr>
                              <w:sz w:val="22"/>
                              <w:szCs w:val="22"/>
                            </w:rPr>
                          </w:pPr>
                          <w:sdt>
                            <w:sdtPr>
                              <w:alias w:val="Numeris"/>
                              <w:tag w:val="nr_fb56c73ba1ea49829cce1759a294c0aa"/>
                              <w:lock w:val="sdtLocked"/>
                              <w:richText/>
                            </w:sdtPr>
                            <w:sdtContent>
                              <w:r>
                                <w:rPr>
                                  <w:rFonts w:eastAsia="Calibri"/>
                                  <w:bCs/>
                                  <w:sz w:val="22"/>
                                  <w:szCs w:val="22"/>
                                </w:rPr>
                                <w:t>14</w:t>
                              </w:r>
                            </w:sdtContent>
                          </w:sdt>
                          <w:r>
                            <w:rPr>
                              <w:rFonts w:eastAsia="Calibri"/>
                              <w:bCs/>
                              <w:sz w:val="22"/>
                              <w:szCs w:val="22"/>
                            </w:rPr>
                            <w:t>) vadovaudamasi Finansinio tvarumo įstatymo, kitų Lietuvos Respublikos teisės aktų ir taikytinų Europos Sąjungos teisės aktų nuostatomis, priima sprendimus dėl finansų sektoriaus subjektų pertvarkymo planų tvirtinimo, minimalaus nuosavų lėšų ir tinkamų įsipareigojimų dydžio reikalavimo nustatymo, kapitalo priemonių ir tinkamų įsipareigojimų nurašymo ir (arba) konvertavimo atskirai nuo pertvarkymo veiksmų, pertvarkymo, Bendros pertvarkymo valdybos sprendimų įgyvendinimo ir kitus su finansų sektoriaus subjektų pertvarkymo institucijai priskirtų funkcijų atlikimu susijusius sprendimus,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4-1 p."/>
                        <w:tag w:val="part_40eb95e6cb094c9092254e0e5a42be5f"/>
                        <w:lock w:val="sdtLocked"/>
                        <w:richText/>
                      </w:sdtPr>
                      <w:sdtContent>
                        <w:p>
                          <w:pPr>
                            <w:ind w:firstLine="720"/>
                            <w:jc w:val="both"/>
                            <w:rPr>
                              <w:sz w:val="22"/>
                              <w:szCs w:val="22"/>
                            </w:rPr>
                          </w:pPr>
                          <w:sdt>
                            <w:sdtPr>
                              <w:alias w:val="Numeris"/>
                              <w:tag w:val="nr_40eb95e6cb094c9092254e0e5a42be5f"/>
                              <w:lock w:val="sdtLocked"/>
                              <w:richText/>
                            </w:sdtPr>
                            <w:sdtContent>
                              <w:r>
                                <w:rPr>
                                  <w:bCs/>
                                  <w:sz w:val="22"/>
                                  <w:szCs w:val="22"/>
                                </w:rPr>
                                <w:t>14</w:t>
                              </w:r>
                              <w:r>
                                <w:rPr>
                                  <w:bCs/>
                                  <w:sz w:val="22"/>
                                  <w:szCs w:val="22"/>
                                  <w:vertAlign w:val="superscript"/>
                                </w:rPr>
                                <w:t>1</w:t>
                              </w:r>
                            </w:sdtContent>
                          </w:sdt>
                          <w:r>
                            <w:rPr>
                              <w:bCs/>
                              <w:sz w:val="22"/>
                              <w:szCs w:val="22"/>
                            </w:rPr>
                            <w:t>) vadovaudamasi Reglamento (ES) 2021/23, kitų taikytinų Europos Sąjungos ir Lietuvos Respublikos teisės aktų nuostatomis, priima sprendimus dėl pagrindinių sandorio šalių pertvarkymo ir kitus su pagrindinių sandorio šalių pertvarkymo institucijai priskirtų funkcijų atlikimu susijusius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a6f2c0cb752b4af58314d4ff25ebbc90"/>
                        <w:lock w:val="sdtLocked"/>
                        <w:richText/>
                      </w:sdtPr>
                      <w:sdtContent>
                        <w:p>
                          <w:pPr>
                            <w:tabs>
                              <w:tab w:val="left" w:pos="993"/>
                            </w:tabs>
                            <w:ind w:firstLine="720"/>
                            <w:jc w:val="both"/>
                            <w:rPr>
                              <w:sz w:val="22"/>
                              <w:szCs w:val="22"/>
                            </w:rPr>
                          </w:pPr>
                          <w:sdt>
                            <w:sdtPr>
                              <w:alias w:val="Numeris"/>
                              <w:tag w:val="nr_a6f2c0cb752b4af58314d4ff25ebbc90"/>
                              <w:lock w:val="sdtLocked"/>
                              <w:richText/>
                            </w:sdtPr>
                            <w:sdtContent>
                              <w:r>
                                <w:rPr>
                                  <w:sz w:val="22"/>
                                  <w:szCs w:val="22"/>
                                </w:rPr>
                                <w:t>18</w:t>
                              </w:r>
                            </w:sdtContent>
                          </w:sdt>
                          <w:r>
                            <w:rPr>
                              <w:sz w:val="22"/>
                              <w:szCs w:val="22"/>
                            </w:rPr>
                            <w:t xml:space="preserve">) sprendžia klausimus dėl finansų rinką reglamentuojančiuose įstatymuose </w:t>
                          </w:r>
                          <w:r>
                            <w:rPr>
                              <w:bCs/>
                              <w:sz w:val="22"/>
                              <w:szCs w:val="22"/>
                            </w:rPr>
                            <w:t>ir Europos Sąjungos teisės aktuose</w:t>
                          </w:r>
                          <w:r>
                            <w:rPr>
                              <w:sz w:val="22"/>
                              <w:szCs w:val="22"/>
                            </w:rPr>
                            <w:t xml:space="preserve"> nustatytų licencijų, leidimų, sutikimų, pritarimų, neprieštaravimų išdavimo, jų galiojimo sustabdymo, galiojimo sustabdymo panaikinimo ir atšaukimo (galiojimo panaikinimo);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40"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42"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3"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4"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5"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6"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7"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51"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6af15f5bc3154d3eb875dc14d536236c"/>
                <w:lock w:val="sdtLocked"/>
                <w:richText/>
              </w:sdtPr>
              <w:sdtContent>
                <w:p>
                  <w:pPr>
                    <w:ind w:firstLine="720"/>
                    <w:jc w:val="both"/>
                    <w:rPr>
                      <w:b/>
                      <w:sz w:val="22"/>
                      <w:szCs w:val="22"/>
                      <w:lang w:eastAsia="lt-LT"/>
                    </w:rPr>
                  </w:pPr>
                  <w:sdt>
                    <w:sdtPr>
                      <w:alias w:val="Numeris"/>
                      <w:tag w:val="nr_6af15f5bc3154d3eb875dc14d536236c"/>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6af15f5bc3154d3eb875dc14d536236c"/>
                      <w:lock w:val="sdtLocked"/>
                      <w:richText/>
                    </w:sdtPr>
                    <w:sdtContent>
                      <w:r>
                        <w:rPr>
                          <w:b/>
                          <w:sz w:val="22"/>
                          <w:szCs w:val="22"/>
                          <w:lang w:eastAsia="lt-LT"/>
                        </w:rPr>
                        <w:t>Lietuvos banko valdybos narių pareigos nusišalinti įgyvendinimas</w:t>
                      </w:r>
                    </w:sdtContent>
                  </w:sdt>
                </w:p>
                <w:sdt>
                  <w:sdtPr>
                    <w:alias w:val="15 str. 1 d."/>
                    <w:tag w:val="part_ea6f6f14e6074a439fdcc7140f698d9b"/>
                    <w:lock w:val="sdtLocked"/>
                    <w:richText/>
                  </w:sdtPr>
                  <w:sdtContent>
                    <w:p>
                      <w:pPr>
                        <w:ind w:firstLine="720"/>
                        <w:jc w:val="both"/>
                        <w:rPr>
                          <w:sz w:val="22"/>
                          <w:szCs w:val="22"/>
                          <w:lang w:eastAsia="lt-LT"/>
                        </w:rPr>
                      </w:pPr>
                      <w:sdt>
                        <w:sdtPr>
                          <w:alias w:val="Numeris"/>
                          <w:tag w:val="nr_ea6f6f14e6074a439fdcc7140f698d9b"/>
                          <w:lock w:val="sdtLocked"/>
                          <w:richText/>
                        </w:sdtPr>
                        <w:sdtContent>
                          <w:r>
                            <w:rPr>
                              <w:sz w:val="22"/>
                              <w:szCs w:val="22"/>
                              <w:lang w:eastAsia="lt-LT"/>
                            </w:rPr>
                            <w:t>1</w:t>
                          </w:r>
                        </w:sdtContent>
                      </w:sdt>
                      <w:r>
                        <w:rPr>
                          <w:sz w:val="22"/>
                          <w:szCs w:val="22"/>
                          <w:lang w:eastAsia="lt-LT"/>
                        </w:rPr>
                        <w:t>. Kai Lietuvos banko valdybos pirmininko, valdybos pirmininko pavaduotojo ar valdybos narių atliekamos tarnybinės pareigos susijusios su privačiais interesais, prieš atlikdami tarnybines pareigas arba pradėję jas atlikti, Lietuvos banko valdybos pirmininkas apie tai raštu informuoja Lietuvos banko valdybą,</w:t>
                      </w:r>
                      <w:r>
                        <w:rPr>
                          <w:sz w:val="22"/>
                          <w:szCs w:val="22"/>
                        </w:rPr>
                        <w:t xml:space="preserve"> o </w:t>
                      </w:r>
                      <w:r>
                        <w:rPr>
                          <w:sz w:val="22"/>
                          <w:szCs w:val="22"/>
                          <w:lang w:eastAsia="lt-LT"/>
                        </w:rPr>
                        <w:t>valdybos pirmininko pavaduotojai ir valdybos nariai – valdybos pirmininką, pareiškia nusišalinimą</w:t>
                      </w:r>
                      <w:r>
                        <w:rPr>
                          <w:sz w:val="22"/>
                          <w:szCs w:val="22"/>
                        </w:rPr>
                        <w:t xml:space="preserve"> </w:t>
                      </w:r>
                      <w:r>
                        <w:rPr>
                          <w:sz w:val="22"/>
                          <w:szCs w:val="22"/>
                          <w:lang w:eastAsia="lt-LT"/>
                        </w:rPr>
                        <w:t>ir jokia forma nedalyvauja toliau atlikdami tarnybines pareigas.</w:t>
                      </w:r>
                    </w:p>
                  </w:sdtContent>
                </w:sdt>
                <w:sdt>
                  <w:sdtPr>
                    <w:alias w:val="15 str. 2 d."/>
                    <w:tag w:val="part_3b1a651ecbf745c9ae99a5317bf3d3fc"/>
                    <w:lock w:val="sdtLocked"/>
                    <w:richText/>
                  </w:sdtPr>
                  <w:sdtContent>
                    <w:p>
                      <w:pPr>
                        <w:ind w:firstLine="720"/>
                        <w:jc w:val="both"/>
                        <w:rPr>
                          <w:sz w:val="22"/>
                          <w:szCs w:val="22"/>
                          <w:lang w:eastAsia="lt-LT"/>
                        </w:rPr>
                      </w:pPr>
                      <w:sdt>
                        <w:sdtPr>
                          <w:alias w:val="Numeris"/>
                          <w:tag w:val="nr_3b1a651ecbf745c9ae99a5317bf3d3fc"/>
                          <w:lock w:val="sdtLocked"/>
                          <w:richText/>
                        </w:sdtPr>
                        <w:sdtContent>
                          <w:r>
                            <w:rPr>
                              <w:sz w:val="22"/>
                              <w:szCs w:val="22"/>
                              <w:lang w:eastAsia="lt-LT"/>
                            </w:rPr>
                            <w:t>2</w:t>
                          </w:r>
                        </w:sdtContent>
                      </w:sdt>
                      <w:r>
                        <w:rPr>
                          <w:sz w:val="22"/>
                          <w:szCs w:val="22"/>
                          <w:lang w:eastAsia="lt-LT"/>
                        </w:rPr>
                        <w:t>. Lietuvos banko valdyba ir valdybos pirmininkas gali nepriimti pareikšto nusišalinimo ir įpareigoti toliau atlikti tarnybines pareigas.</w:t>
                      </w:r>
                    </w:p>
                  </w:sdtContent>
                </w:sdt>
                <w:sdt>
                  <w:sdtPr>
                    <w:alias w:val="15 str. 3 d."/>
                    <w:tag w:val="part_37b996bea1ba49098839aba790c8e38f"/>
                    <w:lock w:val="sdtLocked"/>
                    <w:richText/>
                  </w:sdtPr>
                  <w:sdtContent>
                    <w:p>
                      <w:pPr>
                        <w:ind w:firstLine="720"/>
                        <w:jc w:val="both"/>
                        <w:rPr>
                          <w:sz w:val="22"/>
                          <w:szCs w:val="22"/>
                          <w:lang w:eastAsia="lt-LT"/>
                        </w:rPr>
                      </w:pPr>
                      <w:sdt>
                        <w:sdtPr>
                          <w:alias w:val="Numeris"/>
                          <w:tag w:val="nr_37b996bea1ba49098839aba790c8e38f"/>
                          <w:lock w:val="sdtLocked"/>
                          <w:richText/>
                        </w:sdtPr>
                        <w:sdtContent>
                          <w:r>
                            <w:rPr>
                              <w:sz w:val="22"/>
                              <w:szCs w:val="22"/>
                              <w:lang w:eastAsia="lt-LT"/>
                            </w:rPr>
                            <w:t>3</w:t>
                          </w:r>
                        </w:sdtContent>
                      </w:sdt>
                      <w:r>
                        <w:rPr>
                          <w:sz w:val="22"/>
                          <w:szCs w:val="22"/>
                          <w:lang w:eastAsia="lt-LT"/>
                        </w:rPr>
                        <w:t>. Kai pareikštas nusišalinimas yra priimtas, Lietuvos banko valdybos pirmininko, valdybos pirmininko pavaduotojo ir valdybos narių pareigas eina valdybos pirmininko pavaduotojas arba valdybos narys pagal valdybos pirmininko patvirtintą valdybos pirmininko, valdybos pirmininko pavaduotojų ir valdybos narių pasiskirstymą pareigomis.</w:t>
                      </w:r>
                    </w:p>
                  </w:sdtContent>
                </w:sdt>
                <w:sdt>
                  <w:sdtPr>
                    <w:alias w:val="15 str. 4 d."/>
                    <w:tag w:val="part_a9e1631ec5984c93b4c4210ce16f850e"/>
                    <w:lock w:val="sdtLocked"/>
                    <w:richText/>
                  </w:sdtPr>
                  <w:sdtContent>
                    <w:p>
                      <w:pPr>
                        <w:ind w:firstLine="720"/>
                        <w:jc w:val="both"/>
                        <w:rPr>
                          <w:b/>
                          <w:sz w:val="22"/>
                        </w:rPr>
                      </w:pPr>
                      <w:sdt>
                        <w:sdtPr>
                          <w:alias w:val="Numeris"/>
                          <w:tag w:val="nr_a9e1631ec5984c93b4c4210ce16f850e"/>
                          <w:lock w:val="sdtLocked"/>
                          <w:richText/>
                        </w:sdtPr>
                        <w:sdtContent>
                          <w:r>
                            <w:rPr>
                              <w:sz w:val="22"/>
                              <w:szCs w:val="22"/>
                              <w:lang w:eastAsia="lt-LT"/>
                            </w:rPr>
                            <w:t>4</w:t>
                          </w:r>
                        </w:sdtContent>
                      </w:sdt>
                      <w:r>
                        <w:rPr>
                          <w:sz w:val="22"/>
                          <w:szCs w:val="22"/>
                          <w:lang w:eastAsia="lt-LT"/>
                        </w:rPr>
                        <w:t xml:space="preserve">. Duomenys apie </w:t>
                      </w:r>
                      <w:r>
                        <w:rPr>
                          <w:sz w:val="22"/>
                          <w:szCs w:val="22"/>
                        </w:rPr>
                        <w:t>Lietuvos banko valdybos pirmininko nusišalinimą ar nušalinimą,</w:t>
                      </w:r>
                      <w:r>
                        <w:rPr>
                          <w:color w:val="4F6228"/>
                          <w:sz w:val="22"/>
                          <w:szCs w:val="22"/>
                        </w:rPr>
                        <w:t xml:space="preserve"> </w:t>
                      </w:r>
                      <w:r>
                        <w:rPr>
                          <w:sz w:val="22"/>
                          <w:szCs w:val="22"/>
                        </w:rPr>
                        <w:t>užtikrinant neviešos informacijos apsaugą, pateikiami Vyriausiajai tarnybinės etikos komisijai ir Lietuvos banko valdybos pirmininką į pareigas skiriančiam subjektui</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004030c27211ea9815f635b9c0dcef">
                    <w:r w:rsidRPr="00532B9F">
                      <w:rPr>
                        <w:rFonts w:ascii="Times New Roman" w:eastAsia="MS Mincho" w:hAnsi="Times New Roman"/>
                        <w:sz w:val="20"/>
                        <w:i/>
                        <w:iCs/>
                        <w:color w:val="0000FF" w:themeColor="hyperlink"/>
                        <w:u w:val="single"/>
                      </w:rPr>
                      <w:t>XIII-3189</w:t>
                    </w:r>
                  </w:fldSimple>
                  <w:r>
                    <w:rPr>
                      <w:rFonts w:ascii="Times New Roman" w:eastAsia="MS Mincho" w:hAnsi="Times New Roman"/>
                      <w:sz w:val="20"/>
                      <w:i/>
                      <w:iCs/>
                    </w:rPr>
                    <w:t>,
2020-06-26,
paskelbta TAR 2020-07-10, i. k. 2020-15512            </w:t>
                  </w:r>
                </w:p>
                <w:p/>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6"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5"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60"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61"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8"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9"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2"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7ed965cb281f451fa96eae5896b172a1"/>
                <w:lock w:val="sdtLocked"/>
                <w:richText/>
              </w:sdtPr>
              <w:sdtContent>
                <w:p>
                  <w:pPr>
                    <w:ind w:firstLine="720"/>
                    <w:jc w:val="both"/>
                    <w:rPr>
                      <w:sz w:val="22"/>
                    </w:rPr>
                  </w:pPr>
                  <w:sdt>
                    <w:sdtPr>
                      <w:alias w:val="Numeris"/>
                      <w:tag w:val="nr_7ed965cb281f451fa96eae5896b172a1"/>
                      <w:lock w:val="sdtLocked"/>
                      <w:richText/>
                    </w:sdtPr>
                    <w:sdtContent>
                      <w:r>
                        <w:rPr>
                          <w:b/>
                          <w:sz w:val="22"/>
                        </w:rPr>
                        <w:t>19</w:t>
                      </w:r>
                    </w:sdtContent>
                  </w:sdt>
                  <w:r>
                    <w:rPr>
                      <w:b/>
                      <w:sz w:val="22"/>
                    </w:rPr>
                    <w:t xml:space="preserve"> straipsnis. </w:t>
                  </w:r>
                  <w:sdt>
                    <w:sdtPr>
                      <w:alias w:val="Pavadinimas"/>
                      <w:tag w:val="title_7ed965cb281f451fa96eae5896b172a1"/>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8bc6b8c1a2fe42cbb63088287c123f6a"/>
                <w:lock w:val="sdtLocked"/>
                <w:richText/>
              </w:sdtPr>
              <w:sdtContent>
                <w:p>
                  <w:pPr>
                    <w:ind w:firstLine="720"/>
                    <w:jc w:val="both"/>
                    <w:rPr>
                      <w:b/>
                      <w:sz w:val="22"/>
                    </w:rPr>
                  </w:pPr>
                  <w:sdt>
                    <w:sdtPr>
                      <w:alias w:val="Numeris"/>
                      <w:tag w:val="nr_8bc6b8c1a2fe42cbb63088287c123f6a"/>
                      <w:lock w:val="sdtLocked"/>
                      <w:richText/>
                    </w:sdtPr>
                    <w:sdtContent>
                      <w:r>
                        <w:rPr>
                          <w:b/>
                          <w:sz w:val="22"/>
                        </w:rPr>
                        <w:t>20</w:t>
                      </w:r>
                    </w:sdtContent>
                  </w:sdt>
                  <w:r>
                    <w:rPr>
                      <w:b/>
                      <w:sz w:val="22"/>
                    </w:rPr>
                    <w:t xml:space="preserve"> straipsnis. </w:t>
                  </w:r>
                  <w:sdt>
                    <w:sdtPr>
                      <w:alias w:val="Pavadinimas"/>
                      <w:tag w:val="title_8bc6b8c1a2fe42cbb63088287c123f6a"/>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4956cde4e38c420790ca8e40e2ce2158"/>
                <w:lock w:val="sdtLocked"/>
                <w:richText/>
              </w:sdtPr>
              <w:sdtContent>
                <w:p>
                  <w:pPr>
                    <w:ind w:left="2268" w:hanging="1559"/>
                    <w:jc w:val="both"/>
                    <w:rPr>
                      <w:sz w:val="22"/>
                      <w:szCs w:val="22"/>
                    </w:rPr>
                  </w:pPr>
                  <w:sdt>
                    <w:sdtPr>
                      <w:alias w:val="Numeris"/>
                      <w:tag w:val="nr_4956cde4e38c420790ca8e40e2ce2158"/>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4956cde4e38c420790ca8e40e2ce2158"/>
                      <w:lock w:val="sdtLocked"/>
                      <w:richText/>
                    </w:sdtPr>
                    <w:sdtContent>
                      <w:r>
                        <w:rPr>
                          <w:b/>
                          <w:sz w:val="22"/>
                          <w:szCs w:val="22"/>
                        </w:rPr>
                        <w:t xml:space="preserve">Finansų rinkos priežiūros, finansų sektoriaus subjektų pertvarkymo institucijos ir pagrindinių sandorio šalių pertvarkymo institucijos veiklos finansavimas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sdt>
                  <w:sdtPr>
                    <w:alias w:val="7 d."/>
                    <w:tag w:val="part_fd67b8837c494c89af8e7d1cef9bcbbb"/>
                    <w:lock w:val="sdtLocked"/>
                    <w:richText/>
                  </w:sdtPr>
                  <w:sdtContent>
                    <w:p>
                      <w:pPr>
                        <w:tabs>
                          <w:tab w:val="left" w:pos="993"/>
                        </w:tabs>
                        <w:ind w:firstLine="720"/>
                        <w:jc w:val="both"/>
                      </w:pPr>
                      <w:sdt>
                        <w:sdtPr>
                          <w:alias w:val="Numeris"/>
                          <w:tag w:val="nr_fd67b8837c494c89af8e7d1cef9bcbbb"/>
                          <w:lock w:val="sdtLocked"/>
                          <w:richText/>
                        </w:sdtPr>
                        <w:sdtContent>
                          <w:r>
                            <w:rPr>
                              <w:bCs/>
                              <w:sz w:val="22"/>
                              <w:szCs w:val="22"/>
                            </w:rPr>
                            <w:t>7</w:t>
                          </w:r>
                        </w:sdtContent>
                      </w:sdt>
                      <w:r>
                        <w:rPr>
                          <w:bCs/>
                          <w:sz w:val="22"/>
                          <w:szCs w:val="22"/>
                        </w:rPr>
                        <w:t>. Pagrindinių sandorio šalių pertvarkymo institucijos su vidaus administravimu susijusi veikla finansuojama Lietuvos banko lėšomis.</w:t>
                      </w:r>
                      <w:r>
                        <w:t xml:space="preserve"> </w:t>
                      </w:r>
                    </w:p>
                    <w:p>
                      <w:pPr>
                        <w:tabs>
                          <w:tab w:val="left" w:pos="993"/>
                        </w:tabs>
                        <w:jc w:val="both"/>
                        <w:rPr>
                          <w:b/>
                          <w:i/>
                          <w:sz w:val="20"/>
                        </w:rPr>
                      </w:pPr>
                      <w:r>
                        <w:rPr>
                          <w:b/>
                          <w:i/>
                          <w:sz w:val="20"/>
                        </w:rPr>
                        <w:t>7 dalies redakcija, įsigaliojanti įsigalioja kitą darbo dieną po to, kai Lietuvos bankas apie pirmąjį Lietuvos banko pagrindinei sandorio šaliai išduotą veiklos leidimą praneša Teisės aktų registro tvarkytojui:</w:t>
                      </w:r>
                    </w:p>
                    <w:p>
                      <w:pPr>
                        <w:tabs>
                          <w:tab w:val="left" w:pos="993"/>
                        </w:tabs>
                        <w:ind w:firstLine="720"/>
                        <w:jc w:val="both"/>
                        <w:rPr>
                          <w:sz w:val="22"/>
                        </w:rPr>
                      </w:pPr>
                      <w:r>
                        <w:t xml:space="preserve">7. Šio </w:t>
                      </w:r>
                      <w:r>
                        <w:rPr>
                          <w:sz w:val="22"/>
                          <w:szCs w:val="22"/>
                        </w:rPr>
                        <w:t xml:space="preserve">straipsnio nuostatos, reglamentuojančios finansų sektoriaus subjektų pertvarkymo institucijos veiklos finansavimą, </w:t>
                      </w:r>
                      <w:r>
                        <w:rPr>
                          <w:i/>
                          <w:iCs/>
                          <w:sz w:val="22"/>
                          <w:szCs w:val="22"/>
                        </w:rPr>
                        <w:t>mutatis mutandis</w:t>
                      </w:r>
                      <w:r>
                        <w:rPr>
                          <w:sz w:val="22"/>
                          <w:szCs w:val="22"/>
                        </w:rPr>
                        <w:t xml:space="preserve"> taikomos pagrindinių sandorio šalių pertvarkymo institucijai. Finansų rinkos dalyviai, privalantys mokėti įmokas pagrindinių sandorio šalių pertvarkymo institucijos išlaidoms padengti, ir maksimalūs šių įmokų dydžiai nustatyti šio įstatymo 2</w:t>
                      </w:r>
                      <w:r>
                        <w:rPr>
                          <w:sz w:val="22"/>
                          <w:szCs w:val="22"/>
                          <w:vertAlign w:val="superscript"/>
                        </w:rPr>
                        <w:t>1</w:t>
                      </w:r>
                      <w:r>
                        <w:rPr>
                          <w:sz w:val="22"/>
                          <w:szCs w:val="22"/>
                        </w:rPr>
                        <w:t xml:space="preserve">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7487763b72b44790bde0a48d61f73af7"/>
                <w:lock w:val="sdtLocked"/>
                <w:richText/>
              </w:sdtPr>
              <w:sdtContent>
                <w:p>
                  <w:pPr>
                    <w:ind w:firstLine="720"/>
                    <w:jc w:val="both"/>
                    <w:rPr>
                      <w:color w:val="000000"/>
                      <w:sz w:val="22"/>
                      <w:szCs w:val="22"/>
                      <w:lang w:eastAsia="lt-LT"/>
                    </w:rPr>
                  </w:pPr>
                  <w:sdt>
                    <w:sdtPr>
                      <w:alias w:val="Numeris"/>
                      <w:tag w:val="nr_7487763b72b44790bde0a48d61f73af7"/>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7487763b72b44790bde0a48d61f73af7"/>
                      <w:lock w:val="sdtLocked"/>
                      <w:richText/>
                    </w:sdtPr>
                    <w:sdtContent>
                      <w:r>
                        <w:rPr>
                          <w:b/>
                          <w:bCs/>
                          <w:color w:val="000000"/>
                          <w:sz w:val="22"/>
                          <w:szCs w:val="22"/>
                          <w:lang w:eastAsia="lt-LT"/>
                        </w:rPr>
                        <w:t>Lietuvos banko nuostolio padengimas ir pelno paskirstymas</w:t>
                      </w:r>
                    </w:sdtContent>
                  </w:sdt>
                </w:p>
                <w:sdt>
                  <w:sdtPr>
                    <w:alias w:val="23 str. 1 d."/>
                    <w:tag w:val="part_ebf7c04a01a44b7d8d865a38c4137945"/>
                    <w:lock w:val="sdtLocked"/>
                    <w:richText/>
                  </w:sdtPr>
                  <w:sdtContent>
                    <w:p>
                      <w:pPr>
                        <w:ind w:firstLine="720"/>
                        <w:jc w:val="both"/>
                        <w:rPr>
                          <w:color w:val="000000"/>
                          <w:sz w:val="22"/>
                          <w:szCs w:val="22"/>
                          <w:lang w:eastAsia="lt-LT"/>
                        </w:rPr>
                      </w:pPr>
                      <w:sdt>
                        <w:sdtPr>
                          <w:alias w:val="Numeris"/>
                          <w:tag w:val="nr_ebf7c04a01a44b7d8d865a38c4137945"/>
                          <w:lock w:val="sdtLocked"/>
                          <w:richText/>
                        </w:sdtPr>
                        <w:sdtContent>
                          <w:r>
                            <w:rPr>
                              <w:color w:val="000000"/>
                              <w:sz w:val="22"/>
                              <w:szCs w:val="22"/>
                              <w:lang w:eastAsia="lt-LT"/>
                            </w:rPr>
                            <w:t>1</w:t>
                          </w:r>
                        </w:sdtContent>
                      </w:sdt>
                      <w:r>
                        <w:rPr>
                          <w:color w:val="000000"/>
                          <w:sz w:val="22"/>
                          <w:szCs w:val="22"/>
                          <w:lang w:eastAsia="lt-LT"/>
                        </w:rPr>
                        <w:t xml:space="preserve">. Šio įstatymo nustatyta tvarka patvirtinus paskutinių pasibaigusių finansinių metų finansinių ataskaitų rinkinį, tų </w:t>
                      </w:r>
                      <w:r>
                        <w:rPr>
                          <w:color w:val="000000"/>
                          <w:sz w:val="22"/>
                          <w:szCs w:val="22"/>
                          <w:shd w:val="clear" w:color="auto" w:fill="FFFFFF"/>
                          <w:lang w:eastAsia="lt-LT"/>
                        </w:rPr>
                        <w:t xml:space="preserve">metų </w:t>
                      </w:r>
                      <w:r>
                        <w:rPr>
                          <w:color w:val="000000"/>
                          <w:sz w:val="22"/>
                          <w:szCs w:val="22"/>
                          <w:lang w:eastAsia="lt-LT"/>
                        </w:rPr>
                        <w:t>pelnas skirstomas ar nuostolis dengiamas šiame straipsnyje nustatyta tvarka.</w:t>
                      </w:r>
                    </w:p>
                  </w:sdtContent>
                </w:sdt>
                <w:sdt>
                  <w:sdtPr>
                    <w:alias w:val="23 str. 2 d."/>
                    <w:tag w:val="part_67656bb77a754124a62aff07c36526b8"/>
                    <w:lock w:val="sdtLocked"/>
                    <w:richText/>
                  </w:sdtPr>
                  <w:sdtContent>
                    <w:p>
                      <w:pPr>
                        <w:ind w:firstLine="720"/>
                        <w:jc w:val="both"/>
                        <w:rPr>
                          <w:color w:val="000000"/>
                          <w:sz w:val="22"/>
                          <w:szCs w:val="22"/>
                          <w:lang w:eastAsia="lt-LT"/>
                        </w:rPr>
                      </w:pPr>
                      <w:sdt>
                        <w:sdtPr>
                          <w:alias w:val="Numeris"/>
                          <w:tag w:val="nr_67656bb77a754124a62aff07c36526b8"/>
                          <w:lock w:val="sdtLocked"/>
                          <w:richText/>
                        </w:sdtPr>
                        <w:sdtContent>
                          <w:r>
                            <w:rPr>
                              <w:color w:val="000000"/>
                              <w:sz w:val="22"/>
                              <w:szCs w:val="22"/>
                              <w:lang w:eastAsia="lt-LT"/>
                            </w:rPr>
                            <w:t>2</w:t>
                          </w:r>
                        </w:sdtContent>
                      </w:sdt>
                      <w:r>
                        <w:rPr>
                          <w:color w:val="000000"/>
                          <w:sz w:val="22"/>
                          <w:szCs w:val="22"/>
                          <w:lang w:eastAsia="lt-LT"/>
                        </w:rPr>
                        <w:t xml:space="preserve">. </w:t>
                      </w:r>
                      <w:r>
                        <w:rPr>
                          <w:color w:val="000000"/>
                          <w:sz w:val="22"/>
                          <w:szCs w:val="22"/>
                          <w:shd w:val="clear" w:color="auto" w:fill="FFFFFF"/>
                          <w:lang w:eastAsia="lt-LT"/>
                        </w:rPr>
                        <w:t>Nuostolis</w:t>
                      </w:r>
                      <w:r>
                        <w:rPr>
                          <w:color w:val="000000"/>
                          <w:sz w:val="22"/>
                          <w:szCs w:val="22"/>
                          <w:lang w:eastAsia="lt-LT"/>
                        </w:rPr>
                        <w:t xml:space="preserve"> dengiamas turimu Lietuvos banko atsargos kapitalu. Kai atsargos kapitalo nepakanka šiam nuostoliui dengti, likęs nepadengtas nuostolis dengiamas paskesnių finansinių metų pelnu.</w:t>
                      </w:r>
                    </w:p>
                  </w:sdtContent>
                </w:sdt>
                <w:sdt>
                  <w:sdtPr>
                    <w:alias w:val="23 str. 3 d."/>
                    <w:tag w:val="part_93866160eba54ba3b13496549ff33f20"/>
                    <w:lock w:val="sdtLocked"/>
                    <w:richText/>
                  </w:sdtPr>
                  <w:sdtContent>
                    <w:p>
                      <w:pPr>
                        <w:ind w:firstLine="720"/>
                        <w:jc w:val="both"/>
                        <w:rPr>
                          <w:color w:val="000000"/>
                          <w:sz w:val="22"/>
                          <w:szCs w:val="22"/>
                          <w:lang w:eastAsia="lt-LT"/>
                        </w:rPr>
                      </w:pPr>
                      <w:sdt>
                        <w:sdtPr>
                          <w:alias w:val="Numeris"/>
                          <w:tag w:val="nr_93866160eba54ba3b13496549ff33f20"/>
                          <w:lock w:val="sdtLocked"/>
                          <w:richText/>
                        </w:sdtPr>
                        <w:sdtContent>
                          <w:r>
                            <w:rPr>
                              <w:color w:val="000000"/>
                              <w:sz w:val="22"/>
                              <w:szCs w:val="22"/>
                              <w:lang w:eastAsia="lt-LT"/>
                            </w:rPr>
                            <w:t>3</w:t>
                          </w:r>
                        </w:sdtContent>
                      </w:sdt>
                      <w:r>
                        <w:rPr>
                          <w:color w:val="000000"/>
                          <w:sz w:val="22"/>
                          <w:szCs w:val="22"/>
                          <w:lang w:eastAsia="lt-LT"/>
                        </w:rPr>
                        <w:t xml:space="preserve">. </w:t>
                      </w:r>
                      <w:r>
                        <w:rPr>
                          <w:color w:val="000000"/>
                          <w:sz w:val="22"/>
                          <w:szCs w:val="22"/>
                          <w:shd w:val="clear" w:color="auto" w:fill="FFFFFF"/>
                          <w:lang w:eastAsia="lt-LT"/>
                        </w:rPr>
                        <w:t>Pelnas</w:t>
                      </w:r>
                      <w:r>
                        <w:rPr>
                          <w:color w:val="000000"/>
                          <w:sz w:val="22"/>
                          <w:szCs w:val="22"/>
                          <w:lang w:eastAsia="lt-LT"/>
                        </w:rPr>
                        <w:t xml:space="preserve"> skirstomas šia eilės tvarka:</w:t>
                      </w:r>
                    </w:p>
                    <w:sdt>
                      <w:sdtPr>
                        <w:alias w:val="23 str. 3 d. 1 p."/>
                        <w:tag w:val="part_49ebc5a398f0401baaaf42e7b805e78b"/>
                        <w:lock w:val="sdtLocked"/>
                        <w:richText/>
                      </w:sdtPr>
                      <w:sdtContent>
                        <w:p>
                          <w:pPr>
                            <w:ind w:firstLine="720"/>
                            <w:jc w:val="both"/>
                            <w:rPr>
                              <w:color w:val="000000"/>
                              <w:sz w:val="22"/>
                              <w:szCs w:val="22"/>
                              <w:lang w:eastAsia="lt-LT"/>
                            </w:rPr>
                          </w:pPr>
                          <w:sdt>
                            <w:sdtPr>
                              <w:alias w:val="Numeris"/>
                              <w:tag w:val="nr_49ebc5a398f0401baaaf42e7b805e78b"/>
                              <w:lock w:val="sdtLocked"/>
                              <w:richText/>
                            </w:sdtPr>
                            <w:sdtContent>
                              <w:r>
                                <w:rPr>
                                  <w:color w:val="000000"/>
                                  <w:sz w:val="22"/>
                                  <w:szCs w:val="22"/>
                                  <w:lang w:eastAsia="lt-LT"/>
                                </w:rPr>
                                <w:t>1</w:t>
                              </w:r>
                            </w:sdtContent>
                          </w:sdt>
                          <w:r>
                            <w:rPr>
                              <w:color w:val="000000"/>
                              <w:sz w:val="22"/>
                              <w:szCs w:val="22"/>
                              <w:lang w:eastAsia="lt-LT"/>
                            </w:rPr>
                            <w:t>) ankstesnių finansinių metų nepadengtiems nuostoliams dengti;</w:t>
                          </w:r>
                        </w:p>
                      </w:sdtContent>
                    </w:sdt>
                    <w:sdt>
                      <w:sdtPr>
                        <w:alias w:val="23 str. 3 d. 2 p."/>
                        <w:tag w:val="part_84fad8ec0d9f4bc287c54152499a7023"/>
                        <w:lock w:val="sdtLocked"/>
                        <w:richText/>
                      </w:sdtPr>
                      <w:sdtContent>
                        <w:p>
                          <w:pPr>
                            <w:ind w:firstLine="720"/>
                            <w:jc w:val="both"/>
                            <w:rPr>
                              <w:color w:val="000000"/>
                              <w:sz w:val="22"/>
                              <w:szCs w:val="22"/>
                              <w:lang w:eastAsia="lt-LT"/>
                            </w:rPr>
                          </w:pPr>
                          <w:sdt>
                            <w:sdtPr>
                              <w:alias w:val="Numeris"/>
                              <w:tag w:val="nr_84fad8ec0d9f4bc287c54152499a7023"/>
                              <w:lock w:val="sdtLocked"/>
                              <w:richText/>
                            </w:sdtPr>
                            <w:sdtContent>
                              <w:r>
                                <w:rPr>
                                  <w:color w:val="000000"/>
                                  <w:sz w:val="22"/>
                                  <w:szCs w:val="22"/>
                                  <w:lang w:eastAsia="lt-LT"/>
                                </w:rPr>
                                <w:t>2</w:t>
                              </w:r>
                            </w:sdtContent>
                          </w:sdt>
                          <w:r>
                            <w:rPr>
                              <w:color w:val="000000"/>
                              <w:sz w:val="22"/>
                              <w:szCs w:val="22"/>
                              <w:lang w:eastAsia="lt-LT"/>
                            </w:rPr>
                            <w:t>) po paskirstymo pagal šios dalies 1 punkto nuostatas likusi suma ar jos dalis skiriama įstatiniam kapitalui iki šio įstatymo 20 straipsnyje nustatyto dydžio;</w:t>
                          </w:r>
                        </w:p>
                      </w:sdtContent>
                    </w:sdt>
                    <w:sdt>
                      <w:sdtPr>
                        <w:alias w:val="23 str. 3 d. 3 p."/>
                        <w:tag w:val="part_9999958c0c08420194340d6073422472"/>
                        <w:lock w:val="sdtLocked"/>
                        <w:richText/>
                      </w:sdtPr>
                      <w:sdtContent>
                        <w:p>
                          <w:pPr>
                            <w:ind w:firstLine="720"/>
                            <w:jc w:val="both"/>
                            <w:rPr>
                              <w:color w:val="000000"/>
                              <w:sz w:val="22"/>
                              <w:szCs w:val="22"/>
                              <w:lang w:eastAsia="lt-LT"/>
                            </w:rPr>
                          </w:pPr>
                          <w:sdt>
                            <w:sdtPr>
                              <w:alias w:val="Numeris"/>
                              <w:tag w:val="nr_9999958c0c08420194340d6073422472"/>
                              <w:lock w:val="sdtLocked"/>
                              <w:richText/>
                            </w:sdtPr>
                            <w:sdtContent>
                              <w:r>
                                <w:rPr>
                                  <w:color w:val="000000"/>
                                  <w:sz w:val="22"/>
                                  <w:szCs w:val="22"/>
                                  <w:lang w:eastAsia="lt-LT"/>
                                </w:rPr>
                                <w:t>3</w:t>
                              </w:r>
                            </w:sdtContent>
                          </w:sdt>
                          <w:r>
                            <w:rPr>
                              <w:color w:val="000000"/>
                              <w:sz w:val="22"/>
                              <w:szCs w:val="22"/>
                              <w:lang w:eastAsia="lt-LT"/>
                            </w:rPr>
                            <w:t>) po paskirstymo pagal šios dalies 2 punkto nuostatas likusi suma ar jos dalis skiriama 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0246834eec45468288a510d127a1f9d3"/>
                        <w:lock w:val="sdtLocked"/>
                        <w:richText/>
                      </w:sdtPr>
                      <w:sdtContent>
                        <w:p>
                          <w:pPr>
                            <w:ind w:firstLine="720"/>
                            <w:jc w:val="both"/>
                            <w:rPr>
                              <w:color w:val="000000"/>
                              <w:sz w:val="22"/>
                              <w:szCs w:val="22"/>
                              <w:lang w:eastAsia="lt-LT"/>
                            </w:rPr>
                          </w:pPr>
                          <w:sdt>
                            <w:sdtPr>
                              <w:alias w:val="Numeris"/>
                              <w:tag w:val="nr_0246834eec45468288a510d127a1f9d3"/>
                              <w:lock w:val="sdtLocked"/>
                              <w:richText/>
                            </w:sdtPr>
                            <w:sdtContent>
                              <w:r>
                                <w:rPr>
                                  <w:color w:val="000000"/>
                                  <w:sz w:val="22"/>
                                  <w:szCs w:val="22"/>
                                  <w:lang w:eastAsia="lt-LT"/>
                                </w:rPr>
                                <w:t>4</w:t>
                              </w:r>
                            </w:sdtContent>
                          </w:sdt>
                          <w:r>
                            <w:rPr>
                              <w:color w:val="000000"/>
                              <w:sz w:val="22"/>
                              <w:szCs w:val="22"/>
                              <w:lang w:eastAsia="lt-LT"/>
                            </w:rPr>
                            <w:t>) po paskirstymo pagal šios dalies 3 punkto nuostatas likusi suma skiriama Lietuvos banko pelno įmokai į valstybės biudžetą.</w:t>
                          </w:r>
                        </w:p>
                        <w:p>
                          <w:pPr>
                            <w:jc w:val="both"/>
                            <w:rPr>
                              <w:b/>
                              <w:sz w:val="22"/>
                            </w:rPr>
                          </w:pPr>
                          <w:r>
                            <w:rPr>
                              <w:b/>
                              <w:i/>
                              <w:color w:val="000000"/>
                              <w:sz w:val="20"/>
                              <w:lang w:eastAsia="lt-LT"/>
                            </w:rPr>
                            <w:t>TAR pastaba</w:t>
                          </w:r>
                          <w:r>
                            <w:rPr>
                              <w:i/>
                              <w:color w:val="000000"/>
                              <w:sz w:val="20"/>
                              <w:lang w:eastAsia="lt-LT"/>
                            </w:rPr>
                            <w:t>. 2025-04-10 įstatymu XV-153 keičiamas 23 straipsnis taikomas skirstant 2024 metų ir vėlesnių finansinių metų Lietuvos banko pelną ar dengiant nuostolį</w:t>
                          </w:r>
                          <w:r>
                            <w:rPr>
                              <w:color w:val="000000"/>
                              <w:szCs w:val="24"/>
                              <w:lang w:eastAsia="lt-LT"/>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4532016c011f08fdabd4950271e2c">
                    <w:r w:rsidRPr="00532B9F">
                      <w:rPr>
                        <w:rFonts w:ascii="Times New Roman" w:eastAsia="MS Mincho" w:hAnsi="Times New Roman"/>
                        <w:sz w:val="20"/>
                        <w:i/>
                        <w:iCs/>
                        <w:color w:val="0000FF" w:themeColor="hyperlink"/>
                        <w:u w:val="single"/>
                      </w:rPr>
                      <w:t>XV-153</w:t>
                    </w:r>
                  </w:fldSimple>
                  <w:r>
                    <w:rPr>
                      <w:rFonts w:ascii="Times New Roman" w:eastAsia="MS Mincho" w:hAnsi="Times New Roman"/>
                      <w:sz w:val="20"/>
                      <w:i/>
                      <w:iCs/>
                    </w:rPr>
                    <w:t>,
2025-04-10,
paskelbta TAR 2025-04-11, i. k. 2025-06427            </w:t>
                  </w:r>
                </w:p>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0"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0"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4"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b179321a49a64ac89c9b491e2aefb17c"/>
            <w:lock w:val="sdtLocked"/>
            <w:richText/>
          </w:sdtPr>
          <w:sdtContent>
            <w:p>
              <w:pPr>
                <w:keepNext/>
                <w:jc w:val="center"/>
                <w:rPr>
                  <w:b/>
                  <w:sz w:val="22"/>
                </w:rPr>
              </w:pPr>
              <w:sdt>
                <w:sdtPr>
                  <w:alias w:val="Numeris"/>
                  <w:tag w:val="nr_b179321a49a64ac89c9b491e2aefb17c"/>
                  <w:lock w:val="sdtLocked"/>
                  <w:richText/>
                </w:sdtPr>
                <w:sdtContent>
                  <w:r>
                    <w:rPr>
                      <w:b/>
                      <w:sz w:val="22"/>
                    </w:rPr>
                    <w:t>ŠEŠTASIS</w:t>
                  </w:r>
                </w:sdtContent>
              </w:sdt>
              <w:r>
                <w:rPr>
                  <w:b/>
                  <w:sz w:val="22"/>
                </w:rPr>
                <w:t xml:space="preserve"> SKIRSNIS</w:t>
              </w:r>
            </w:p>
            <w:p>
              <w:pPr>
                <w:jc w:val="center"/>
                <w:rPr>
                  <w:b/>
                  <w:sz w:val="22"/>
                </w:rPr>
              </w:pPr>
              <w:sdt>
                <w:sdtPr>
                  <w:alias w:val="Pavadinimas"/>
                  <w:tag w:val="title_b179321a49a64ac89c9b491e2aefb17c"/>
                  <w:lock w:val="sdtLocked"/>
                  <w:richText/>
                </w:sdtPr>
                <w:sdtContent>
                  <w:r>
                    <w:rPr>
                      <w:b/>
                      <w:sz w:val="22"/>
                    </w:rPr>
                    <w:t xml:space="preserve">FISKALINIO AGENTO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114542aac8744aa1bdc1d6766fd24779"/>
                <w:lock w:val="sdtLocked"/>
                <w:richText/>
              </w:sdtPr>
              <w:sdtContent>
                <w:p>
                  <w:pPr>
                    <w:ind w:left="2552" w:hanging="1832"/>
                    <w:jc w:val="both"/>
                    <w:rPr>
                      <w:b/>
                      <w:color w:val="000000"/>
                      <w:sz w:val="22"/>
                      <w:szCs w:val="22"/>
                      <w:lang w:eastAsia="lt-LT"/>
                    </w:rPr>
                  </w:pPr>
                  <w:sdt>
                    <w:sdtPr>
                      <w:alias w:val="Numeris"/>
                      <w:tag w:val="nr_114542aac8744aa1bdc1d6766fd24779"/>
                      <w:lock w:val="sdtLocked"/>
                      <w:richText/>
                    </w:sdtPr>
                    <w:sdtContent>
                      <w:r>
                        <w:rPr>
                          <w:b/>
                          <w:bCs/>
                          <w:color w:val="000000"/>
                          <w:sz w:val="22"/>
                          <w:szCs w:val="22"/>
                          <w:lang w:eastAsia="lt-LT"/>
                        </w:rPr>
                        <w:t>38</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114542aac8744aa1bdc1d6766fd24779"/>
                      <w:lock w:val="sdtLocked"/>
                      <w:richText/>
                    </w:sdtPr>
                    <w:sdtContent>
                      <w:r>
                        <w:rPr>
                          <w:b/>
                          <w:bCs/>
                          <w:color w:val="000000"/>
                          <w:sz w:val="22"/>
                          <w:szCs w:val="22"/>
                          <w:lang w:eastAsia="lt-LT"/>
                        </w:rPr>
                        <w:t>Viešųjų subjektų sąskaitų tvarkymas ir finansinių operacijų viešiesiems subjektams atlikimas</w:t>
                      </w:r>
                    </w:sdtContent>
                  </w:sdt>
                </w:p>
                <w:sdt>
                  <w:sdtPr>
                    <w:alias w:val="38 str. 1 d."/>
                    <w:tag w:val="part_e3e3a852192a4c5b86774dd085652bea"/>
                    <w:lock w:val="sdtLocked"/>
                    <w:richText/>
                  </w:sdtPr>
                  <w:sdtContent>
                    <w:p>
                      <w:pPr>
                        <w:ind w:firstLine="720"/>
                        <w:jc w:val="both"/>
                        <w:rPr>
                          <w:sz w:val="22"/>
                          <w:szCs w:val="22"/>
                        </w:rPr>
                      </w:pPr>
                      <w:r>
                        <w:rPr>
                          <w:color w:val="000000"/>
                          <w:sz w:val="22"/>
                          <w:szCs w:val="22"/>
                        </w:rPr>
                        <w:t xml:space="preserve">Lietuvos bankas turi teisę atidaryti ir tvarkyti viešųjų subjektų </w:t>
                      </w:r>
                      <w:r>
                        <w:rPr>
                          <w:sz w:val="22"/>
                          <w:szCs w:val="22"/>
                        </w:rPr>
                        <w:t xml:space="preserve">sąskaitas ir atlikti finansines operacijas viešiesiems subjektams Lietuvos banko nustatyta tvarka ir sąlygomis. </w:t>
                      </w:r>
                    </w:p>
                    <w:p>
                      <w:pPr>
                        <w:jc w:val="both"/>
                        <w:rPr>
                          <w:bCs/>
                          <w:i/>
                          <w:iCs/>
                          <w:sz w:val="20"/>
                        </w:rPr>
                      </w:pPr>
                      <w:r>
                        <w:rPr>
                          <w:bCs/>
                          <w:i/>
                          <w:iCs/>
                          <w:sz w:val="20"/>
                        </w:rPr>
                        <w:t>Straipsnio pakeitimai:</w:t>
                      </w:r>
                    </w:p>
                    <w:p>
                      <w:pPr>
                        <w:jc w:val="both"/>
                        <w:rPr>
                          <w:sz w:val="22"/>
                        </w:rPr>
                      </w:pPr>
                      <w:r>
                        <w:rPr>
                          <w:rFonts w:eastAsia="MS Mincho"/>
                          <w:i/>
                          <w:iCs/>
                          <w:sz w:val="20"/>
                        </w:rPr>
                        <w:t xml:space="preserve">Nr. </w:t>
                      </w:r>
                      <w:hyperlink r:id="rId163" w:history="1">
                        <w:r>
                          <w:rPr>
                            <w:rFonts w:eastAsia="MS Mincho"/>
                            <w:i/>
                            <w:iCs/>
                            <w:color w:val="0000FF"/>
                            <w:sz w:val="20"/>
                            <w:u w:val="single"/>
                          </w:rPr>
                          <w:t>X-569</w:t>
                        </w:r>
                      </w:hyperlink>
                      <w:r>
                        <w:rPr>
                          <w:rFonts w:eastAsia="MS Mincho"/>
                          <w:i/>
                          <w:iCs/>
                          <w:sz w:val="20"/>
                        </w:rPr>
                        <w:t>, 2006-04-25, Žin., 2006, Nr. 48-1699 (2006-04-29)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a76ab049e411eb8d9fe110e148c770">
                    <w:r w:rsidRPr="00532B9F">
                      <w:rPr>
                        <w:rFonts w:ascii="Times New Roman" w:eastAsia="MS Mincho" w:hAnsi="Times New Roman"/>
                        <w:sz w:val="20"/>
                        <w:i/>
                        <w:iCs/>
                        <w:color w:val="0000FF" w:themeColor="hyperlink"/>
                        <w:u w:val="single"/>
                      </w:rPr>
                      <w:t>XIV-111</w:t>
                    </w:r>
                  </w:fldSimple>
                  <w:r>
                    <w:rPr>
                      <w:rFonts w:ascii="Times New Roman" w:eastAsia="MS Mincho" w:hAnsi="Times New Roman"/>
                      <w:sz w:val="20"/>
                      <w:i/>
                      <w:iCs/>
                    </w:rPr>
                    <w:t>,
2020-12-22,
paskelbta TAR 2020-12-29, i. k. 2020-28967            </w:t>
                  </w:r>
                </w:p>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88"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89"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96f1e3a076ab41daa162a4b17f030209"/>
                    <w:lock w:val="sdtLocked"/>
                    <w:richText/>
                  </w:sdtPr>
                  <w:sdtContent>
                    <w:p>
                      <w:pPr>
                        <w:ind w:firstLine="720"/>
                        <w:jc w:val="both"/>
                        <w:rPr>
                          <w:bCs/>
                          <w:sz w:val="22"/>
                          <w:szCs w:val="22"/>
                        </w:rPr>
                      </w:pPr>
                      <w:sdt>
                        <w:sdtPr>
                          <w:alias w:val="Numeris"/>
                          <w:tag w:val="nr_96f1e3a076ab41daa162a4b17f030209"/>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Europos asmeninės pensijos produkto teikėjai ir Europos asmeninės pensijos produkto platintojai, depozitoriumai, užsienio valstybių finansų maklerio įmonės ir valdymo įmonių filialai, įsteigti Lietuvos Respublikoje, profesinių pensijų asociacijos (toliau – pensijų asociacijos), pensijų anuitetų mokėtojai,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paslaugų teikėjai, mokėjimo ir vertybinių popierių atsiskaitymo sistemų operatoriai, nacionalinės plėtros įstaigos ir valiutos keityklų operatoriai, mišrios veiklos finansų kontroliuojančiosios įmonės, įsteigtos Lietuvos Respublikoje, finansų kontroliuojančiosios bendrovės, įsteigtos Lietuvos Respublikoje, pagrindinės sandorio šalys,</w:t>
                      </w:r>
                      <w:r>
                        <w:rPr>
                          <w:bCs/>
                          <w:sz w:val="22"/>
                          <w:szCs w:val="22"/>
                          <w:lang w:eastAsia="lt-LT"/>
                        </w:rPr>
                        <w:t xml:space="preserve"> </w:t>
                      </w:r>
                      <w:r>
                        <w:rPr>
                          <w:sz w:val="22"/>
                          <w:szCs w:val="22"/>
                          <w:lang w:eastAsia="lt-LT"/>
                        </w:rPr>
                        <w:t>padengtųjų obligacijų bendrovės, pakeitimo vertybiniais popieriais bendrovės ir pakeitimo vertybiniais popieriais iniciatoriai, pakeitimo vertybiniais popieriais rėmėjai, pirminiai skolintojai ir trečiosios šalys, tikrinančios pakeitimo vertybiniais popieriais atitiktį paprastiems, skaidriems ir standartizuotiems kriterijams (toliau – PSS kriterijai), su turtu susietų žetonų emitentai, elektroninių pinigų žetonų emitentai, kredito administratoriai</w:t>
                      </w:r>
                      <w:r>
                        <w:rPr>
                          <w:bCs/>
                          <w:sz w:val="22"/>
                          <w:szCs w:val="22"/>
                          <w:lang w:eastAsia="lt-LT"/>
                        </w:rPr>
                        <w:t xml:space="preserve">, </w:t>
                      </w:r>
                      <w:r>
                        <w:rPr>
                          <w:bCs/>
                          <w:kern w:val="2"/>
                          <w:sz w:val="22"/>
                          <w:szCs w:val="22"/>
                          <w:lang w:eastAsia="lt-LT"/>
                        </w:rPr>
                        <w:t>kriptoturto paslaugų teikėjai, asmenys, viešai siūlantys ar prašantys įtraukti į prekybą kriptoturtą, kuris nėra su turtu susieti žetonai arba elektroninių pinigų žetonai.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6d46505ea911edbc04912defe897d1">
                        <w:r w:rsidRPr="00532B9F">
                          <w:rPr>
                            <w:rFonts w:ascii="Times New Roman" w:eastAsia="MS Mincho" w:hAnsi="Times New Roman"/>
                            <w:sz w:val="20"/>
                            <w:i/>
                            <w:iCs/>
                            <w:color w:val="0000FF" w:themeColor="hyperlink"/>
                            <w:u w:val="single"/>
                          </w:rPr>
                          <w:t>XIV-1461</w:t>
                        </w:r>
                      </w:fldSimple>
                      <w:r>
                        <w:rPr>
                          <w:rFonts w:ascii="Times New Roman" w:eastAsia="MS Mincho" w:hAnsi="Times New Roman"/>
                          <w:sz w:val="20"/>
                          <w:i/>
                          <w:iCs/>
                        </w:rPr>
                        <w:t>,
2022-10-27,
paskelbta TAR 2022-11-07, i. k. 2022-22572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725a7997be744c26978fff2551e00032"/>
                        <w:lock w:val="sdtLocked"/>
                        <w:richText/>
                      </w:sdtPr>
                      <w:sdtContent>
                        <w:p>
                          <w:pPr>
                            <w:ind w:firstLine="720"/>
                            <w:jc w:val="both"/>
                            <w:rPr>
                              <w:bCs/>
                              <w:sz w:val="22"/>
                              <w:szCs w:val="22"/>
                            </w:rPr>
                          </w:pPr>
                          <w:sdt>
                            <w:sdtPr>
                              <w:alias w:val="Numeris"/>
                              <w:tag w:val="nr_725a7997be744c26978fff2551e00032"/>
                              <w:lock w:val="sdtLocked"/>
                              <w:richText/>
                            </w:sdtPr>
                            <w:sdtContent>
                              <w:r>
                                <w:rPr>
                                  <w:sz w:val="22"/>
                                  <w:szCs w:val="22"/>
                                </w:rPr>
                                <w:t>1</w:t>
                              </w:r>
                            </w:sdtContent>
                          </w:sdt>
                          <w:r>
                            <w:rPr>
                              <w:sz w:val="22"/>
                              <w:szCs w:val="22"/>
                            </w:rPr>
                            <w:t xml:space="preserve">) atlieka bankų, užsienio valstybių bankų filialų, įsteigtų Lietuvos Respublikoje, centrinių kredito unijų, kredito unijų priežiūrą ir kitas Lietuvos Respublikos bankų įstatymo, Lietuvos Respublikos centrinių kredito unijų įstatymo </w:t>
                          </w:r>
                          <w:r>
                            <w:rPr>
                              <w:bCs/>
                              <w:sz w:val="22"/>
                              <w:szCs w:val="22"/>
                            </w:rPr>
                            <w:t>ir</w:t>
                          </w:r>
                          <w:r>
                            <w:rPr>
                              <w:sz w:val="22"/>
                              <w:szCs w:val="22"/>
                            </w:rPr>
                            <w:t xml:space="preserve"> Lietuvos Respublikos kredito unijų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7ebd56905eb9460596297b10271d3d26"/>
                        <w:lock w:val="sdtLocked"/>
                        <w:richText/>
                      </w:sdtPr>
                      <w:sdtContent>
                        <w:p>
                          <w:pPr>
                            <w:ind w:firstLine="720"/>
                            <w:jc w:val="both"/>
                            <w:rPr>
                              <w:bCs/>
                              <w:sz w:val="22"/>
                              <w:szCs w:val="22"/>
                            </w:rPr>
                          </w:pPr>
                          <w:sdt>
                            <w:sdtPr>
                              <w:alias w:val="Numeris"/>
                              <w:tag w:val="nr_7ebd56905eb9460596297b10271d3d26"/>
                              <w:lock w:val="sdtLocked"/>
                              <w:richText/>
                            </w:sdtPr>
                            <w:sdtContent>
                              <w:r>
                                <w:rPr>
                                  <w:sz w:val="22"/>
                                  <w:szCs w:val="22"/>
                                </w:rPr>
                                <w:t>3</w:t>
                              </w:r>
                            </w:sdtContent>
                          </w:sdt>
                          <w:r>
                            <w:rPr>
                              <w:sz w:val="22"/>
                              <w:szCs w:val="22"/>
                            </w:rPr>
                            <w:t>) atlieka elektroninių pinigų įstaigų, elektroninių pinigų įstaigų tarpininkų ir užsienio valstybių elektroninių pinigų įstaigų filialų, įsteigtų Lietuvos Respublikoje, priežiūrą, įstatymų, reglamentuojančių šių subjektų veiklą,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42 str. 2 d. 4 p."/>
                        <w:tag w:val="part_752f170494f349e889d8bbbc5b26494e"/>
                        <w:lock w:val="sdtLocked"/>
                        <w:richText/>
                      </w:sdtPr>
                      <w:sdtContent>
                        <w:p>
                          <w:pPr>
                            <w:ind w:firstLine="720"/>
                            <w:jc w:val="both"/>
                            <w:rPr>
                              <w:bCs/>
                              <w:sz w:val="22"/>
                              <w:szCs w:val="22"/>
                            </w:rPr>
                          </w:pPr>
                          <w:sdt>
                            <w:sdtPr>
                              <w:alias w:val="Numeris"/>
                              <w:tag w:val="nr_752f170494f349e889d8bbbc5b26494e"/>
                              <w:lock w:val="sdtLocked"/>
                              <w:richText/>
                            </w:sdtPr>
                            <w:sdtContent>
                              <w:r>
                                <w:rPr>
                                  <w:sz w:val="22"/>
                                  <w:szCs w:val="22"/>
                                  <w:lang w:eastAsia="lt-LT"/>
                                </w:rPr>
                                <w:t>4</w:t>
                              </w:r>
                            </w:sdtContent>
                          </w:sdt>
                          <w:r>
                            <w:rPr>
                              <w:sz w:val="22"/>
                              <w:szCs w:val="22"/>
                              <w:lang w:eastAsia="lt-LT"/>
                            </w:rPr>
                            <w:t xml:space="preserve">) </w:t>
                          </w:r>
                          <w:r>
                            <w:rPr>
                              <w:sz w:val="22"/>
                              <w:szCs w:val="22"/>
                            </w:rPr>
                            <w:t xml:space="preserve">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 centrinių vertybinių popierių depozitoriumų, </w:t>
                          </w:r>
                          <w:r>
                            <w:rPr>
                              <w:bCs/>
                              <w:sz w:val="22"/>
                              <w:szCs w:val="22"/>
                              <w:lang w:eastAsia="lt-LT"/>
                            </w:rPr>
                            <w:t>pagrindinių sandorio šalių,</w:t>
                          </w:r>
                          <w:r>
                            <w:rPr>
                              <w:sz w:val="22"/>
                              <w:szCs w:val="22"/>
                            </w:rPr>
                            <w:t xml:space="preserve">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investicinių kontroliuojančiųjų bendrovių, mišrią veiklą vykdančių kontroliuojančiųjų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ccff1aa9e8a14ef0832337cb8013a308"/>
                        <w:lock w:val="sdtLocked"/>
                        <w:richText/>
                      </w:sdtPr>
                      <w:sdtContent>
                        <w:p>
                          <w:pPr>
                            <w:ind w:firstLine="720"/>
                            <w:jc w:val="both"/>
                            <w:rPr>
                              <w:bCs/>
                              <w:sz w:val="22"/>
                              <w:szCs w:val="22"/>
                            </w:rPr>
                          </w:pPr>
                          <w:sdt>
                            <w:sdtPr>
                              <w:alias w:val="Numeris"/>
                              <w:tag w:val="nr_ccff1aa9e8a14ef0832337cb8013a308"/>
                              <w:lock w:val="sdtLocked"/>
                              <w:richText/>
                            </w:sdtPr>
                            <w:sdtContent>
                              <w:r>
                                <w:rPr>
                                  <w:rFonts w:eastAsia="Calibri"/>
                                  <w:bCs/>
                                  <w:sz w:val="22"/>
                                  <w:szCs w:val="22"/>
                                </w:rPr>
                                <w:t>6</w:t>
                              </w:r>
                            </w:sdtContent>
                          </w:sdt>
                          <w:r>
                            <w:rPr>
                              <w:rFonts w:eastAsia="Calibri"/>
                              <w:bCs/>
                              <w:sz w:val="22"/>
                              <w:szCs w:val="22"/>
                            </w:rPr>
                            <w:t xml:space="preserve">) </w:t>
                          </w:r>
                          <w:r>
                            <w:rPr>
                              <w:rFonts w:eastAsia="Calibri"/>
                              <w:sz w:val="22"/>
                              <w:szCs w:val="22"/>
                            </w:rPr>
                            <w:t>atlieka Lietuvos Respublikos finansų įstaigų įstatymo, Lietuvos Respublikos pinigų plovimo ir teroristų finansavimo prevencijos įstatymo, Lietuvos Respublikos mokėjimų įstatymo, Lietuvos Respublikos vartotojų teisių apsaugos įstatymo ir kitų įstatymų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1c8a1250a5764bcc84ee69d03c03be76"/>
                        <w:lock w:val="sdtLocked"/>
                        <w:richText/>
                      </w:sdtPr>
                      <w:sdtContent>
                        <w:p>
                          <w:pPr>
                            <w:ind w:firstLine="720"/>
                            <w:jc w:val="both"/>
                            <w:rPr>
                              <w:bCs/>
                              <w:sz w:val="22"/>
                              <w:szCs w:val="22"/>
                            </w:rPr>
                          </w:pPr>
                          <w:sdt>
                            <w:sdtPr>
                              <w:alias w:val="Numeris"/>
                              <w:tag w:val="nr_1c8a1250a5764bcc84ee69d03c03be76"/>
                              <w:lock w:val="sdtLocked"/>
                              <w:richText/>
                            </w:sdtPr>
                            <w:sdtContent>
                              <w:r>
                                <w:rPr>
                                  <w:bCs/>
                                  <w:sz w:val="22"/>
                                  <w:szCs w:val="22"/>
                                </w:rPr>
                                <w:t>10</w:t>
                              </w:r>
                            </w:sdtContent>
                          </w:sdt>
                          <w:r>
                            <w:rPr>
                              <w:bCs/>
                              <w:sz w:val="22"/>
                              <w:szCs w:val="22"/>
                            </w:rPr>
                            <w:t>) atlieka Reglamento (EB) Nr. 1060/2009, 2012 m. liepos 4 d. Europos Parlamento ir Tarybos reglamento (ES) Nr. 648/2012 dėl ne biržos išvestinių finansinių priemonių, pagrindinių sandorio šalių ir sandorių duomenų saugyklų, Reglamento (ES) Nr. 1286/2014, Reglamento (ES) 2017/1131, Reglamento (ES) 2017/2394, Reglamento (ES) 2019/1238 kompetentingai institucijai priskirtas funkcijas, kiek tai susiję su Lietuvos banko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04a980105111ea9d279ea27696ab7b">
                            <w:r w:rsidRPr="00532B9F">
                              <w:rPr>
                                <w:rFonts w:ascii="Times New Roman" w:eastAsia="MS Mincho" w:hAnsi="Times New Roman"/>
                                <w:sz w:val="20"/>
                                <w:i/>
                                <w:iCs/>
                                <w:color w:val="0000FF" w:themeColor="hyperlink"/>
                                <w:u w:val="single"/>
                              </w:rPr>
                              <w:t>XIII-2517</w:t>
                            </w:r>
                          </w:fldSimple>
                          <w:r>
                            <w:rPr>
                              <w:rFonts w:ascii="Times New Roman" w:eastAsia="MS Mincho" w:hAnsi="Times New Roman"/>
                              <w:sz w:val="20"/>
                              <w:i/>
                              <w:iCs/>
                            </w:rPr>
                            <w:t>,
2019-11-14,
paskelbta TAR 2019-11-26, i. k. 2019-18821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42 str. 2 d. 11 p."/>
                        <w:tag w:val="part_5022700965a44fe6a9c9d871c734ff65"/>
                        <w:lock w:val="sdtLocked"/>
                        <w:richText/>
                      </w:sdtPr>
                      <w:sdtContent>
                        <w:p>
                          <w:pPr>
                            <w:tabs>
                              <w:tab w:val="left" w:pos="993"/>
                            </w:tabs>
                            <w:ind w:firstLine="720"/>
                            <w:jc w:val="both"/>
                            <w:rPr>
                              <w:bCs/>
                              <w:sz w:val="22"/>
                              <w:szCs w:val="22"/>
                            </w:rPr>
                          </w:pPr>
                          <w:sdt>
                            <w:sdtPr>
                              <w:alias w:val="Numeris"/>
                              <w:tag w:val="nr_5022700965a44fe6a9c9d871c734ff65"/>
                              <w:lock w:val="sdtLocked"/>
                              <w:richText/>
                            </w:sdtPr>
                            <w:sdtContent>
                              <w:r>
                                <w:rPr>
                                  <w:sz w:val="22"/>
                                  <w:szCs w:val="22"/>
                                </w:rPr>
                                <w:t>11</w:t>
                              </w:r>
                            </w:sdtContent>
                          </w:sdt>
                          <w:r>
                            <w:rPr>
                              <w:sz w:val="22"/>
                              <w:szCs w:val="22"/>
                            </w:rPr>
                            <w:t xml:space="preserve">) atlieka sutelktinio finansavimo paslaugų teikėjų priežiūrą ir kitas Reglamento </w:t>
                          </w:r>
                          <w:r>
                            <w:rPr>
                              <w:bCs/>
                              <w:sz w:val="22"/>
                              <w:szCs w:val="22"/>
                            </w:rPr>
                            <w:t>(ES) 2020/1503</w:t>
                          </w:r>
                          <w:r>
                            <w:rPr>
                              <w:b/>
                              <w:sz w:val="22"/>
                              <w:szCs w:val="22"/>
                            </w:rPr>
                            <w:t xml:space="preserve"> </w:t>
                          </w:r>
                          <w:r>
                            <w:rPr>
                              <w:sz w:val="22"/>
                              <w:szCs w:val="22"/>
                            </w:rPr>
                            <w:t xml:space="preserve">kompetentingai institucijai priskirtas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361217dad83f46fea7a2f8e2024d15ca"/>
                        <w:lock w:val="sdtLocked"/>
                        <w:richText/>
                      </w:sdtPr>
                      <w:sdtContent>
                        <w:p>
                          <w:pPr>
                            <w:ind w:firstLine="709"/>
                            <w:jc w:val="both"/>
                          </w:pPr>
                          <w:sdt>
                            <w:sdtPr>
                              <w:alias w:val="Numeris"/>
                              <w:tag w:val="nr_361217dad83f46fea7a2f8e2024d15ca"/>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
                      <w:sdtPr>
                        <w:alias w:val="14 p."/>
                        <w:tag w:val="part_42635e529bb84a2eb87d568b6899a343"/>
                        <w:lock w:val="sdtLocked"/>
                        <w:richText/>
                      </w:sdtPr>
                      <w:sdtContent>
                        <w:p>
                          <w:pPr>
                            <w:ind w:firstLine="720"/>
                            <w:jc w:val="both"/>
                          </w:pPr>
                          <w:sdt>
                            <w:sdtPr>
                              <w:alias w:val="Numeris"/>
                              <w:tag w:val="nr_42635e529bb84a2eb87d568b6899a343"/>
                              <w:lock w:val="sdtLocked"/>
                              <w:richText/>
                            </w:sdtPr>
                            <w:sdtContent>
                              <w:r>
                                <w:rPr>
                                  <w:sz w:val="22"/>
                                  <w:szCs w:val="22"/>
                                  <w:lang w:eastAsia="lt-LT"/>
                                </w:rPr>
                                <w:t>14</w:t>
                              </w:r>
                            </w:sdtContent>
                          </w:sdt>
                          <w:r>
                            <w:rPr>
                              <w:sz w:val="22"/>
                              <w:szCs w:val="22"/>
                              <w:lang w:eastAsia="lt-LT"/>
                            </w:rPr>
                            <w:t>) atlieka pensijų anuitetų mokėtojo vykdomos pensijų anuitetų mokėjimo veiklos priežiūrą ir kitas Lietuvos Respublikos pensijų kaupimo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4d27f089d611eab005936df725feed">
                            <w:r w:rsidRPr="00532B9F">
                              <w:rPr>
                                <w:rFonts w:ascii="Times New Roman" w:eastAsia="MS Mincho" w:hAnsi="Times New Roman"/>
                                <w:sz w:val="20"/>
                                <w:i/>
                                <w:iCs/>
                                <w:color w:val="0000FF" w:themeColor="hyperlink"/>
                                <w:u w:val="single"/>
                              </w:rPr>
                              <w:t>XIII-2852</w:t>
                            </w:r>
                          </w:fldSimple>
                          <w:r>
                            <w:rPr>
                              <w:rFonts w:ascii="Times New Roman" w:eastAsia="MS Mincho" w:hAnsi="Times New Roman"/>
                              <w:sz w:val="20"/>
                              <w:i/>
                              <w:iCs/>
                            </w:rPr>
                            <w:t>,
2020-04-21,
paskelbta TAR 2020-04-29, i. k. 2020-08966        </w:t>
                          </w:r>
                        </w:p>
                        <w:p/>
                      </w:sdtContent>
                    </w:sdt>
                    <w:sdt>
                      <w:sdtPr>
                        <w:alias w:val="15 p."/>
                        <w:tag w:val="part_1759d1d63f3b4a58be751181c688b3c1"/>
                        <w:lock w:val="sdtLocked"/>
                        <w:richText/>
                      </w:sdtPr>
                      <w:sdtContent>
                        <w:p>
                          <w:pPr>
                            <w:ind w:firstLine="720"/>
                            <w:jc w:val="both"/>
                          </w:pPr>
                          <w:sdt>
                            <w:sdtPr>
                              <w:alias w:val="Numeris"/>
                              <w:tag w:val="nr_1759d1d63f3b4a58be751181c688b3c1"/>
                              <w:lock w:val="sdtLocked"/>
                              <w:richText/>
                            </w:sdtPr>
                            <w:sdtContent>
                              <w:r>
                                <w:rPr>
                                  <w:rFonts w:eastAsia="Calibri"/>
                                  <w:bCs/>
                                  <w:sz w:val="22"/>
                                  <w:szCs w:val="22"/>
                                </w:rPr>
                                <w:t>15</w:t>
                              </w:r>
                            </w:sdtContent>
                          </w:sdt>
                          <w:r>
                            <w:rPr>
                              <w:rFonts w:eastAsia="Calibri"/>
                              <w:bCs/>
                              <w:sz w:val="22"/>
                              <w:szCs w:val="22"/>
                            </w:rPr>
                            <w:t>) atlieka mišrios veiklos finansų kontroliuojančiųjų įmonių, įsteigtų Lietuvos Respublikoje, finansų kontroliuojančiųjų bendrovių, įsteigtų Lietuvos Respublikoje, priežiūrą ir kitas Lietuvos Respublikos įmonių, priklausančių finansų konglomeratui, papildomos priežiūros įstatymo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16 p."/>
                        <w:tag w:val="part_bf918738a61e4a14a6407d76f68b80e9"/>
                        <w:lock w:val="sdtLocked"/>
                        <w:richText/>
                      </w:sdtPr>
                      <w:sdtContent>
                        <w:p>
                          <w:pPr>
                            <w:tabs>
                              <w:tab w:val="left" w:pos="993"/>
                            </w:tabs>
                            <w:ind w:firstLine="720"/>
                            <w:jc w:val="both"/>
                          </w:pPr>
                          <w:sdt>
                            <w:sdtPr>
                              <w:alias w:val="Numeris"/>
                              <w:tag w:val="nr_bf918738a61e4a14a6407d76f68b80e9"/>
                              <w:lock w:val="sdtLocked"/>
                              <w:richText/>
                            </w:sdtPr>
                            <w:sdtContent>
                              <w:r>
                                <w:rPr>
                                  <w:color w:val="000000"/>
                                  <w:sz w:val="22"/>
                                  <w:szCs w:val="22"/>
                                </w:rPr>
                                <w:t>16</w:t>
                              </w:r>
                            </w:sdtContent>
                          </w:sdt>
                          <w:r>
                            <w:rPr>
                              <w:color w:val="000000"/>
                              <w:sz w:val="22"/>
                              <w:szCs w:val="22"/>
                            </w:rPr>
                            <w:t>) atlieka padengtųjų obligacijų bendrovių, pakeitimo vertybiniais popieriais bendrovių ir pakeitimo vertybiniais popieriais iniciatorių, pakeitimo vertybiniais popieriais rėmėjų, pirminių skolintojų ir trečiųjų šalių, tikrinančių pakeitimo vertybiniais popieriais atitiktį PSS kriterijams, priežiūrą ir kitas Lietuvos Respublikos pakeitimo vertybiniais popieriais ir padengtųjų obligacijų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2 str. 2 d. 17 p."/>
                        <w:tag w:val="part_fa8636ea9763414da6fdcd96f2b9b2c7"/>
                        <w:lock w:val="sdtLocked"/>
                        <w:richText/>
                      </w:sdtPr>
                      <w:sdtContent>
                        <w:p>
                          <w:pPr>
                            <w:ind w:firstLine="720"/>
                            <w:jc w:val="both"/>
                          </w:pPr>
                          <w:sdt>
                            <w:sdtPr>
                              <w:alias w:val="Numeris"/>
                              <w:tag w:val="nr_fa8636ea9763414da6fdcd96f2b9b2c7"/>
                              <w:lock w:val="sdtLocked"/>
                              <w:richText/>
                            </w:sdtPr>
                            <w:sdtContent>
                              <w:r>
                                <w:rPr>
                                  <w:bCs/>
                                  <w:kern w:val="2"/>
                                  <w:sz w:val="22"/>
                                  <w:szCs w:val="22"/>
                                  <w:lang w:eastAsia="lt-LT"/>
                                </w:rPr>
                                <w:t>17</w:t>
                              </w:r>
                            </w:sdtContent>
                          </w:sdt>
                          <w:r>
                            <w:rPr>
                              <w:bCs/>
                              <w:kern w:val="2"/>
                              <w:sz w:val="22"/>
                              <w:szCs w:val="22"/>
                              <w:lang w:eastAsia="lt-LT"/>
                            </w:rPr>
                            <w:t xml:space="preserve">) atlieka </w:t>
                          </w:r>
                          <w:r>
                            <w:rPr>
                              <w:sz w:val="22"/>
                              <w:szCs w:val="22"/>
                              <w:lang w:eastAsia="lt-LT"/>
                            </w:rPr>
                            <w:t>su turtu susietų žetonų emitentų, elektroninių pinigų žetonų emitentų</w:t>
                          </w:r>
                          <w:r>
                            <w:rPr>
                              <w:bCs/>
                              <w:sz w:val="22"/>
                              <w:szCs w:val="22"/>
                              <w:lang w:eastAsia="lt-LT"/>
                            </w:rPr>
                            <w:t xml:space="preserve">, </w:t>
                          </w:r>
                          <w:r>
                            <w:rPr>
                              <w:bCs/>
                              <w:kern w:val="2"/>
                              <w:sz w:val="22"/>
                              <w:szCs w:val="22"/>
                              <w:lang w:eastAsia="lt-LT"/>
                            </w:rPr>
                            <w:t xml:space="preserve">kriptoturto paslaugų teikėjų, asmenų, viešai siūlančių ar prašančių įtraukti į prekybą kriptoturtą, kuris nėra su turtu susieti žetonai arba elektroninių pinigų žetonai, </w:t>
                          </w:r>
                          <w:r>
                            <w:rPr>
                              <w:kern w:val="2"/>
                              <w:sz w:val="22"/>
                              <w:szCs w:val="22"/>
                              <w:lang w:eastAsia="lt-LT"/>
                            </w:rPr>
                            <w:t>priežiūrą</w:t>
                          </w:r>
                          <w:r>
                            <w:rPr>
                              <w:bCs/>
                              <w:kern w:val="2"/>
                              <w:sz w:val="22"/>
                              <w:szCs w:val="22"/>
                              <w:lang w:eastAsia="lt-LT"/>
                            </w:rPr>
                            <w:t xml:space="preserve"> ir</w:t>
                          </w:r>
                          <w:r>
                            <w:rPr>
                              <w:sz w:val="22"/>
                              <w:szCs w:val="22"/>
                              <w:lang w:eastAsia="lt-LT"/>
                            </w:rPr>
                            <w:t xml:space="preserve"> </w:t>
                          </w:r>
                          <w:r>
                            <w:rPr>
                              <w:bCs/>
                              <w:kern w:val="2"/>
                              <w:sz w:val="22"/>
                              <w:szCs w:val="22"/>
                              <w:lang w:eastAsia="lt-LT"/>
                            </w:rPr>
                            <w:t xml:space="preserve">kitas Kriptoturto rinkų įstatyme ir Reglamente </w:t>
                          </w:r>
                          <w:hyperlink r:id="rId181" w:tgtFrame="_blank" w:history="1">
                            <w:r>
                              <w:rPr>
                                <w:bCs/>
                                <w:color w:val="0000FF" w:themeColor="hyperlink"/>
                                <w:kern w:val="2"/>
                                <w:sz w:val="22"/>
                                <w:szCs w:val="22"/>
                                <w:u w:val="single"/>
                              </w:rPr>
                              <w:t xml:space="preserve">(ES) </w:t>
                            </w:r>
                            <w:r>
                              <w:rPr>
                                <w:bCs/>
                                <w:color w:val="0000FF" w:themeColor="hyperlink"/>
                                <w:kern w:val="2"/>
                                <w:sz w:val="22"/>
                                <w:szCs w:val="22"/>
                                <w:u w:val="single"/>
                                <w:lang w:eastAsia="lt-LT"/>
                              </w:rPr>
                              <w:t>2023/1114</w:t>
                            </w:r>
                          </w:hyperlink>
                          <w:r>
                            <w:rPr>
                              <w:bCs/>
                              <w:kern w:val="2"/>
                              <w:sz w:val="22"/>
                              <w:szCs w:val="22"/>
                              <w:lang w:eastAsia="lt-LT"/>
                            </w:rPr>
                            <w:t xml:space="preserve">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18 p."/>
                        <w:tag w:val="part_6fc52758489d4f73b3a3a99c2b46097c"/>
                        <w:lock w:val="sdtLocked"/>
                        <w:richText/>
                      </w:sdtPr>
                      <w:sdtContent>
                        <w:p>
                          <w:pPr>
                            <w:ind w:firstLine="720"/>
                            <w:jc w:val="both"/>
                            <w:rPr>
                              <w:sz w:val="22"/>
                              <w:szCs w:val="22"/>
                            </w:rPr>
                          </w:pPr>
                          <w:sdt>
                            <w:sdtPr>
                              <w:alias w:val="Numeris"/>
                              <w:tag w:val="nr_6fc52758489d4f73b3a3a99c2b46097c"/>
                              <w:lock w:val="sdtLocked"/>
                              <w:richText/>
                            </w:sdtPr>
                            <w:sdtContent>
                              <w:r>
                                <w:rPr>
                                  <w:bCs/>
                                  <w:sz w:val="22"/>
                                  <w:szCs w:val="22"/>
                                  <w:lang w:eastAsia="lt-LT"/>
                                </w:rPr>
                                <w:t>18</w:t>
                              </w:r>
                            </w:sdtContent>
                          </w:sdt>
                          <w:r>
                            <w:rPr>
                              <w:bCs/>
                              <w:sz w:val="22"/>
                              <w:szCs w:val="22"/>
                              <w:lang w:eastAsia="lt-LT"/>
                            </w:rPr>
                            <w:t>) atlieka kredito administratorių veiklos priežiūrą ir kitas Lietuvos Respublikos kredito administratorių ir kredito pirkėjų įstatyme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5c064b716e7e4345938c029362e2b516"/>
                        <w:lock w:val="sdtLocked"/>
                        <w:richText/>
                      </w:sdtPr>
                      <w:sdtContent>
                        <w:p>
                          <w:pPr>
                            <w:tabs>
                              <w:tab w:val="left" w:pos="993"/>
                            </w:tabs>
                            <w:ind w:firstLine="720"/>
                            <w:jc w:val="both"/>
                            <w:rPr>
                              <w:rFonts w:eastAsia="Calibri"/>
                              <w:sz w:val="22"/>
                              <w:szCs w:val="22"/>
                            </w:rPr>
                          </w:pPr>
                          <w:sdt>
                            <w:sdtPr>
                              <w:alias w:val="Numeris"/>
                              <w:tag w:val="nr_5c064b716e7e4345938c029362e2b516"/>
                              <w:lock w:val="sdtLocked"/>
                              <w:richText/>
                            </w:sdtPr>
                            <w:sdtContent>
                              <w:r>
                                <w:rPr>
                                  <w:sz w:val="22"/>
                                  <w:szCs w:val="22"/>
                                </w:rPr>
                                <w:t>5</w:t>
                              </w:r>
                            </w:sdtContent>
                          </w:sdt>
                          <w:r>
                            <w:rPr>
                              <w:sz w:val="22"/>
                              <w:szCs w:val="22"/>
                            </w:rPr>
                            <w:t>) raštu atkreipti prižiūrimų finansų rinkos dalyvių ir kitų asmenų dėmesį į pažeidimus ir jų veiklos trūkumus, už kuriuos netaikytini įstatymų ir Europos Sąjungos teisės aktų nustatyti privalomi nurodymai ar poveikio priemonės, ir siūlyti imtis priemonių, kad būtų pašalinti pažeidimai, trūkumai, jų priežastys ir sąlygos;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6 p."/>
                        <w:tag w:val="part_90150f93cbad4422a4d79d027d063960"/>
                        <w:lock w:val="sdtLocked"/>
                        <w:richText/>
                      </w:sdtPr>
                      <w:sdtContent>
                        <w:p>
                          <w:pPr>
                            <w:tabs>
                              <w:tab w:val="left" w:pos="993"/>
                            </w:tabs>
                            <w:ind w:firstLine="720"/>
                            <w:jc w:val="both"/>
                            <w:rPr>
                              <w:rFonts w:eastAsia="Calibri"/>
                              <w:sz w:val="22"/>
                              <w:szCs w:val="22"/>
                            </w:rPr>
                          </w:pPr>
                          <w:sdt>
                            <w:sdtPr>
                              <w:alias w:val="Numeris"/>
                              <w:tag w:val="nr_90150f93cbad4422a4d79d027d063960"/>
                              <w:lock w:val="sdtLocked"/>
                              <w:richText/>
                            </w:sdtPr>
                            <w:sdtContent>
                              <w:r>
                                <w:rPr>
                                  <w:sz w:val="22"/>
                                  <w:szCs w:val="22"/>
                                </w:rPr>
                                <w:t>6</w:t>
                              </w:r>
                            </w:sdtContent>
                          </w:sdt>
                          <w:r>
                            <w:rPr>
                              <w:sz w:val="22"/>
                              <w:szCs w:val="22"/>
                            </w:rPr>
                            <w:t>) šiame ir kituose finansų rinką reglamentuojančiuose įstatymuose ir Europos Sąjungos teisės aktuose nustatytais atvejais ir tvarka duoti privalomus nurodymus prižiūrimiems finansų rinkos dalyviams ir kitiems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e5a5cb9321054f579d2dfc5f929f720c"/>
                    <w:lock w:val="sdtLocked"/>
                    <w:richText/>
                  </w:sdtPr>
                  <w:sdtContent>
                    <w:p>
                      <w:pPr>
                        <w:ind w:firstLine="720"/>
                        <w:jc w:val="both"/>
                        <w:rPr>
                          <w:bCs/>
                          <w:sz w:val="22"/>
                          <w:szCs w:val="22"/>
                        </w:rPr>
                      </w:pPr>
                      <w:sdt>
                        <w:sdtPr>
                          <w:alias w:val="Numeris"/>
                          <w:tag w:val="nr_e5a5cb9321054f579d2dfc5f929f720c"/>
                          <w:lock w:val="sdtLocked"/>
                          <w:richText/>
                        </w:sdtPr>
                        <w:sdtContent>
                          <w:r>
                            <w:rPr>
                              <w:sz w:val="22"/>
                              <w:szCs w:val="22"/>
                              <w:lang w:eastAsia="lt-LT"/>
                            </w:rPr>
                            <w:t>7</w:t>
                          </w:r>
                        </w:sdtContent>
                      </w:sdt>
                      <w:r>
                        <w:rPr>
                          <w:sz w:val="22"/>
                          <w:szCs w:val="22"/>
                          <w:lang w:eastAsia="lt-LT"/>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 Lietuvos Respublikos elektroninių ryšių įstatymo 98 straipsnyje nustatyta tvarka duoti privalomus nurodymus pašalinti informaciją, kuri naudojama siekiant nelegaliai siūlyti įsigyti arba pasirašyti finansinių priemonių, teikti draudimo ir (arba) finansines paslaugas, arba panaikinti galimybę šią informaciją pasiekti.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8 d."/>
                    <w:tag w:val="part_ca3f8a6b6c2d43c5b8ce04b2681ec25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9932e97f76f43328c4a01cb56cb3fe1"/>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16a3c01b3a11eeb233e8b04dc9bb3d">
                        <w:r w:rsidRPr="00532B9F">
                          <w:rPr>
                            <w:rFonts w:ascii="Times New Roman" w:eastAsia="MS Mincho" w:hAnsi="Times New Roman"/>
                            <w:sz w:val="20"/>
                            <w:i/>
                            <w:iCs/>
                            <w:color w:val="0000FF" w:themeColor="hyperlink"/>
                            <w:u w:val="single"/>
                          </w:rPr>
                          <w:t>XIV-2143</w:t>
                        </w:r>
                      </w:fldSimple>
                      <w:r>
                        <w:rPr>
                          <w:rFonts w:ascii="Times New Roman" w:eastAsia="MS Mincho" w:hAnsi="Times New Roman"/>
                          <w:sz w:val="20"/>
                          <w:i/>
                          <w:iCs/>
                        </w:rPr>
                        <w:t>,
2023-06-29,
paskelbta TAR 2023-07-05, i. k. 2023-14039        </w:t>
                      </w:r>
                    </w:p>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7"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58" w:history="1">
                        <w:r>
                          <w:rPr>
                            <w:i/>
                            <w:color w:val="0000FF"/>
                            <w:sz w:val="20"/>
                            <w:u w:val="single"/>
                          </w:rPr>
                          <w:t>XI-1666</w:t>
                        </w:r>
                      </w:hyperlink>
                      <w:r>
                        <w:rPr>
                          <w:i/>
                          <w:sz w:val="20"/>
                        </w:rPr>
                        <w:t>, 2011-11-17, Žin., 2011, Nr. 145-6812 (2011-12-01)</w:t>
                      </w:r>
                    </w:p>
                    <w:p>
                      <w:pPr>
                        <w:jc w:val="both"/>
                      </w:pPr>
                      <w:r>
                        <w:rPr>
                          <w:i/>
                          <w:sz w:val="20"/>
                        </w:rPr>
                        <w:t xml:space="preserve">Nr. </w:t>
                      </w:r>
                      <w:hyperlink r:id="rId159"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685f54f7cecb4885a6b80190564fe5f9"/>
                    <w:lock w:val="sdtLocked"/>
                    <w:richText/>
                  </w:sdtPr>
                  <w:sdtContent>
                    <w:p>
                      <w:pPr>
                        <w:ind w:firstLine="720"/>
                        <w:jc w:val="both"/>
                        <w:rPr>
                          <w:rFonts w:eastAsia="Calibri"/>
                          <w:sz w:val="22"/>
                          <w:szCs w:val="22"/>
                        </w:rPr>
                      </w:pPr>
                      <w:sdt>
                        <w:sdtPr>
                          <w:alias w:val="Numeris"/>
                          <w:tag w:val="nr_685f54f7cecb4885a6b80190564fe5f9"/>
                          <w:lock w:val="sdtLocked"/>
                          <w:richText/>
                        </w:sdtPr>
                        <w:sdtContent>
                          <w:r>
                            <w:rPr>
                              <w:sz w:val="22"/>
                              <w:szCs w:val="22"/>
                            </w:rPr>
                            <w:t>8</w:t>
                          </w:r>
                        </w:sdtContent>
                      </w:sdt>
                      <w:r>
                        <w:rPr>
                          <w:sz w:val="22"/>
                          <w:szCs w:val="22"/>
                        </w:rPr>
                        <w:t xml:space="preserve">. Jeigu Lietuvos bankas priima sprendimą dėl veiksmų, kuriems atlikti reikalingas teismo leidimas, prašymas leisti atlikti šiuos veiksmus pateikiamas pirmosios instancijos administraciniam teismui. Prašyme turi būti nurodyta juridinio asmens pavadinimas, įtariamų finansų rinką reglamentuojančių teisės aktų pažeidimų pobūdis ir numatomi patikrinimo veiksmai. Prie prašymo turi būti pridėti įrodymai, kuriais patvirtinami įtariami pažeidimai, </w:t>
                      </w:r>
                      <w:r>
                        <w:rPr>
                          <w:color w:val="000000"/>
                          <w:sz w:val="22"/>
                          <w:szCs w:val="22"/>
                          <w:shd w:val="clear" w:color="auto" w:fill="FFFFFF"/>
                        </w:rPr>
                        <w:t xml:space="preserve">finansų rinkos dalyvių veiklos trūkumai arba grėsmė finansų sistemos stabilumui ar kitiems viešiesiems interesams. Prašymą išduoti teismo leidimą rašytinio proceso tvarka nagrinėja </w:t>
                      </w:r>
                      <w:r>
                        <w:rPr>
                          <w:sz w:val="22"/>
                          <w:szCs w:val="22"/>
                        </w:rPr>
                        <w:t xml:space="preserve">pirmosios instancijos </w:t>
                      </w:r>
                      <w:r>
                        <w:rPr>
                          <w:color w:val="000000"/>
                          <w:sz w:val="22"/>
                          <w:szCs w:val="22"/>
                          <w:shd w:val="clear" w:color="auto" w:fill="FFFFFF"/>
                        </w:rPr>
                        <w:t xml:space="preserve">administracinis teismas. Prašymas turi būti išnagrinėtas ir nutartis priimta ne vėliau kaip per 72 valandas nuo prašymo pateikimo momento. Lietuvos bankas, nesutinkantis su </w:t>
                      </w:r>
                      <w:r>
                        <w:rPr>
                          <w:sz w:val="22"/>
                          <w:szCs w:val="22"/>
                        </w:rPr>
                        <w:t xml:space="preserve">pirmosios instancijos </w:t>
                      </w:r>
                      <w:r>
                        <w:rPr>
                          <w:color w:val="000000"/>
                          <w:sz w:val="22"/>
                          <w:szCs w:val="22"/>
                          <w:shd w:val="clear" w:color="auto" w:fill="FFFFFF"/>
                        </w:rPr>
                        <w:t xml:space="preserve">administracinio teismo teisėjo sprendimu atmesti prašymą, turi teisę per 7 dienas apskųsti teismo nutartį Lietuvos vyriausiajam administraciniam teismui. Lietuvos vyriausiasis administracinis teismas turi išnagrinėti skundą dėl </w:t>
                      </w:r>
                      <w:r>
                        <w:rPr>
                          <w:sz w:val="22"/>
                          <w:szCs w:val="22"/>
                        </w:rPr>
                        <w:t xml:space="preserve">pirmosios instancijos </w:t>
                      </w:r>
                      <w:r>
                        <w:rPr>
                          <w:color w:val="000000"/>
                          <w:sz w:val="22"/>
                          <w:szCs w:val="22"/>
                          <w:shd w:val="clear" w:color="auto" w:fill="FFFFFF"/>
                        </w:rPr>
                        <w:t>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9a6ae0778f11edbc04912defe897d1">
                        <w:r w:rsidRPr="00532B9F">
                          <w:rPr>
                            <w:rFonts w:ascii="Times New Roman" w:eastAsia="MS Mincho" w:hAnsi="Times New Roman"/>
                            <w:sz w:val="20"/>
                            <w:i/>
                            <w:iCs/>
                            <w:color w:val="0000FF" w:themeColor="hyperlink"/>
                            <w:u w:val="single"/>
                          </w:rPr>
                          <w:t>XIV-1597</w:t>
                        </w:r>
                      </w:fldSimple>
                      <w:r>
                        <w:rPr>
                          <w:rFonts w:ascii="Times New Roman" w:eastAsia="MS Mincho" w:hAnsi="Times New Roman"/>
                          <w:sz w:val="20"/>
                          <w:i/>
                          <w:iCs/>
                        </w:rPr>
                        <w:t>,
2022-11-24,
paskelbta TAR 2022-12-09, i. k. 2022-25171            </w:t>
                      </w:r>
                    </w:p>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491cb0e8c59d4940a1d5e5a39bf26bac"/>
                    <w:lock w:val="sdtLocked"/>
                    <w:richText/>
                  </w:sdtPr>
                  <w:sdtContent>
                    <w:p>
                      <w:pPr>
                        <w:ind w:firstLine="720"/>
                        <w:jc w:val="both"/>
                        <w:rPr>
                          <w:rFonts w:eastAsia="Calibri"/>
                          <w:sz w:val="22"/>
                          <w:szCs w:val="22"/>
                        </w:rPr>
                      </w:pPr>
                      <w:sdt>
                        <w:sdtPr>
                          <w:alias w:val="Numeris"/>
                          <w:tag w:val="nr_491cb0e8c59d4940a1d5e5a39bf26bac"/>
                          <w:lock w:val="sdtLocked"/>
                          <w:richText/>
                        </w:sdtPr>
                        <w:sdtContent>
                          <w:r>
                            <w:rPr>
                              <w:rFonts w:eastAsia="Calibri"/>
                              <w:bCs/>
                              <w:sz w:val="22"/>
                              <w:szCs w:val="22"/>
                            </w:rPr>
                            <w:t>6</w:t>
                          </w:r>
                        </w:sdtContent>
                      </w:sdt>
                      <w:r>
                        <w:rPr>
                          <w:rFonts w:eastAsia="Calibri"/>
                          <w:bCs/>
                          <w:sz w:val="22"/>
                          <w:szCs w:val="22"/>
                        </w:rPr>
                        <w:t>. Lietuvos bankas turi teisę viešai paskelbti savo teisės aktų arba 2010 m. lapkričio 24 d. Europos Parlamento ir Tarybos reglamento (ES) Nr. 1093/2010, kuriuo įsteigiama Europos priežiūros institucija (Europos bankininkystės institucija), iš dalies keičiamas Sprendimas Nr. 716/2009/EB ir panaikinamas Komisijos sprendimas 2009/78/EB (su visais pakeitimais), 32 straipsnyje nustatyta tvarka atlikto testavimo nepalankiausiomis sąlygomis rezultatus ir perduoti juos Europos bankininkystės 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9432fd19d7454350acb574c3c8dc00e7"/>
                        <w:lock w:val="sdtLocked"/>
                        <w:richText/>
                      </w:sdtPr>
                      <w:sdtContent>
                        <w:p>
                          <w:pPr>
                            <w:tabs>
                              <w:tab w:val="left" w:pos="993"/>
                            </w:tabs>
                            <w:ind w:firstLine="720"/>
                            <w:jc w:val="both"/>
                            <w:rPr>
                              <w:rFonts w:eastAsia="Calibri"/>
                              <w:sz w:val="22"/>
                              <w:szCs w:val="22"/>
                            </w:rPr>
                          </w:pPr>
                          <w:sdt>
                            <w:sdtPr>
                              <w:alias w:val="Numeris"/>
                              <w:tag w:val="nr_9432fd19d7454350acb574c3c8dc00e7"/>
                              <w:lock w:val="sdtLocked"/>
                              <w:richText/>
                            </w:sdtPr>
                            <w:sdtContent>
                              <w:r>
                                <w:rPr>
                                  <w:bCs/>
                                  <w:sz w:val="22"/>
                                  <w:szCs w:val="22"/>
                                </w:rPr>
                                <w:t>5</w:t>
                              </w:r>
                            </w:sdtContent>
                          </w:sdt>
                          <w:r>
                            <w:rPr>
                              <w:bCs/>
                              <w:sz w:val="22"/>
                              <w:szCs w:val="22"/>
                            </w:rPr>
                            <w:t>) Europos Komisijai, užsienio valstybių kredito įstaigų ir kitų finansinių paslaugų teikimo veiklos, draudimo veiklos ir finansų rinkų priežiūros institucijoms, jeigu ji reikalinga priežiūros funkcijai atlikti, taip pat Europos centriniam bankui, kai pagal Reglamento (ES) Nr. 1024/2013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5cd0222a11eabe008ea93139d588">
                            <w:r w:rsidRPr="00532B9F">
                              <w:rPr>
                                <w:rFonts w:ascii="Times New Roman" w:eastAsia="MS Mincho" w:hAnsi="Times New Roman"/>
                                <w:sz w:val="20"/>
                                <w:i/>
                                <w:iCs/>
                                <w:color w:val="0000FF" w:themeColor="hyperlink"/>
                                <w:u w:val="single"/>
                              </w:rPr>
                              <w:t>XIII-2585</w:t>
                            </w:r>
                          </w:fldSimple>
                          <w:r>
                            <w:rPr>
                              <w:rFonts w:ascii="Times New Roman" w:eastAsia="MS Mincho" w:hAnsi="Times New Roman"/>
                              <w:sz w:val="20"/>
                              <w:i/>
                              <w:iCs/>
                            </w:rPr>
                            <w:t>,
2019-12-03,
paskelbta TAR 2019-12-19, i. k. 2019-20553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6 p."/>
                        <w:tag w:val="part_894ef701bb6a4b7b99514da6d6a4d4a9"/>
                        <w:lock w:val="sdtLocked"/>
                        <w:richText/>
                      </w:sdtPr>
                      <w:sdtContent>
                        <w:p>
                          <w:pPr>
                            <w:tabs>
                              <w:tab w:val="left" w:pos="993"/>
                            </w:tabs>
                            <w:ind w:firstLine="720"/>
                            <w:jc w:val="both"/>
                            <w:rPr>
                              <w:rFonts w:eastAsia="Calibri"/>
                              <w:sz w:val="22"/>
                              <w:szCs w:val="22"/>
                            </w:rPr>
                          </w:pPr>
                          <w:sdt>
                            <w:sdtPr>
                              <w:alias w:val="Numeris"/>
                              <w:tag w:val="nr_894ef701bb6a4b7b99514da6d6a4d4a9"/>
                              <w:lock w:val="sdtLocked"/>
                              <w:richText/>
                            </w:sdtPr>
                            <w:sdtContent>
                              <w:r>
                                <w:rPr>
                                  <w:bCs/>
                                  <w:sz w:val="22"/>
                                  <w:szCs w:val="22"/>
                                </w:rPr>
                                <w:t>6</w:t>
                              </w:r>
                            </w:sdtContent>
                          </w:sdt>
                          <w:r>
                            <w:rPr>
                              <w:bCs/>
                              <w:sz w:val="22"/>
                              <w:szCs w:val="22"/>
                            </w:rPr>
                            <w:t>) Europos bankininkystės institucijai, Europos vertybinių popierių ir rinkų institucijai, Europos sisteminės rizikos valdybai, Europos Centriniam Bankui, Europos centrinių bankų sistemai, valstybių narių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sistemai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25e904ae273749b5b621ae2ebfc7b85f"/>
                        <w:lock w:val="sdtLocked"/>
                        <w:richText/>
                      </w:sdtPr>
                      <w:sdtContent>
                        <w:p>
                          <w:pPr>
                            <w:ind w:firstLine="720"/>
                            <w:jc w:val="both"/>
                            <w:rPr>
                              <w:sz w:val="22"/>
                              <w:szCs w:val="22"/>
                            </w:rPr>
                          </w:pPr>
                          <w:sdt>
                            <w:sdtPr>
                              <w:alias w:val="Numeris"/>
                              <w:tag w:val="nr_25e904ae273749b5b621ae2ebfc7b85f"/>
                              <w:lock w:val="sdtLocked"/>
                              <w:richText/>
                            </w:sdtPr>
                            <w:sdtContent>
                              <w:r>
                                <w:rPr>
                                  <w:rFonts w:eastAsia="Calibri"/>
                                  <w:bCs/>
                                  <w:sz w:val="22"/>
                                  <w:szCs w:val="22"/>
                                </w:rPr>
                                <w:t>9</w:t>
                              </w:r>
                            </w:sdtContent>
                          </w:sdt>
                          <w:r>
                            <w:rPr>
                              <w:rFonts w:eastAsia="Calibri"/>
                              <w:bCs/>
                              <w:sz w:val="22"/>
                              <w:szCs w:val="22"/>
                            </w:rPr>
                            <w:t>) Europos vertybinių popierių ir rinkų institucijai, kaip numatyta 2010 m. lapkričio 24 d. Europos Parlamento ir Tarybos reglamente (ES) Nr. 1095/2010, kuriuo įsteigiama Europos priežiūros institucija (Europos vertybinių popierių ir rinkų institucija) ir iš dalies keičiamas Sprendimas Nr. 716/2009/EB bei panaikinamas Komisijos sprendimas 2009/77/EB (su visais pakeitimais);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0 p."/>
                        <w:tag w:val="part_3299448453c941c1afa24fb3bdab3e6e"/>
                        <w:lock w:val="sdtLocked"/>
                        <w:richText/>
                      </w:sdtPr>
                      <w:sdtContent>
                        <w:p>
                          <w:pPr>
                            <w:ind w:firstLine="720"/>
                            <w:jc w:val="both"/>
                            <w:rPr>
                              <w:rFonts w:eastAsia="Calibri"/>
                              <w:sz w:val="22"/>
                              <w:szCs w:val="22"/>
                            </w:rPr>
                          </w:pPr>
                          <w:sdt>
                            <w:sdtPr>
                              <w:alias w:val="Numeris"/>
                              <w:tag w:val="nr_3299448453c941c1afa24fb3bdab3e6e"/>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w:t>
                          </w:r>
                          <w:r>
                            <w:rPr>
                              <w:rFonts w:eastAsia="Calibri"/>
                              <w:bCs/>
                              <w:sz w:val="22"/>
                              <w:szCs w:val="22"/>
                            </w:rPr>
                            <w:t>su visais pakeitimais)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1 p."/>
                        <w:tag w:val="part_4e1edf069d2b4408a2beb74173d394a7"/>
                        <w:lock w:val="sdtLocked"/>
                        <w:richText/>
                      </w:sdtPr>
                      <w:sdtContent>
                        <w:p>
                          <w:pPr>
                            <w:ind w:firstLine="720"/>
                            <w:jc w:val="both"/>
                            <w:rPr>
                              <w:rFonts w:eastAsia="Calibri"/>
                              <w:sz w:val="22"/>
                              <w:szCs w:val="22"/>
                            </w:rPr>
                          </w:pPr>
                          <w:sdt>
                            <w:sdtPr>
                              <w:alias w:val="Numeris"/>
                              <w:tag w:val="nr_4e1edf069d2b4408a2beb74173d394a7"/>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w:t>
                          </w:r>
                          <w:r>
                            <w:rPr>
                              <w:rFonts w:eastAsia="Calibri"/>
                              <w:bCs/>
                              <w:sz w:val="22"/>
                              <w:szCs w:val="22"/>
                            </w:rPr>
                            <w:t xml:space="preserve"> (su visais pakeitimais)</w:t>
                          </w:r>
                          <w:r>
                            <w:rPr>
                              <w:rFonts w:eastAsia="Calibri"/>
                              <w:sz w:val="22"/>
                              <w:szCs w:val="22"/>
                            </w:rPr>
                            <w:t>, atlikti, o kritinėmis situacijomis – nedelsiant;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35ac06cfb47a406ca1b6131b224a9c9e"/>
                        <w:lock w:val="sdtLocked"/>
                        <w:richText/>
                      </w:sdtPr>
                      <w:sdtContent>
                        <w:p>
                          <w:pPr>
                            <w:ind w:firstLine="720"/>
                            <w:jc w:val="both"/>
                            <w:rPr>
                              <w:rFonts w:eastAsia="Calibri"/>
                              <w:sz w:val="22"/>
                              <w:szCs w:val="22"/>
                            </w:rPr>
                          </w:pPr>
                          <w:sdt>
                            <w:sdtPr>
                              <w:alias w:val="Numeris"/>
                              <w:tag w:val="nr_35ac06cfb47a406ca1b6131b224a9c9e"/>
                              <w:lock w:val="sdtLocked"/>
                              <w:richText/>
                            </w:sdtPr>
                            <w:sdtContent>
                              <w:r>
                                <w:rPr>
                                  <w:rFonts w:eastAsia="Calibri"/>
                                  <w:sz w:val="22"/>
                                  <w:szCs w:val="22"/>
                                </w:rPr>
                                <w:t>13</w:t>
                              </w:r>
                            </w:sdtContent>
                          </w:sdt>
                          <w:r>
                            <w:rPr>
                              <w:rFonts w:eastAsia="Calibri"/>
                              <w:sz w:val="22"/>
                              <w:szCs w:val="22"/>
                            </w:rPr>
                            <w:t>) centrinėms kredito unijoms, taip pat sutartinėms arba institucinėms užtikrinimo sistemoms, nurodytoms 2013 m. birželio 26 d. Europos Parlamento ir Tarybos reglamento (ES) Nr. 575/2013 dėl prudencinių reikalavimų kredito įstaigoms ir investicinėms įmonėms ir kuriuo iš dalies keičiamas Reglamentas (ES) Nr. 648/2012</w:t>
                          </w:r>
                          <w:r>
                            <w:rPr>
                              <w:rFonts w:eastAsia="Calibri"/>
                              <w:bCs/>
                              <w:sz w:val="22"/>
                              <w:szCs w:val="22"/>
                            </w:rPr>
                            <w:t xml:space="preserve"> (su visais pakeitimais)</w:t>
                          </w:r>
                          <w:r>
                            <w:rPr>
                              <w:rFonts w:eastAsia="Calibri"/>
                              <w:sz w:val="22"/>
                              <w:szCs w:val="22"/>
                            </w:rPr>
                            <w:t xml:space="preserve"> 113 straipsnio 7 dalyje,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d8a807398a3e4730978bb8b2e4630742"/>
                        <w:lock w:val="sdtLocked"/>
                        <w:richText/>
                      </w:sdtPr>
                      <w:sdtContent>
                        <w:p>
                          <w:pPr>
                            <w:ind w:firstLine="720"/>
                            <w:jc w:val="both"/>
                            <w:rPr>
                              <w:rFonts w:eastAsia="Calibri"/>
                              <w:sz w:val="22"/>
                              <w:szCs w:val="22"/>
                            </w:rPr>
                          </w:pPr>
                          <w:sdt>
                            <w:sdtPr>
                              <w:alias w:val="Numeris"/>
                              <w:tag w:val="nr_d8a807398a3e4730978bb8b2e4630742"/>
                              <w:lock w:val="sdtLocked"/>
                              <w:richText/>
                            </w:sdtPr>
                            <w:sdtContent>
                              <w:r>
                                <w:rPr>
                                  <w:rFonts w:eastAsia="Calibri"/>
                                  <w:sz w:val="22"/>
                                  <w:szCs w:val="22"/>
                                </w:rPr>
                                <w:t>15</w:t>
                              </w:r>
                            </w:sdtContent>
                          </w:sdt>
                          <w:r>
                            <w:rPr>
                              <w:rFonts w:eastAsia="Calibri"/>
                              <w:sz w:val="22"/>
                              <w:szCs w:val="22"/>
                            </w:rPr>
                            <w:t>) kritinėmis situacijomis, kaip nustatyta Lietuvos Respublikos bankų įstatymo 59 straipsnio 10 dalyje ir 70</w:t>
                          </w:r>
                          <w:r>
                            <w:rPr>
                              <w:rFonts w:eastAsia="Calibri"/>
                              <w:sz w:val="22"/>
                              <w:szCs w:val="22"/>
                              <w:vertAlign w:val="superscript"/>
                            </w:rPr>
                            <w:t>1</w:t>
                          </w:r>
                          <w:r>
                            <w:rPr>
                              <w:rFonts w:eastAsia="Calibri"/>
                              <w:sz w:val="22"/>
                              <w:szCs w:val="22"/>
                            </w:rPr>
                            <w:t xml:space="preserve"> straipsnio 5 dalyje, Lietuvos Respublikos finansų ministerijai ir kitų Europos Sąjungos valstybių narių centrinės valdžios institucijoms, dalyvaujančioms rengiant teisės aktus, susijusius su pensijų asociacijų,</w:t>
                          </w:r>
                          <w:r>
                            <w:rPr>
                              <w:rFonts w:eastAsia="Calibri"/>
                              <w:bCs/>
                              <w:sz w:val="22"/>
                              <w:szCs w:val="22"/>
                            </w:rPr>
                            <w:t xml:space="preserve"> </w:t>
                          </w:r>
                          <w:r>
                            <w:rPr>
                              <w:rFonts w:eastAsia="Calibri"/>
                              <w:sz w:val="22"/>
                              <w:szCs w:val="22"/>
                            </w:rPr>
                            <w:t>kredito įstaigų, finansų įstaigų, investicines ir draudimo paslaugas teikiančių bendrovių priežiūra, jeigu ji reikalinga jų funkcijoms atlikti;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647bf12006c9411ea3113bf650f34387"/>
                        <w:lock w:val="sdtLocked"/>
                        <w:richText/>
                      </w:sdtPr>
                      <w:sdtContent>
                        <w:p>
                          <w:pPr>
                            <w:ind w:firstLine="720"/>
                            <w:jc w:val="both"/>
                          </w:pPr>
                          <w:sdt>
                            <w:sdtPr>
                              <w:alias w:val="Numeris"/>
                              <w:tag w:val="nr_647bf12006c9411ea3113bf650f34387"/>
                              <w:lock w:val="sdtLocked"/>
                              <w:richText/>
                            </w:sdtPr>
                            <w:sdtContent>
                              <w:r>
                                <w:rPr>
                                  <w:rFonts w:eastAsia="Calibri"/>
                                  <w:sz w:val="22"/>
                                  <w:szCs w:val="22"/>
                                </w:rPr>
                                <w:t>18</w:t>
                              </w:r>
                            </w:sdtContent>
                          </w:sdt>
                          <w:r>
                            <w:rPr>
                              <w:rFonts w:eastAsia="Calibri"/>
                              <w:sz w:val="22"/>
                              <w:szCs w:val="22"/>
                            </w:rPr>
                            <w:t>) kitoms valstybės institucijoms, jeigu ši informacija reikalinga jų funkcijoms atlikti ir jeigu tai būtina dėl finansų rinkos priežiūros, pažeidimų prevencijos arba prižiūrimų finansų rinkos dalyvių pertvarkymo;</w:t>
                          </w:r>
                        </w:p>
                      </w:sdtContent>
                    </w:sdt>
                    <w:sdt>
                      <w:sdtPr>
                        <w:alias w:val="19 p."/>
                        <w:tag w:val="part_64d499c34c7e4d0d9ae59520fff75d81"/>
                        <w:lock w:val="sdtLocked"/>
                        <w:richText/>
                      </w:sdtPr>
                      <w:sdtContent>
                        <w:p>
                          <w:pPr>
                            <w:ind w:firstLine="720"/>
                            <w:jc w:val="both"/>
                          </w:pPr>
                          <w:sdt>
                            <w:sdtPr>
                              <w:alias w:val="Numeris"/>
                              <w:tag w:val="nr_64d499c34c7e4d0d9ae59520fff75d81"/>
                              <w:lock w:val="sdtLocked"/>
                              <w:richText/>
                            </w:sdtPr>
                            <w:sdtContent>
                              <w:r>
                                <w:rPr>
                                  <w:rFonts w:eastAsia="Calibri"/>
                                  <w:bCs/>
                                  <w:sz w:val="22"/>
                                  <w:szCs w:val="22"/>
                                </w:rPr>
                                <w:t>19</w:t>
                              </w:r>
                            </w:sdtContent>
                          </w:sdt>
                          <w:r>
                            <w:rPr>
                              <w:rFonts w:eastAsia="Calibri"/>
                              <w:bCs/>
                              <w:sz w:val="22"/>
                              <w:szCs w:val="22"/>
                            </w:rPr>
                            <w:t>) Tarptautiniam valiutos fondui ir Pasaulio bankui, jeigu ji reikalinga konkrečioms jų funkcijoms, susijusioms su finansų sektoriaus vertinimo programai parengti atliekamais vertinimais,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0 p."/>
                        <w:tag w:val="part_a9d855bda1ea44f4a7e8b91aa0d8d36a"/>
                        <w:lock w:val="sdtLocked"/>
                        <w:richText/>
                      </w:sdtPr>
                      <w:sdtContent>
                        <w:p>
                          <w:pPr>
                            <w:ind w:firstLine="720"/>
                            <w:jc w:val="both"/>
                          </w:pPr>
                          <w:sdt>
                            <w:sdtPr>
                              <w:alias w:val="Numeris"/>
                              <w:tag w:val="nr_a9d855bda1ea44f4a7e8b91aa0d8d36a"/>
                              <w:lock w:val="sdtLocked"/>
                              <w:richText/>
                            </w:sdtPr>
                            <w:sdtContent>
                              <w:r>
                                <w:rPr>
                                  <w:rFonts w:eastAsia="Calibri"/>
                                  <w:bCs/>
                                  <w:sz w:val="22"/>
                                  <w:szCs w:val="22"/>
                                </w:rPr>
                                <w:t>20</w:t>
                              </w:r>
                            </w:sdtContent>
                          </w:sdt>
                          <w:r>
                            <w:rPr>
                              <w:rFonts w:eastAsia="Calibri"/>
                              <w:bCs/>
                              <w:sz w:val="22"/>
                              <w:szCs w:val="22"/>
                            </w:rPr>
                            <w:t>) Tarptautinių atsiskaitymų bankui, jeigu ji reikalinga konkrečioms jo funkcijoms, susijusioms su kiekybiniais poveikio tyrimais, atlikti;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
                        <w:tag w:val="part_c01aa4878dcb4307af7d82ad0ed2d8d7"/>
                        <w:lock w:val="sdtLocked"/>
                        <w:richText/>
                      </w:sdtPr>
                      <w:sdtContent>
                        <w:p>
                          <w:pPr>
                            <w:ind w:firstLine="720"/>
                            <w:jc w:val="both"/>
                            <w:rPr>
                              <w:rFonts w:eastAsia="Calibri"/>
                              <w:sz w:val="22"/>
                              <w:szCs w:val="22"/>
                            </w:rPr>
                          </w:pPr>
                          <w:sdt>
                            <w:sdtPr>
                              <w:alias w:val="Numeris"/>
                              <w:tag w:val="nr_c01aa4878dcb4307af7d82ad0ed2d8d7"/>
                              <w:lock w:val="sdtLocked"/>
                              <w:richText/>
                            </w:sdtPr>
                            <w:sdtContent>
                              <w:r>
                                <w:rPr>
                                  <w:rFonts w:eastAsia="Calibri"/>
                                  <w:bCs/>
                                  <w:sz w:val="22"/>
                                  <w:szCs w:val="22"/>
                                </w:rPr>
                                <w:t>21</w:t>
                              </w:r>
                            </w:sdtContent>
                          </w:sdt>
                          <w:r>
                            <w:rPr>
                              <w:rFonts w:eastAsia="Calibri"/>
                              <w:bCs/>
                              <w:sz w:val="22"/>
                              <w:szCs w:val="22"/>
                            </w:rPr>
                            <w:t>) Finansinio stabilumo tarybai, jeigu ji reikalinga jos vykdomai priežiūrai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Content>
                </w:sdt>
                <w:sdt>
                  <w:sdtPr>
                    <w:alias w:val="43 str. 8 d."/>
                    <w:tag w:val="part_196e9a673d3c4558964ddedc060f2fd1"/>
                    <w:lock w:val="sdtLocked"/>
                    <w:richText/>
                  </w:sdtPr>
                  <w:sdtContent>
                    <w:p>
                      <w:pPr>
                        <w:ind w:firstLine="720"/>
                        <w:jc w:val="both"/>
                        <w:rPr>
                          <w:rFonts w:eastAsia="Calibri"/>
                          <w:sz w:val="22"/>
                          <w:szCs w:val="22"/>
                        </w:rPr>
                      </w:pPr>
                      <w:sdt>
                        <w:sdtPr>
                          <w:alias w:val="Numeris"/>
                          <w:tag w:val="nr_196e9a673d3c4558964ddedc060f2fd1"/>
                          <w:lock w:val="sdtLocked"/>
                          <w:richText/>
                        </w:sdtPr>
                        <w:sdtContent>
                          <w:r>
                            <w:rPr>
                              <w:rFonts w:eastAsia="Calibri"/>
                              <w:sz w:val="22"/>
                              <w:szCs w:val="22"/>
                            </w:rPr>
                            <w:t>8</w:t>
                          </w:r>
                        </w:sdtContent>
                      </w:sdt>
                      <w:r>
                        <w:rPr>
                          <w:rFonts w:eastAsia="Calibri"/>
                          <w:sz w:val="22"/>
                          <w:szCs w:val="22"/>
                        </w:rPr>
                        <w:t>. Šio straipsnio 7 dalies 3–7, 12, 14, 16</w:t>
                      </w:r>
                      <w:r>
                        <w:rPr>
                          <w:rFonts w:eastAsia="Calibri"/>
                          <w:bCs/>
                          <w:sz w:val="22"/>
                          <w:szCs w:val="22"/>
                        </w:rPr>
                        <w:t>–21</w:t>
                      </w:r>
                      <w:r>
                        <w:rPr>
                          <w:rFonts w:eastAsia="Calibri"/>
                          <w:sz w:val="22"/>
                          <w:szCs w:val="22"/>
                        </w:rPr>
                        <w:t xml:space="preserve"> punktuose nurodytoms institucijoms priežiūros tikslais gauta informacija gali būti perduodama, jeigu joms taikomi reikalavimai saugoti informaciją yra ne mažesni, negu nustatyta šiame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0690a4d6e89042699aadb8326b916aad"/>
                    <w:lock w:val="sdtLocked"/>
                    <w:richText/>
                  </w:sdtPr>
                  <w:sdtContent>
                    <w:p>
                      <w:pPr>
                        <w:ind w:firstLine="720"/>
                        <w:jc w:val="both"/>
                        <w:rPr>
                          <w:rFonts w:eastAsia="Calibri"/>
                          <w:sz w:val="22"/>
                          <w:szCs w:val="22"/>
                        </w:rPr>
                      </w:pPr>
                      <w:sdt>
                        <w:sdtPr>
                          <w:alias w:val="Numeris"/>
                          <w:tag w:val="nr_0690a4d6e89042699aadb8326b916aad"/>
                          <w:lock w:val="sdtLocked"/>
                          <w:richText/>
                        </w:sdtPr>
                        <w:sdtContent>
                          <w:r>
                            <w:rPr>
                              <w:sz w:val="22"/>
                              <w:szCs w:val="22"/>
                            </w:rPr>
                            <w:t>10</w:t>
                          </w:r>
                        </w:sdtContent>
                      </w:sdt>
                      <w:r>
                        <w:rPr>
                          <w:sz w:val="22"/>
                          <w:szCs w:val="22"/>
                        </w:rPr>
                        <w:t>. Pagal šio straipsnio 7 dalies 19–21 punktus informacija perduodama tik pateikus prašymą, kuriame prašymą teikianti įstaiga nurodo konkrečias užduotis, kurioms atlikti pagal teisės aktais nustatytus įgaliojimus būtina prašoma informacija. Prašyme turi būti tiksliai nurodyta prašoma informacija, jos mastas, forma ir atskleidimo ar perdavimo būdas. Informacija, kuri turi būti apibendrinta ar nuasmeninta, perduodama tik prašymą pateikusios įstaigos nurodytiems asmenims, kurie atlieka su prašymą pateikusios įstaigos įgaliojimais tiesiogiai susijusias funkcijas. Informacija, iš kurios tiesiogiai ar netiesiogiai galima nustatyti konkrečius asmens duomenis, gali būti teikiama tik Lietuvos banko patalpose.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0998302ed411efbdaea558de59136c">
                        <w:r w:rsidRPr="00532B9F">
                          <w:rPr>
                            <w:rFonts w:ascii="Times New Roman" w:eastAsia="MS Mincho" w:hAnsi="Times New Roman"/>
                            <w:sz w:val="20"/>
                            <w:i/>
                            <w:iCs/>
                            <w:color w:val="0000FF" w:themeColor="hyperlink"/>
                            <w:u w:val="single"/>
                          </w:rPr>
                          <w:t>XIV-2717</w:t>
                        </w:r>
                      </w:fldSimple>
                      <w:r>
                        <w:rPr>
                          <w:rFonts w:ascii="Times New Roman" w:eastAsia="MS Mincho" w:hAnsi="Times New Roman"/>
                          <w:sz w:val="20"/>
                          <w:i/>
                          <w:iCs/>
                        </w:rPr>
                        <w:t>,
2024-06-13,
paskelbta TAR 2024-06-20, i. k. 2024-11240            </w:t>
                      </w:r>
                    </w:p>
                    <w:p/>
                  </w:sdtContent>
                </w:sdt>
                <w:sdt>
                  <w:sdtPr>
                    <w:alias w:val="43 str. 11 d."/>
                    <w:tag w:val="part_82c3dffeff12453ea9f04bbb42587502"/>
                    <w:lock w:val="sdtLocked"/>
                    <w:richText/>
                  </w:sdtPr>
                  <w:sdtContent>
                    <w:p>
                      <w:pPr>
                        <w:ind w:firstLine="720"/>
                        <w:jc w:val="both"/>
                        <w:rPr>
                          <w:rFonts w:eastAsia="Calibri"/>
                          <w:sz w:val="22"/>
                          <w:szCs w:val="22"/>
                        </w:rPr>
                      </w:pPr>
                      <w:sdt>
                        <w:sdtPr>
                          <w:alias w:val="Numeris"/>
                          <w:tag w:val="nr_82c3dffeff12453ea9f04bbb42587502"/>
                          <w:lock w:val="sdtLocked"/>
                          <w:richText/>
                        </w:sdtPr>
                        <w:sdtContent>
                          <w:r>
                            <w:rPr>
                              <w:rFonts w:eastAsia="Calibri"/>
                              <w:bCs/>
                              <w:sz w:val="22"/>
                              <w:szCs w:val="22"/>
                            </w:rPr>
                            <w:t>11</w:t>
                          </w:r>
                        </w:sdtContent>
                      </w:sdt>
                      <w:r>
                        <w:rPr>
                          <w:rFonts w:eastAsia="Calibri"/>
                          <w:bCs/>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16–21 punktus arba šio straipsnio 9 dalį, jeigu yra gautas informaciją pateikusios institucijos arba Europos Sąjungos valstybės narės, kurioje buvo atliktas patikrinimas, priežiūros institucijos sutikimas, ir tik tam tikslui, dėl kurio duotas sutikimas.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2 d."/>
                    <w:tag w:val="part_960041c2c8a5458e89af9ab6bfdcda76"/>
                    <w:lock w:val="sdtLocked"/>
                    <w:richText/>
                  </w:sdtPr>
                  <w:sdtContent>
                    <w:p>
                      <w:pPr>
                        <w:ind w:firstLine="720"/>
                        <w:jc w:val="both"/>
                        <w:rPr>
                          <w:rFonts w:eastAsia="Calibri"/>
                          <w:sz w:val="22"/>
                          <w:szCs w:val="22"/>
                        </w:rPr>
                      </w:pPr>
                      <w:sdt>
                        <w:sdtPr>
                          <w:alias w:val="Numeris"/>
                          <w:tag w:val="nr_960041c2c8a5458e89af9ab6bfdcda76"/>
                          <w:lock w:val="sdtLocked"/>
                          <w:richText/>
                        </w:sdtPr>
                        <w:sdtContent>
                          <w:r>
                            <w:rPr>
                              <w:rFonts w:eastAsia="Calibri"/>
                              <w:sz w:val="22"/>
                              <w:szCs w:val="22"/>
                            </w:rPr>
                            <w:t>12</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 str. 13 d."/>
                    <w:tag w:val="part_664203525a774b3da1c5e0c28d854f29"/>
                    <w:lock w:val="sdtLocked"/>
                    <w:richText/>
                  </w:sdtPr>
                  <w:sdtContent>
                    <w:p>
                      <w:pPr>
                        <w:ind w:firstLine="720"/>
                        <w:jc w:val="both"/>
                        <w:rPr>
                          <w:rFonts w:eastAsia="Calibri"/>
                          <w:i/>
                          <w:color w:val="595959"/>
                          <w:sz w:val="22"/>
                          <w:szCs w:val="22"/>
                        </w:rPr>
                      </w:pPr>
                      <w:sdt>
                        <w:sdtPr>
                          <w:alias w:val="Numeris"/>
                          <w:tag w:val="nr_664203525a774b3da1c5e0c28d854f29"/>
                          <w:lock w:val="sdtLocked"/>
                          <w:richText/>
                        </w:sdtPr>
                        <w:sdtContent>
                          <w:r>
                            <w:rPr>
                              <w:rFonts w:eastAsia="Calibri"/>
                              <w:sz w:val="22"/>
                              <w:szCs w:val="22"/>
                            </w:rPr>
                            <w:t>13</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1" w:history="1">
                        <w:r>
                          <w:rPr>
                            <w:i/>
                            <w:color w:val="0000FF"/>
                            <w:sz w:val="20"/>
                            <w:u w:val="single"/>
                          </w:rPr>
                          <w:t>XI-557</w:t>
                        </w:r>
                      </w:hyperlink>
                      <w:r>
                        <w:rPr>
                          <w:i/>
                          <w:sz w:val="20"/>
                        </w:rPr>
                        <w:t>, 2009-12-10, Žin., 2009, Nr. 153-6895 (2009-12-28)</w:t>
                      </w:r>
                    </w:p>
                    <w:p>
                      <w:pPr>
                        <w:jc w:val="both"/>
                      </w:pPr>
                      <w:r>
                        <w:rPr>
                          <w:i/>
                          <w:sz w:val="20"/>
                        </w:rPr>
                        <w:t xml:space="preserve">Nr. </w:t>
                      </w:r>
                      <w:hyperlink r:id="rId162"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119580685823474bab378cbf5cc7a164"/>
                <w:lock w:val="sdtLocked"/>
                <w:richText/>
              </w:sdtPr>
              <w:sdtContent>
                <w:p>
                  <w:pPr>
                    <w:widowControl w:val="0"/>
                    <w:ind w:left="2552" w:hanging="1832"/>
                    <w:jc w:val="both"/>
                    <w:rPr>
                      <w:b/>
                      <w:sz w:val="22"/>
                      <w:szCs w:val="22"/>
                      <w:lang w:eastAsia="lt-LT"/>
                    </w:rPr>
                  </w:pPr>
                  <w:sdt>
                    <w:sdtPr>
                      <w:alias w:val="Numeris"/>
                      <w:tag w:val="nr_119580685823474bab378cbf5cc7a164"/>
                      <w:lock w:val="sdtLocked"/>
                      <w:richText/>
                    </w:sdtPr>
                    <w:sdtContent>
                      <w:r>
                        <w:rPr>
                          <w:b/>
                          <w:sz w:val="22"/>
                          <w:szCs w:val="22"/>
                          <w:lang w:eastAsia="lt-LT"/>
                        </w:rPr>
                        <w:t>43</w:t>
                      </w:r>
                      <w:r>
                        <w:rPr>
                          <w:b/>
                          <w:sz w:val="22"/>
                          <w:szCs w:val="22"/>
                          <w:vertAlign w:val="superscript"/>
                          <w:lang w:eastAsia="lt-LT"/>
                        </w:rPr>
                        <w:t>1</w:t>
                      </w:r>
                    </w:sdtContent>
                  </w:sdt>
                  <w:r>
                    <w:rPr>
                      <w:b/>
                      <w:sz w:val="22"/>
                      <w:szCs w:val="22"/>
                      <w:lang w:eastAsia="lt-LT"/>
                    </w:rPr>
                    <w:t xml:space="preserve"> straipsnis. </w:t>
                  </w:r>
                  <w:sdt>
                    <w:sdtPr>
                      <w:alias w:val="Pavadinimas"/>
                      <w:tag w:val="title_119580685823474bab378cbf5cc7a164"/>
                      <w:lock w:val="sdtLocked"/>
                      <w:richText/>
                    </w:sdtPr>
                    <w:sdtContent>
                      <w:r>
                        <w:rPr>
                          <w:b/>
                          <w:sz w:val="22"/>
                          <w:szCs w:val="22"/>
                          <w:lang w:eastAsia="lt-LT"/>
                        </w:rPr>
                        <w:t>Prašymų išduoti licenciją, leidimą, sutikimą arba atlikti kitus veiksmus nagrinėjimas ir Lietuvos banko sprendimai</w:t>
                      </w:r>
                    </w:sdtContent>
                  </w:sdt>
                </w:p>
                <w:sdt>
                  <w:sdtPr>
                    <w:alias w:val="43-1 str. 1 d."/>
                    <w:tag w:val="part_55b049e138d04af5bc6dfe4327cdde45"/>
                    <w:lock w:val="sdtLocked"/>
                    <w:richText/>
                  </w:sdtPr>
                  <w:sdtContent>
                    <w:p>
                      <w:pPr>
                        <w:widowControl w:val="0"/>
                        <w:tabs>
                          <w:tab w:val="left" w:pos="900"/>
                        </w:tabs>
                        <w:ind w:firstLine="720"/>
                        <w:jc w:val="both"/>
                        <w:rPr>
                          <w:sz w:val="22"/>
                          <w:szCs w:val="22"/>
                          <w:lang w:eastAsia="lt-LT"/>
                        </w:rPr>
                      </w:pPr>
                      <w:sdt>
                        <w:sdtPr>
                          <w:alias w:val="Numeris"/>
                          <w:tag w:val="nr_55b049e138d04af5bc6dfe4327cdde45"/>
                          <w:lock w:val="sdtLocked"/>
                          <w:richText/>
                        </w:sdtPr>
                        <w:sdtContent>
                          <w:r>
                            <w:rPr>
                              <w:sz w:val="22"/>
                              <w:szCs w:val="22"/>
                              <w:lang w:eastAsia="lt-LT"/>
                            </w:rPr>
                            <w:t>1</w:t>
                          </w:r>
                        </w:sdtContent>
                      </w:sdt>
                      <w:r>
                        <w:rPr>
                          <w:sz w:val="22"/>
                          <w:szCs w:val="22"/>
                          <w:lang w:eastAsia="lt-LT"/>
                        </w:rPr>
                        <w:t>. Prašymų išduoti finansų rinką reglamentuojančiuose teisės aktuose ir Europos Sąjungos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Europos Sąjungos teisės aktai ir jų įgyvendinamieji teisės aktai.</w:t>
                      </w:r>
                    </w:p>
                  </w:sdtContent>
                </w:sdt>
                <w:sdt>
                  <w:sdtPr>
                    <w:alias w:val="43-1 str. 2 d."/>
                    <w:tag w:val="part_1247a26486a34bedacdc4a59089e9395"/>
                    <w:lock w:val="sdtLocked"/>
                    <w:richText/>
                  </w:sdtPr>
                  <w:sdtContent>
                    <w:p>
                      <w:pPr>
                        <w:widowControl w:val="0"/>
                        <w:tabs>
                          <w:tab w:val="left" w:pos="900"/>
                        </w:tabs>
                        <w:ind w:firstLine="720"/>
                        <w:jc w:val="both"/>
                        <w:rPr>
                          <w:sz w:val="22"/>
                          <w:szCs w:val="22"/>
                          <w:lang w:eastAsia="lt-LT"/>
                        </w:rPr>
                      </w:pPr>
                      <w:sdt>
                        <w:sdtPr>
                          <w:alias w:val="Numeris"/>
                          <w:tag w:val="nr_1247a26486a34bedacdc4a59089e9395"/>
                          <w:lock w:val="sdtLocked"/>
                          <w:richText/>
                        </w:sdtPr>
                        <w:sdtContent>
                          <w:r>
                            <w:rPr>
                              <w:sz w:val="22"/>
                              <w:szCs w:val="22"/>
                              <w:lang w:eastAsia="lt-LT"/>
                            </w:rPr>
                            <w:t>2</w:t>
                          </w:r>
                        </w:sdtContent>
                      </w:sdt>
                      <w:r>
                        <w:rPr>
                          <w:sz w:val="22"/>
                          <w:szCs w:val="22"/>
                          <w:lang w:eastAsia="lt-LT"/>
                        </w:rPr>
                        <w:t>. Prašymas išduoti leidimą išnagrinėjamas ir sprendimas priimamas per 30 dienų nuo prašymo ir visų reikalaujamų dokumentų pateikimo dienos arba per kitus finansų rinką reglamentuojančiuose įstatymuose ir Europos Sąjungos teisės aktuose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arba juos savarankiškai pateikia leidimo prašantis asmuo, prašymo išnagrinėjimo ir sprendimo priėmimo terminas, jeigu finansų rinką reglamentuojančiuose įstatymuose ir Europos Sąjungos teisės aktuose nenustatyta kitaip, skaičiuojamas nuo papildomų dokumentų ir informacijos gavimo dienos.</w:t>
                      </w:r>
                    </w:p>
                  </w:sdtContent>
                </w:sdt>
                <w:sdt>
                  <w:sdtPr>
                    <w:alias w:val="43-1 str. 3 d."/>
                    <w:tag w:val="part_e3a2560976dc45e6a00c7774709b68c8"/>
                    <w:lock w:val="sdtLocked"/>
                    <w:richText/>
                  </w:sdtPr>
                  <w:sdtContent>
                    <w:p>
                      <w:pPr>
                        <w:widowControl w:val="0"/>
                        <w:tabs>
                          <w:tab w:val="left" w:pos="900"/>
                        </w:tabs>
                        <w:ind w:firstLine="720"/>
                        <w:jc w:val="both"/>
                        <w:rPr>
                          <w:sz w:val="22"/>
                          <w:szCs w:val="22"/>
                          <w:lang w:eastAsia="lt-LT"/>
                        </w:rPr>
                      </w:pPr>
                      <w:sdt>
                        <w:sdtPr>
                          <w:alias w:val="Numeris"/>
                          <w:tag w:val="nr_e3a2560976dc45e6a00c7774709b68c8"/>
                          <w:lock w:val="sdtLocked"/>
                          <w:richText/>
                        </w:sdtPr>
                        <w:sdtContent>
                          <w:r>
                            <w:rPr>
                              <w:sz w:val="22"/>
                              <w:szCs w:val="22"/>
                              <w:lang w:eastAsia="lt-LT"/>
                            </w:rPr>
                            <w:t>3</w:t>
                          </w:r>
                        </w:sdtContent>
                      </w:sdt>
                      <w:r>
                        <w:rPr>
                          <w:sz w:val="22"/>
                          <w:szCs w:val="22"/>
                          <w:lang w:eastAsia="lt-LT"/>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ir Europos Sąjungos teisės aktuose nustatyti leidimo neišdavimo pagrindai.</w:t>
                      </w:r>
                    </w:p>
                  </w:sdtContent>
                </w:sdt>
                <w:sdt>
                  <w:sdtPr>
                    <w:alias w:val="43-1 str. 4 d."/>
                    <w:tag w:val="part_689e975560734eae86abad0a9c253e75"/>
                    <w:lock w:val="sdtLocked"/>
                    <w:richText/>
                  </w:sdtPr>
                  <w:sdtContent>
                    <w:p>
                      <w:pPr>
                        <w:tabs>
                          <w:tab w:val="left" w:pos="993"/>
                        </w:tabs>
                        <w:ind w:firstLine="720"/>
                        <w:jc w:val="both"/>
                      </w:pPr>
                      <w:sdt>
                        <w:sdtPr>
                          <w:alias w:val="Numeris"/>
                          <w:tag w:val="nr_689e975560734eae86abad0a9c253e75"/>
                          <w:lock w:val="sdtLocked"/>
                          <w:richText/>
                        </w:sdtPr>
                        <w:sdtContent>
                          <w:r>
                            <w:rPr>
                              <w:sz w:val="22"/>
                              <w:szCs w:val="22"/>
                              <w:lang w:eastAsia="lt-LT"/>
                            </w:rPr>
                            <w:t>4</w:t>
                          </w:r>
                        </w:sdtContent>
                      </w:sdt>
                      <w:r>
                        <w:rPr>
                          <w:sz w:val="22"/>
                          <w:szCs w:val="22"/>
                          <w:lang w:eastAsia="lt-LT"/>
                        </w:rPr>
                        <w:t>. Apie priimtą sprendimą dėl leidimo išdavimo Lietuvos bankas ne vėliau kaip per 5 darbo dienas nuo sprendimo priėmimo dienos informuoja pareiškėjus, jeigu finansų rinką reglamentuojančiuose teisės aktuose nenustatyta kitaip. Lietuvos banko atsisakymas išduoti leidimą turi būti motyvuotas.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c2f02ae572b44741acdee4507365c022"/>
                    <w:lock w:val="sdtLocked"/>
                    <w:richText/>
                  </w:sdtPr>
                  <w:sdtContent>
                    <w:p>
                      <w:pPr>
                        <w:widowControl w:val="0"/>
                        <w:tabs>
                          <w:tab w:val="left" w:pos="900"/>
                        </w:tabs>
                        <w:ind w:firstLine="720"/>
                        <w:jc w:val="both"/>
                        <w:rPr>
                          <w:sz w:val="22"/>
                          <w:szCs w:val="22"/>
                        </w:rPr>
                      </w:pPr>
                      <w:sdt>
                        <w:sdtPr>
                          <w:alias w:val="Numeris"/>
                          <w:tag w:val="nr_c2f02ae572b44741acdee4507365c022"/>
                          <w:lock w:val="sdtLocked"/>
                          <w:richText/>
                        </w:sdtPr>
                        <w:sdtContent>
                          <w:r>
                            <w:rPr>
                              <w:bCs/>
                              <w:sz w:val="22"/>
                              <w:szCs w:val="22"/>
                              <w:lang w:eastAsia="lt-LT"/>
                            </w:rPr>
                            <w:t>1</w:t>
                          </w:r>
                        </w:sdtContent>
                      </w:sdt>
                      <w:r>
                        <w:rPr>
                          <w:bCs/>
                          <w:sz w:val="22"/>
                          <w:szCs w:val="22"/>
                          <w:lang w:eastAsia="lt-LT"/>
                        </w:rPr>
                        <w:t>. Lietuvos bankas duoda finansų rinką reglamentuojančiuose įstatymuose ir Europos Sąjungos teisės aktuose nustatytus privalomus nurodymus, jeigu yra bent vienas iš finansų rinką reglamentuojančiuose įstatymuose ar Europos Sąjungos teisės aktuose nustatytų privalomų nurodymų taikymo pagrindų.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5 d."/>
                    <w:tag w:val="part_0cd99273aaa04f5eb3278eb6d6c2676b"/>
                    <w:lock w:val="sdtLocked"/>
                    <w:richText/>
                  </w:sdtPr>
                  <w:sdtContent>
                    <w:p>
                      <w:pPr>
                        <w:ind w:firstLine="720"/>
                        <w:jc w:val="both"/>
                        <w:rPr>
                          <w:sz w:val="22"/>
                          <w:szCs w:val="22"/>
                        </w:rPr>
                      </w:pPr>
                      <w:sdt>
                        <w:sdtPr>
                          <w:alias w:val="Numeris"/>
                          <w:tag w:val="nr_0cd99273aaa04f5eb3278eb6d6c2676b"/>
                          <w:lock w:val="sdtLocked"/>
                          <w:richText/>
                        </w:sdtPr>
                        <w:sdtContent>
                          <w:r>
                            <w:rPr>
                              <w:rFonts w:eastAsia="Calibri"/>
                              <w:bCs/>
                              <w:sz w:val="22"/>
                              <w:szCs w:val="22"/>
                            </w:rPr>
                            <w:t>5</w:t>
                          </w:r>
                        </w:sdtContent>
                      </w:sdt>
                      <w:r>
                        <w:rPr>
                          <w:rFonts w:eastAsia="Calibri"/>
                          <w:bCs/>
                          <w:sz w:val="22"/>
                          <w:szCs w:val="22"/>
                        </w:rPr>
                        <w:t>. Lietuvos banko sprendimas duoti privalomus nurodymus turi būti motyvuotas ir grindžiamas tik tais įrodymais, su kuriais asmuo, kuriam duodamas privalomas nurodymas, turėjo galimybę susipažinti šio straipsnio 2 dalyje nustatyta tvarka. Lietuvos banko sprendime turi būti nurodytas jo priėmimo teisinis pagrindas, faktiniai duomenys, sudarantys privalomų nurodymų davimo pagrindus, asmens, kuriam duodamas privalomas nurodymas, paaiškinimai ir jų vertinimas, sprendimo apskundimo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6 d."/>
                    <w:tag w:val="part_ca0cada581794232bd424e539a3ecdd3"/>
                    <w:lock w:val="sdtLocked"/>
                    <w:richText/>
                  </w:sdtPr>
                  <w:sdtContent>
                    <w:p>
                      <w:pPr>
                        <w:tabs>
                          <w:tab w:val="left" w:pos="993"/>
                        </w:tabs>
                        <w:ind w:firstLine="720"/>
                        <w:jc w:val="both"/>
                        <w:rPr>
                          <w:sz w:val="22"/>
                          <w:szCs w:val="22"/>
                        </w:rPr>
                      </w:pPr>
                      <w:sdt>
                        <w:sdtPr>
                          <w:alias w:val="Numeris"/>
                          <w:tag w:val="nr_ca0cada581794232bd424e539a3ecdd3"/>
                          <w:lock w:val="sdtLocked"/>
                          <w:richText/>
                        </w:sdtPr>
                        <w:sdtContent>
                          <w:r>
                            <w:rPr>
                              <w:sz w:val="22"/>
                              <w:szCs w:val="22"/>
                            </w:rPr>
                            <w:t>6</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7 d."/>
                    <w:tag w:val="part_5acf2c4615be4fe3854f70199e84459f"/>
                    <w:lock w:val="sdtLocked"/>
                    <w:richText/>
                  </w:sdtPr>
                  <w:sdtContent>
                    <w:p>
                      <w:pPr>
                        <w:tabs>
                          <w:tab w:val="left" w:pos="993"/>
                        </w:tabs>
                        <w:ind w:firstLine="720"/>
                        <w:jc w:val="both"/>
                        <w:rPr>
                          <w:sz w:val="22"/>
                          <w:szCs w:val="22"/>
                        </w:rPr>
                      </w:pPr>
                      <w:sdt>
                        <w:sdtPr>
                          <w:alias w:val="Numeris"/>
                          <w:tag w:val="nr_5acf2c4615be4fe3854f70199e84459f"/>
                          <w:lock w:val="sdtLocked"/>
                          <w:richText/>
                        </w:sdtPr>
                        <w:sdtContent>
                          <w:r>
                            <w:rPr>
                              <w:sz w:val="22"/>
                              <w:szCs w:val="22"/>
                            </w:rPr>
                            <w:t>7</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43-2 str. 8 d."/>
                    <w:tag w:val="part_a0873650ec5e4a8d9b4aa2d5bedb78be"/>
                    <w:lock w:val="sdtLocked"/>
                    <w:richText/>
                  </w:sdtPr>
                  <w:sdtContent>
                    <w:p>
                      <w:pPr>
                        <w:widowControl w:val="0"/>
                        <w:tabs>
                          <w:tab w:val="left" w:pos="900"/>
                        </w:tabs>
                        <w:ind w:firstLine="720"/>
                        <w:jc w:val="both"/>
                      </w:pPr>
                      <w:sdt>
                        <w:sdtPr>
                          <w:alias w:val="Numeris"/>
                          <w:tag w:val="nr_a0873650ec5e4a8d9b4aa2d5bedb78be"/>
                          <w:lock w:val="sdtLocked"/>
                          <w:richText/>
                        </w:sdtPr>
                        <w:sdtContent>
                          <w:r>
                            <w:rPr>
                              <w:bCs/>
                              <w:sz w:val="22"/>
                              <w:szCs w:val="22"/>
                              <w:lang w:eastAsia="lt-LT"/>
                            </w:rPr>
                            <w:t>8</w:t>
                          </w:r>
                        </w:sdtContent>
                      </w:sdt>
                      <w:r>
                        <w:rPr>
                          <w:bCs/>
                          <w:sz w:val="22"/>
                          <w:szCs w:val="22"/>
                          <w:lang w:eastAsia="lt-LT"/>
                        </w:rPr>
                        <w:t>. Privalomų nurodymų davimas neatima teisės Lietuvos bankui kartu taikyti ir finansų rinką reglamentuojančiuose įstatymuose ir Europos Sąjungos teisės aktuose nustatytų poveikio priemonių.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49a4fe506b364c83a34efbbb4d421f5c"/>
                        <w:lock w:val="sdtLocked"/>
                        <w:richText/>
                      </w:sdtPr>
                      <w:sdtContent>
                        <w:p>
                          <w:pPr>
                            <w:widowControl w:val="0"/>
                            <w:tabs>
                              <w:tab w:val="left" w:pos="709"/>
                            </w:tabs>
                            <w:ind w:firstLine="720"/>
                            <w:jc w:val="both"/>
                            <w:rPr>
                              <w:rFonts w:eastAsia="Calibri"/>
                              <w:sz w:val="22"/>
                              <w:szCs w:val="22"/>
                            </w:rPr>
                          </w:pPr>
                          <w:sdt>
                            <w:sdtPr>
                              <w:alias w:val="Numeris"/>
                              <w:tag w:val="nr_49a4fe506b364c83a34efbbb4d421f5c"/>
                              <w:lock w:val="sdtLocked"/>
                              <w:richText/>
                            </w:sdtPr>
                            <w:sdtContent>
                              <w:r>
                                <w:rPr>
                                  <w:sz w:val="22"/>
                                  <w:szCs w:val="22"/>
                                </w:rPr>
                                <w:t>4</w:t>
                              </w:r>
                            </w:sdtContent>
                          </w:sdt>
                          <w:r>
                            <w:rPr>
                              <w:sz w:val="22"/>
                              <w:szCs w:val="22"/>
                            </w:rPr>
                            <w:t xml:space="preserve">) netaikyti poveikio priemonių, kai nenustatomas pažeidimas, kai nutraukiamas poveikio priemonės taikymo klausimo svarstymas šio straipsnio </w:t>
                          </w:r>
                          <w:r>
                            <w:rPr>
                              <w:sz w:val="22"/>
                              <w:szCs w:val="22"/>
                              <w:shd w:val="clear" w:color="auto" w:fill="FFFFFF"/>
                            </w:rPr>
                            <w:t>5 dalyje nurodytu pagrindu arba nėra įstatymo pagrindo taikyti poveikio priemonę, taip pat šio įstatymo 43</w:t>
                          </w:r>
                          <w:r>
                            <w:rPr>
                              <w:sz w:val="22"/>
                              <w:szCs w:val="22"/>
                              <w:shd w:val="clear" w:color="auto" w:fill="FFFFFF"/>
                              <w:vertAlign w:val="superscript"/>
                            </w:rPr>
                            <w:t>5</w:t>
                          </w:r>
                          <w:r>
                            <w:rPr>
                              <w:b/>
                              <w:bCs/>
                              <w:sz w:val="22"/>
                              <w:szCs w:val="22"/>
                              <w:shd w:val="clear" w:color="auto" w:fill="FFFFFF"/>
                              <w:vertAlign w:val="superscript"/>
                            </w:rPr>
                            <w:t xml:space="preserve"> </w:t>
                          </w:r>
                          <w:r>
                            <w:rPr>
                              <w:sz w:val="22"/>
                              <w:szCs w:val="22"/>
                              <w:shd w:val="clear" w:color="auto" w:fill="FFFFFF"/>
                            </w:rPr>
                            <w:t>straipsnyje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7f6da0f9ed434f89846ca9755f7cfc56"/>
                    <w:lock w:val="sdtLocked"/>
                    <w:richText/>
                  </w:sdtPr>
                  <w:sdtContent>
                    <w:p>
                      <w:pPr>
                        <w:tabs>
                          <w:tab w:val="left" w:pos="993"/>
                        </w:tabs>
                        <w:ind w:firstLine="720"/>
                        <w:jc w:val="both"/>
                        <w:rPr>
                          <w:rFonts w:eastAsia="Calibri"/>
                          <w:strike/>
                          <w:sz w:val="22"/>
                          <w:szCs w:val="22"/>
                        </w:rPr>
                      </w:pPr>
                      <w:sdt>
                        <w:sdtPr>
                          <w:alias w:val="Numeris"/>
                          <w:tag w:val="nr_7f6da0f9ed434f89846ca9755f7cfc56"/>
                          <w:lock w:val="sdtLocked"/>
                          <w:richText/>
                        </w:sdtPr>
                        <w:sdtContent>
                          <w:r>
                            <w:rPr>
                              <w:bCs/>
                              <w:sz w:val="22"/>
                              <w:szCs w:val="22"/>
                            </w:rPr>
                            <w:t>14</w:t>
                          </w:r>
                        </w:sdtContent>
                      </w:sdt>
                      <w:r>
                        <w:rPr>
                          <w:bCs/>
                          <w:sz w:val="22"/>
                          <w:szCs w:val="22"/>
                        </w:rPr>
                        <w:t>.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dėl finansų rinką reglamentuojančiuose įstatymuose ir Europos Sąjungos teisės aktuose nustatytų Lietuvos banko išduotų licencijų, leidimų, sutikimų, pritarimų, neprieštaravimų galiojimo sustabdymo ir galiojimo panaikinimo (atšaukimo).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3-3 str. 15 d."/>
                    <w:tag w:val="part_8c47a56f06b7459da119b4e209d0e193"/>
                    <w:lock w:val="sdtLocked"/>
                    <w:richText/>
                  </w:sdtPr>
                  <w:sdtContent>
                    <w:p>
                      <w:pPr>
                        <w:ind w:firstLine="720"/>
                        <w:jc w:val="both"/>
                        <w:rPr>
                          <w:rFonts w:eastAsia="Calibri"/>
                          <w:sz w:val="22"/>
                          <w:szCs w:val="22"/>
                        </w:rPr>
                      </w:pPr>
                      <w:sdt>
                        <w:sdtPr>
                          <w:alias w:val="Numeris"/>
                          <w:tag w:val="nr_8c47a56f06b7459da119b4e209d0e193"/>
                          <w:lock w:val="sdtLocked"/>
                          <w:richText/>
                        </w:sdtPr>
                        <w:sdtContent>
                          <w:r>
                            <w:rPr>
                              <w:rFonts w:eastAsia="Calibri"/>
                              <w:sz w:val="22"/>
                              <w:szCs w:val="22"/>
                            </w:rPr>
                            <w:t>15</w:t>
                          </w:r>
                        </w:sdtContent>
                      </w:sdt>
                      <w:r>
                        <w:rPr>
                          <w:rFonts w:eastAsia="Calibri"/>
                          <w:sz w:val="22"/>
                          <w:szCs w:val="22"/>
                        </w:rPr>
                        <w:t>. Siekiant užtikrinti finansų rinkos priežiūrą ir poveikio priemonių atgrasomąjį poveikį,</w:t>
                      </w:r>
                      <w:r>
                        <w:rPr>
                          <w:rFonts w:eastAsia="Calibri"/>
                          <w:b/>
                          <w:sz w:val="22"/>
                          <w:szCs w:val="22"/>
                        </w:rPr>
                        <w:t xml:space="preserve"> </w:t>
                      </w:r>
                      <w:r>
                        <w:rPr>
                          <w:rFonts w:eastAsia="Calibri"/>
                          <w:sz w:val="22"/>
                          <w:szCs w:val="22"/>
                        </w:rPr>
                        <w:t xml:space="preserve">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w:t>
                      </w:r>
                      <w:r>
                        <w:rPr>
                          <w:sz w:val="22"/>
                          <w:szCs w:val="22"/>
                        </w:rPr>
                        <w:t>arba jeigu nustatoma, kad informacijos skelbimas apie fiziniam asmeniui pritaikytą poveikio priemonę būtų neproporcingas</w:t>
                      </w:r>
                      <w:r>
                        <w:rPr>
                          <w:rFonts w:eastAsia="Calibri"/>
                          <w:sz w:val="22"/>
                          <w:szCs w:val="22"/>
                        </w:rPr>
                        <w:t>,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trumpiau kaip 5 metus nuo jos paskelbimo dienos. Paskelbtą informaciją sudarantys asmens duomenys Lietuvos banko interneto svetainėje skelbiami tik būtiną, ne trumpesnį kaip 5 metų ir ne ilgesnį kaip 10 metų, laikotarpį, nustatomą pagal Lietuvos banko tvirtinamas asmens duomenų apsaugos tvarkymo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28ca78114c714520a6de297319b4c852"/>
                <w:lock w:val="sdtLocked"/>
                <w:richText/>
              </w:sdtPr>
              <w:sdtContent>
                <w:p>
                  <w:pPr>
                    <w:widowControl w:val="0"/>
                    <w:ind w:firstLine="720"/>
                    <w:jc w:val="both"/>
                    <w:rPr>
                      <w:sz w:val="22"/>
                      <w:szCs w:val="22"/>
                    </w:rPr>
                  </w:pPr>
                  <w:sdt>
                    <w:sdtPr>
                      <w:alias w:val="Numeris"/>
                      <w:tag w:val="nr_28ca78114c714520a6de297319b4c852"/>
                      <w:lock w:val="sdtLocked"/>
                      <w:richText/>
                    </w:sdtPr>
                    <w:sdtContent>
                      <w:r>
                        <w:rPr>
                          <w:b/>
                          <w:sz w:val="22"/>
                          <w:szCs w:val="22"/>
                        </w:rPr>
                        <w:t>43</w:t>
                      </w:r>
                      <w:r>
                        <w:rPr>
                          <w:b/>
                          <w:sz w:val="22"/>
                          <w:szCs w:val="22"/>
                          <w:vertAlign w:val="superscript"/>
                        </w:rPr>
                        <w:t>4</w:t>
                      </w:r>
                    </w:sdtContent>
                  </w:sdt>
                  <w:r>
                    <w:rPr>
                      <w:b/>
                      <w:sz w:val="22"/>
                      <w:szCs w:val="22"/>
                    </w:rPr>
                    <w:t xml:space="preserve"> straipsnis. </w:t>
                  </w:r>
                  <w:sdt>
                    <w:sdtPr>
                      <w:alias w:val="Pavadinimas"/>
                      <w:tag w:val="title_28ca78114c714520a6de297319b4c852"/>
                      <w:lock w:val="sdtLocked"/>
                      <w:richText/>
                    </w:sdtPr>
                    <w:sdtContent>
                      <w:r>
                        <w:rPr>
                          <w:b/>
                          <w:sz w:val="22"/>
                          <w:szCs w:val="22"/>
                        </w:rPr>
                        <w:t>Poveikio priemonių taikymas sudarant administracinį susitarimą</w:t>
                      </w:r>
                      <w:r>
                        <w:rPr>
                          <w:sz w:val="22"/>
                          <w:szCs w:val="22"/>
                        </w:rPr>
                        <w:t xml:space="preserve"> </w:t>
                      </w:r>
                    </w:sdtContent>
                  </w:sdt>
                </w:p>
                <w:sdt>
                  <w:sdtPr>
                    <w:alias w:val="43-4 str. 1 d."/>
                    <w:tag w:val="part_0e47150ceec24efaace45de6f590dd42"/>
                    <w:lock w:val="sdtLocked"/>
                    <w:richText/>
                  </w:sdtPr>
                  <w:sdtContent>
                    <w:p>
                      <w:pPr>
                        <w:widowControl w:val="0"/>
                        <w:tabs>
                          <w:tab w:val="left" w:pos="1134"/>
                        </w:tabs>
                        <w:ind w:firstLine="720"/>
                        <w:jc w:val="both"/>
                        <w:rPr>
                          <w:sz w:val="22"/>
                          <w:szCs w:val="22"/>
                        </w:rPr>
                      </w:pPr>
                      <w:sdt>
                        <w:sdtPr>
                          <w:alias w:val="Numeris"/>
                          <w:tag w:val="nr_0e47150ceec24efaace45de6f590dd42"/>
                          <w:lock w:val="sdtLocked"/>
                          <w:richText/>
                        </w:sdtPr>
                        <w:sdtContent>
                          <w:r>
                            <w:rPr>
                              <w:sz w:val="22"/>
                              <w:szCs w:val="22"/>
                            </w:rPr>
                            <w:t>1</w:t>
                          </w:r>
                        </w:sdtContent>
                      </w:sdt>
                      <w:r>
                        <w:rPr>
                          <w:sz w:val="22"/>
                          <w:szCs w:val="22"/>
                        </w:rPr>
                        <w:t>. Poveikio priemonės taikymo klausimo svarstymas gali būti baigtas Lietuvos bankui ir asmeniui, kuriam ketinama taikyti poveikio priemonę, sudarius administracinį susitarimą. Tokiu atveju šio įstatymo 43</w:t>
                      </w:r>
                      <w:r>
                        <w:rPr>
                          <w:sz w:val="22"/>
                          <w:szCs w:val="22"/>
                          <w:vertAlign w:val="superscript"/>
                        </w:rPr>
                        <w:t>3</w:t>
                      </w:r>
                      <w:r>
                        <w:rPr>
                          <w:sz w:val="22"/>
                          <w:szCs w:val="22"/>
                        </w:rPr>
                        <w:t xml:space="preserve"> ir 43</w:t>
                      </w:r>
                      <w:r>
                        <w:rPr>
                          <w:sz w:val="22"/>
                          <w:szCs w:val="22"/>
                          <w:vertAlign w:val="superscript"/>
                        </w:rPr>
                        <w:t>7</w:t>
                      </w:r>
                      <w:r>
                        <w:rPr>
                          <w:sz w:val="22"/>
                          <w:szCs w:val="22"/>
                        </w:rPr>
                        <w:t xml:space="preserve"> straipsnių nuostatos taikomos </w:t>
                      </w:r>
                      <w:r>
                        <w:rPr>
                          <w:i/>
                          <w:iCs/>
                          <w:sz w:val="22"/>
                          <w:szCs w:val="22"/>
                        </w:rPr>
                        <w:t>mutatis mutandis</w:t>
                      </w:r>
                      <w:r>
                        <w:rPr>
                          <w:sz w:val="22"/>
                          <w:szCs w:val="22"/>
                        </w:rPr>
                        <w:t xml:space="preserve"> atsižvelgiant į šio straipsnio nuostatas. </w:t>
                      </w:r>
                    </w:p>
                  </w:sdtContent>
                </w:sdt>
                <w:sdt>
                  <w:sdtPr>
                    <w:alias w:val="43-4 str. 2 d."/>
                    <w:tag w:val="part_3c7234997cc442119d973e7c622772b3"/>
                    <w:lock w:val="sdtLocked"/>
                    <w:richText/>
                  </w:sdtPr>
                  <w:sdtContent>
                    <w:p>
                      <w:pPr>
                        <w:widowControl w:val="0"/>
                        <w:tabs>
                          <w:tab w:val="left" w:pos="1134"/>
                        </w:tabs>
                        <w:ind w:firstLine="720"/>
                        <w:jc w:val="both"/>
                        <w:rPr>
                          <w:sz w:val="22"/>
                          <w:szCs w:val="22"/>
                        </w:rPr>
                      </w:pPr>
                      <w:sdt>
                        <w:sdtPr>
                          <w:alias w:val="Numeris"/>
                          <w:tag w:val="nr_3c7234997cc442119d973e7c622772b3"/>
                          <w:lock w:val="sdtLocked"/>
                          <w:richText/>
                        </w:sdtPr>
                        <w:sdtContent>
                          <w:r>
                            <w:rPr>
                              <w:sz w:val="22"/>
                              <w:szCs w:val="22"/>
                            </w:rPr>
                            <w:t>2</w:t>
                          </w:r>
                        </w:sdtContent>
                      </w:sdt>
                      <w:r>
                        <w:rPr>
                          <w:sz w:val="22"/>
                          <w:szCs w:val="22"/>
                        </w:rPr>
                        <w:t xml:space="preserve">. Administracinio susitarimo sudarymo tikslas yra pasiekti bendrą Lietuvos banko ir asmens, kuriam ketinama taikyti poveikio priemonę, susitarimą dėl nustatytų faktinių duomenų, kurie sudaro poveikio priemonės taikymo pagrindus, juos patvirtinančių įrodymų ir asmeniui taikytinos atsakomybės ir išspręsti klausimą dėl poveikio priemonės taikymo. </w:t>
                      </w:r>
                    </w:p>
                  </w:sdtContent>
                </w:sdt>
                <w:sdt>
                  <w:sdtPr>
                    <w:alias w:val="43-4 str. 3 d."/>
                    <w:tag w:val="part_d089725faa7c460f8fffe6d567ca6d98"/>
                    <w:lock w:val="sdtLocked"/>
                    <w:richText/>
                  </w:sdtPr>
                  <w:sdtContent>
                    <w:p>
                      <w:pPr>
                        <w:widowControl w:val="0"/>
                        <w:tabs>
                          <w:tab w:val="left" w:pos="1134"/>
                        </w:tabs>
                        <w:ind w:firstLine="720"/>
                        <w:jc w:val="both"/>
                        <w:rPr>
                          <w:sz w:val="22"/>
                          <w:szCs w:val="22"/>
                        </w:rPr>
                      </w:pPr>
                      <w:sdt>
                        <w:sdtPr>
                          <w:alias w:val="Numeris"/>
                          <w:tag w:val="nr_d089725faa7c460f8fffe6d567ca6d98"/>
                          <w:lock w:val="sdtLocked"/>
                          <w:richText/>
                        </w:sdtPr>
                        <w:sdtContent>
                          <w:r>
                            <w:rPr>
                              <w:sz w:val="22"/>
                              <w:szCs w:val="22"/>
                            </w:rPr>
                            <w:t>3</w:t>
                          </w:r>
                        </w:sdtContent>
                      </w:sdt>
                      <w:r>
                        <w:rPr>
                          <w:sz w:val="22"/>
                          <w:szCs w:val="22"/>
                        </w:rPr>
                        <w:t>. Asmuo, kuriam ketinama taikyti poveikio priemonę, šio įstatymo 43</w:t>
                      </w:r>
                      <w:r>
                        <w:rPr>
                          <w:sz w:val="22"/>
                          <w:szCs w:val="22"/>
                          <w:vertAlign w:val="superscript"/>
                        </w:rPr>
                        <w:t>3</w:t>
                      </w:r>
                      <w:r>
                        <w:rPr>
                          <w:sz w:val="22"/>
                          <w:szCs w:val="22"/>
                        </w:rPr>
                        <w:t xml:space="preserve"> straipsnio 2 dalyje nustatyta tvarka gavęs iš Lietuvos banko esminę informaciją apie teisės aktų nuostatas ir nustatytus faktinius duomenis, kurie sudaro poveikio priemonės taikymo pagrindus, per paaiškinimams pateikti nustatytą terminą kartu su teikiamais paaiškinimais turi teisę pasiūlyti Lietuvos bankui sudaryti administracinį susitarimą. Jeigu asmuo siūlymą dėl administracinio susitarimo sudarymo pateikia vėliau, bet iki priimant </w:t>
                      </w:r>
                      <w:r>
                        <w:rPr>
                          <w:rFonts w:eastAsia="Calibri"/>
                          <w:sz w:val="22"/>
                          <w:szCs w:val="22"/>
                        </w:rPr>
                        <w:t>sprendimą dėl poveikio priemonės taikymo</w:t>
                      </w:r>
                      <w:r>
                        <w:rPr>
                          <w:sz w:val="22"/>
                          <w:szCs w:val="22"/>
                        </w:rPr>
                        <w:t>, Lietuvos bankas, spręsdamas dėl galimybės sudaryti administracinį susitarimą, atsižvelgia į tai, ar dėl vėlesnio siūlymo pateikimo nebus uždelsiamas poveikio priemonės taikymo klausimo svarstymas.</w:t>
                      </w:r>
                    </w:p>
                  </w:sdtContent>
                </w:sdt>
                <w:sdt>
                  <w:sdtPr>
                    <w:alias w:val="43-4 str. 4 d."/>
                    <w:tag w:val="part_106a9b814ac4420d913c5249a347ca34"/>
                    <w:lock w:val="sdtLocked"/>
                    <w:richText/>
                  </w:sdtPr>
                  <w:sdtContent>
                    <w:p>
                      <w:pPr>
                        <w:widowControl w:val="0"/>
                        <w:tabs>
                          <w:tab w:val="left" w:pos="1134"/>
                        </w:tabs>
                        <w:ind w:firstLine="720"/>
                        <w:jc w:val="both"/>
                        <w:rPr>
                          <w:sz w:val="22"/>
                          <w:szCs w:val="22"/>
                        </w:rPr>
                      </w:pPr>
                      <w:sdt>
                        <w:sdtPr>
                          <w:alias w:val="Numeris"/>
                          <w:tag w:val="nr_106a9b814ac4420d913c5249a347ca34"/>
                          <w:lock w:val="sdtLocked"/>
                          <w:richText/>
                        </w:sdtPr>
                        <w:sdtContent>
                          <w:r>
                            <w:rPr>
                              <w:sz w:val="22"/>
                              <w:szCs w:val="22"/>
                            </w:rPr>
                            <w:t>4</w:t>
                          </w:r>
                        </w:sdtContent>
                      </w:sdt>
                      <w:r>
                        <w:rPr>
                          <w:sz w:val="22"/>
                          <w:szCs w:val="22"/>
                        </w:rPr>
                        <w:t xml:space="preserve">. Asmens, kuriam ketinama taikyti poveikio priemonę, siūlymo dėl administracinio susitarimo sudarymo pateikimas neįpareigoja Lietuvos banko pradėti administracinio susitarimo sudarymo proceso. Lietuvos bankas, spręsdamas dėl galimybės sudaryti administracinį susitarimą, atsižvelgia į: </w:t>
                      </w:r>
                    </w:p>
                    <w:sdt>
                      <w:sdtPr>
                        <w:alias w:val="43-4 str. 4 d. 1 p."/>
                        <w:tag w:val="part_7ecfd30c35a3412e98927c3b61c82003"/>
                        <w:lock w:val="sdtLocked"/>
                        <w:richText/>
                      </w:sdtPr>
                      <w:sdtContent>
                        <w:p>
                          <w:pPr>
                            <w:widowControl w:val="0"/>
                            <w:tabs>
                              <w:tab w:val="left" w:pos="1134"/>
                            </w:tabs>
                            <w:ind w:firstLine="720"/>
                            <w:jc w:val="both"/>
                            <w:rPr>
                              <w:sz w:val="22"/>
                              <w:szCs w:val="22"/>
                            </w:rPr>
                          </w:pPr>
                          <w:sdt>
                            <w:sdtPr>
                              <w:alias w:val="Numeris"/>
                              <w:tag w:val="nr_7ecfd30c35a3412e98927c3b61c82003"/>
                              <w:lock w:val="sdtLocked"/>
                              <w:richText/>
                            </w:sdtPr>
                            <w:sdtContent>
                              <w:r>
                                <w:rPr>
                                  <w:sz w:val="22"/>
                                  <w:szCs w:val="22"/>
                                </w:rPr>
                                <w:t>1</w:t>
                              </w:r>
                            </w:sdtContent>
                          </w:sdt>
                          <w:r>
                            <w:rPr>
                              <w:sz w:val="22"/>
                              <w:szCs w:val="22"/>
                            </w:rPr>
                            <w:t xml:space="preserve">) įtariamų finansų rinką reglamentuojančių teisės aktų pažeidimų pobūdį; </w:t>
                          </w:r>
                        </w:p>
                      </w:sdtContent>
                    </w:sdt>
                    <w:sdt>
                      <w:sdtPr>
                        <w:alias w:val="43-4 str. 4 d. 2 p."/>
                        <w:tag w:val="part_c22ecd9c72224f0eb69527c8629ab9b8"/>
                        <w:lock w:val="sdtLocked"/>
                        <w:richText/>
                      </w:sdtPr>
                      <w:sdtContent>
                        <w:p>
                          <w:pPr>
                            <w:widowControl w:val="0"/>
                            <w:tabs>
                              <w:tab w:val="left" w:pos="709"/>
                              <w:tab w:val="left" w:pos="993"/>
                            </w:tabs>
                            <w:ind w:firstLine="720"/>
                            <w:jc w:val="both"/>
                            <w:rPr>
                              <w:sz w:val="22"/>
                              <w:szCs w:val="22"/>
                            </w:rPr>
                          </w:pPr>
                          <w:sdt>
                            <w:sdtPr>
                              <w:alias w:val="Numeris"/>
                              <w:tag w:val="nr_c22ecd9c72224f0eb69527c8629ab9b8"/>
                              <w:lock w:val="sdtLocked"/>
                              <w:richText/>
                            </w:sdtPr>
                            <w:sdtContent>
                              <w:r>
                                <w:rPr>
                                  <w:sz w:val="22"/>
                                  <w:szCs w:val="22"/>
                                </w:rPr>
                                <w:t>2</w:t>
                              </w:r>
                            </w:sdtContent>
                          </w:sdt>
                          <w:r>
                            <w:rPr>
                              <w:sz w:val="22"/>
                              <w:szCs w:val="22"/>
                            </w:rPr>
                            <w:t xml:space="preserve">) asmens, kuriam ketinama taikyti poveikio priemonę, ankstesnius pažeidimus ir jam taikytas poveikio priemones; </w:t>
                          </w:r>
                        </w:p>
                      </w:sdtContent>
                    </w:sdt>
                    <w:sdt>
                      <w:sdtPr>
                        <w:alias w:val="43-4 str. 4 d. 3 p."/>
                        <w:tag w:val="part_4eadeb379c2b4e81bbecda00b0ee06e9"/>
                        <w:lock w:val="sdtLocked"/>
                        <w:richText/>
                      </w:sdtPr>
                      <w:sdtContent>
                        <w:p>
                          <w:pPr>
                            <w:widowControl w:val="0"/>
                            <w:tabs>
                              <w:tab w:val="left" w:pos="709"/>
                              <w:tab w:val="left" w:pos="993"/>
                            </w:tabs>
                            <w:ind w:firstLine="720"/>
                            <w:jc w:val="both"/>
                            <w:rPr>
                              <w:sz w:val="22"/>
                              <w:szCs w:val="22"/>
                            </w:rPr>
                          </w:pPr>
                          <w:sdt>
                            <w:sdtPr>
                              <w:alias w:val="Numeris"/>
                              <w:tag w:val="nr_4eadeb379c2b4e81bbecda00b0ee06e9"/>
                              <w:lock w:val="sdtLocked"/>
                              <w:richText/>
                            </w:sdtPr>
                            <w:sdtContent>
                              <w:r>
                                <w:rPr>
                                  <w:sz w:val="22"/>
                                  <w:szCs w:val="22"/>
                                </w:rPr>
                                <w:t>3</w:t>
                              </w:r>
                            </w:sdtContent>
                          </w:sdt>
                          <w:r>
                            <w:rPr>
                              <w:sz w:val="22"/>
                              <w:szCs w:val="22"/>
                            </w:rPr>
                            <w:t>) tai, ar asmuo, kuriam ketinama taikyti poveikio priemonę, elgiasi sąžiningai, atskleidžia reikšmingas su įtariamais pažeidimais susijusias faktines aplinkybes ir jas patvirtinančius įrodymus;</w:t>
                          </w:r>
                        </w:p>
                      </w:sdtContent>
                    </w:sdt>
                    <w:sdt>
                      <w:sdtPr>
                        <w:alias w:val="43-4 str. 4 d. 4 p."/>
                        <w:tag w:val="part_94c19daacf51417e9565799ee5fc6efc"/>
                        <w:lock w:val="sdtLocked"/>
                        <w:richText/>
                      </w:sdtPr>
                      <w:sdtContent>
                        <w:p>
                          <w:pPr>
                            <w:widowControl w:val="0"/>
                            <w:tabs>
                              <w:tab w:val="left" w:pos="709"/>
                              <w:tab w:val="left" w:pos="993"/>
                            </w:tabs>
                            <w:ind w:firstLine="720"/>
                            <w:jc w:val="both"/>
                            <w:rPr>
                              <w:sz w:val="22"/>
                              <w:szCs w:val="22"/>
                            </w:rPr>
                          </w:pPr>
                          <w:sdt>
                            <w:sdtPr>
                              <w:alias w:val="Numeris"/>
                              <w:tag w:val="nr_94c19daacf51417e9565799ee5fc6efc"/>
                              <w:lock w:val="sdtLocked"/>
                              <w:richText/>
                            </w:sdtPr>
                            <w:sdtContent>
                              <w:r>
                                <w:rPr>
                                  <w:sz w:val="22"/>
                                  <w:szCs w:val="22"/>
                                </w:rPr>
                                <w:t>4</w:t>
                              </w:r>
                            </w:sdtContent>
                          </w:sdt>
                          <w:r>
                            <w:rPr>
                              <w:sz w:val="22"/>
                              <w:szCs w:val="22"/>
                            </w:rPr>
                            <w:t xml:space="preserve">) tai, ar administracinio susitarimo sudarymas užtikrins, kad bus veiksmingai pasiektas priežiūros ir (arba) poveikio priemonės taikymo tikslas; </w:t>
                          </w:r>
                        </w:p>
                      </w:sdtContent>
                    </w:sdt>
                    <w:sdt>
                      <w:sdtPr>
                        <w:alias w:val="43-4 str. 4 d. 5 p."/>
                        <w:tag w:val="part_5882f0d4854349469e0fae4cebcc4602"/>
                        <w:lock w:val="sdtLocked"/>
                        <w:richText/>
                      </w:sdtPr>
                      <w:sdtContent>
                        <w:p>
                          <w:pPr>
                            <w:widowControl w:val="0"/>
                            <w:tabs>
                              <w:tab w:val="left" w:pos="709"/>
                              <w:tab w:val="left" w:pos="993"/>
                            </w:tabs>
                            <w:ind w:firstLine="720"/>
                            <w:jc w:val="both"/>
                            <w:rPr>
                              <w:sz w:val="22"/>
                              <w:szCs w:val="22"/>
                            </w:rPr>
                          </w:pPr>
                          <w:sdt>
                            <w:sdtPr>
                              <w:alias w:val="Numeris"/>
                              <w:tag w:val="nr_5882f0d4854349469e0fae4cebcc4602"/>
                              <w:lock w:val="sdtLocked"/>
                              <w:richText/>
                            </w:sdtPr>
                            <w:sdtContent>
                              <w:r>
                                <w:rPr>
                                  <w:sz w:val="22"/>
                                  <w:szCs w:val="22"/>
                                </w:rPr>
                                <w:t>5</w:t>
                              </w:r>
                            </w:sdtContent>
                          </w:sdt>
                          <w:r>
                            <w:rPr>
                              <w:sz w:val="22"/>
                              <w:szCs w:val="22"/>
                            </w:rPr>
                            <w:t>) tikimybę per šiame straipsnyje nustatytą terminą pasiekti bendrą susitarimą, įvertinant faktinių aplinkybių ginčijimo pobūdį ir mastą, iš anksto numatomus priešingus ir</w:t>
                          </w:r>
                          <w:r>
                            <w:rPr>
                              <w:bCs/>
                              <w:sz w:val="22"/>
                              <w:szCs w:val="22"/>
                            </w:rPr>
                            <w:t xml:space="preserve"> </w:t>
                          </w:r>
                          <w:r>
                            <w:rPr>
                              <w:sz w:val="22"/>
                              <w:szCs w:val="22"/>
                            </w:rPr>
                            <w:t xml:space="preserve">nesuderinamus požiūrius dėl atsakomybės taikymo bei kitas susitarimui per šio straipsnio 9 dalyje nustatytą terminą pasiekti reikšmingas aplinkybes. </w:t>
                          </w:r>
                        </w:p>
                      </w:sdtContent>
                    </w:sdt>
                  </w:sdtContent>
                </w:sdt>
                <w:sdt>
                  <w:sdtPr>
                    <w:alias w:val="43-4 str. 5 d."/>
                    <w:tag w:val="part_f899efc6b4af4410bfc835153f7aca6e"/>
                    <w:lock w:val="sdtLocked"/>
                    <w:richText/>
                  </w:sdtPr>
                  <w:sdtContent>
                    <w:p>
                      <w:pPr>
                        <w:widowControl w:val="0"/>
                        <w:tabs>
                          <w:tab w:val="left" w:pos="1134"/>
                        </w:tabs>
                        <w:ind w:firstLine="720"/>
                        <w:jc w:val="both"/>
                        <w:rPr>
                          <w:sz w:val="22"/>
                          <w:szCs w:val="22"/>
                        </w:rPr>
                      </w:pPr>
                      <w:sdt>
                        <w:sdtPr>
                          <w:alias w:val="Numeris"/>
                          <w:tag w:val="nr_f899efc6b4af4410bfc835153f7aca6e"/>
                          <w:lock w:val="sdtLocked"/>
                          <w:richText/>
                        </w:sdtPr>
                        <w:sdtContent>
                          <w:r>
                            <w:rPr>
                              <w:sz w:val="22"/>
                              <w:szCs w:val="22"/>
                            </w:rPr>
                            <w:t>5</w:t>
                          </w:r>
                        </w:sdtContent>
                      </w:sdt>
                      <w:r>
                        <w:rPr>
                          <w:sz w:val="22"/>
                          <w:szCs w:val="22"/>
                        </w:rPr>
                        <w:t>. Administracinis susitarimas turi neprieštarauti imperatyvioms įstatymų ir kitų teisės aktų nuostatoms, viešajam interesui, nepažeisti trečiųjų suinteresuotų asmenų teisių ar teisėtų interesų.</w:t>
                      </w:r>
                      <w:r>
                        <w:rPr>
                          <w:sz w:val="22"/>
                          <w:szCs w:val="22"/>
                          <w:shd w:val="clear" w:color="auto" w:fill="FFFFFF"/>
                        </w:rPr>
                        <w:t xml:space="preserve"> </w:t>
                      </w:r>
                    </w:p>
                  </w:sdtContent>
                </w:sdt>
                <w:sdt>
                  <w:sdtPr>
                    <w:alias w:val="43-4 str. 6 d."/>
                    <w:tag w:val="part_63fa00884cb24b1f9884cb3015d7abc3"/>
                    <w:lock w:val="sdtLocked"/>
                    <w:richText/>
                  </w:sdtPr>
                  <w:sdtContent>
                    <w:p>
                      <w:pPr>
                        <w:widowControl w:val="0"/>
                        <w:tabs>
                          <w:tab w:val="left" w:pos="709"/>
                          <w:tab w:val="left" w:pos="1134"/>
                        </w:tabs>
                        <w:ind w:firstLine="720"/>
                        <w:jc w:val="both"/>
                        <w:rPr>
                          <w:sz w:val="22"/>
                          <w:szCs w:val="22"/>
                        </w:rPr>
                      </w:pPr>
                      <w:sdt>
                        <w:sdtPr>
                          <w:alias w:val="Numeris"/>
                          <w:tag w:val="nr_63fa00884cb24b1f9884cb3015d7abc3"/>
                          <w:lock w:val="sdtLocked"/>
                          <w:richText/>
                        </w:sdtPr>
                        <w:sdtContent>
                          <w:r>
                            <w:rPr>
                              <w:sz w:val="22"/>
                              <w:szCs w:val="22"/>
                            </w:rPr>
                            <w:t>6</w:t>
                          </w:r>
                        </w:sdtContent>
                      </w:sdt>
                      <w:r>
                        <w:rPr>
                          <w:sz w:val="22"/>
                          <w:szCs w:val="22"/>
                        </w:rPr>
                        <w:t xml:space="preserve">. </w:t>
                      </w:r>
                      <w:r>
                        <w:rPr>
                          <w:sz w:val="22"/>
                          <w:szCs w:val="22"/>
                          <w:shd w:val="clear" w:color="auto" w:fill="FFFFFF"/>
                        </w:rPr>
                        <w:t xml:space="preserve">Administracinio susitarimo dalykas turi sutapti su šio įstatymo </w:t>
                      </w:r>
                      <w:r>
                        <w:rPr>
                          <w:sz w:val="22"/>
                          <w:szCs w:val="22"/>
                        </w:rPr>
                        <w:t>43</w:t>
                      </w:r>
                      <w:r>
                        <w:rPr>
                          <w:sz w:val="22"/>
                          <w:szCs w:val="22"/>
                          <w:vertAlign w:val="superscript"/>
                        </w:rPr>
                        <w:t>3</w:t>
                      </w:r>
                      <w:r>
                        <w:rPr>
                          <w:sz w:val="22"/>
                          <w:szCs w:val="22"/>
                        </w:rPr>
                        <w:t xml:space="preserve"> straipsnio 2 dalyje nustatyta tvarka </w:t>
                      </w:r>
                      <w:r>
                        <w:rPr>
                          <w:sz w:val="22"/>
                          <w:szCs w:val="22"/>
                          <w:shd w:val="clear" w:color="auto" w:fill="FFFFFF"/>
                        </w:rPr>
                        <w:t xml:space="preserve">Lietuvos banko </w:t>
                      </w:r>
                      <w:r>
                        <w:rPr>
                          <w:sz w:val="22"/>
                          <w:szCs w:val="22"/>
                        </w:rPr>
                        <w:t>nurodytais faktiniais duomenimis, kurie sudaro poveikio priemonės taikymo pagrindus</w:t>
                      </w:r>
                      <w:r>
                        <w:rPr>
                          <w:sz w:val="22"/>
                          <w:szCs w:val="22"/>
                          <w:shd w:val="clear" w:color="auto" w:fill="FFFFFF"/>
                        </w:rPr>
                        <w:t xml:space="preserve">. Administraciniu susitarimu taip pat gali būti išsprendžiami su asmens, kuriam ketinama taikyti poveikio priemonę, nustatytais pažeidimais ir jų pasekmių pašalinimu susiję klausimai, taip pat </w:t>
                      </w:r>
                      <w:r>
                        <w:rPr>
                          <w:sz w:val="22"/>
                          <w:szCs w:val="22"/>
                        </w:rPr>
                        <w:t>baudos ar jos dalies mokėjimo išdėstymo šio įstatymo 43</w:t>
                      </w:r>
                      <w:r>
                        <w:rPr>
                          <w:sz w:val="22"/>
                          <w:szCs w:val="22"/>
                          <w:vertAlign w:val="superscript"/>
                        </w:rPr>
                        <w:t>7</w:t>
                      </w:r>
                      <w:r>
                        <w:rPr>
                          <w:sz w:val="22"/>
                          <w:szCs w:val="22"/>
                        </w:rPr>
                        <w:t> straipsnio 2 dalyje nustatytomis sąlygomis klausimas.</w:t>
                      </w:r>
                    </w:p>
                  </w:sdtContent>
                </w:sdt>
                <w:sdt>
                  <w:sdtPr>
                    <w:alias w:val="43-4 str. 7 d."/>
                    <w:tag w:val="part_919feb146d6f4d9aaf704c526f9ebe68"/>
                    <w:lock w:val="sdtLocked"/>
                    <w:richText/>
                  </w:sdtPr>
                  <w:sdtContent>
                    <w:p>
                      <w:pPr>
                        <w:widowControl w:val="0"/>
                        <w:tabs>
                          <w:tab w:val="left" w:pos="1134"/>
                        </w:tabs>
                        <w:ind w:firstLine="720"/>
                        <w:jc w:val="both"/>
                        <w:rPr>
                          <w:sz w:val="22"/>
                          <w:szCs w:val="22"/>
                        </w:rPr>
                      </w:pPr>
                      <w:sdt>
                        <w:sdtPr>
                          <w:alias w:val="Numeris"/>
                          <w:tag w:val="nr_919feb146d6f4d9aaf704c526f9ebe68"/>
                          <w:lock w:val="sdtLocked"/>
                          <w:richText/>
                        </w:sdtPr>
                        <w:sdtContent>
                          <w:r>
                            <w:rPr>
                              <w:sz w:val="22"/>
                              <w:szCs w:val="22"/>
                            </w:rPr>
                            <w:t>7</w:t>
                          </w:r>
                        </w:sdtContent>
                      </w:sdt>
                      <w:r>
                        <w:rPr>
                          <w:sz w:val="22"/>
                          <w:szCs w:val="22"/>
                        </w:rPr>
                        <w:t>. Administracinis susitarimas sudaromas raštu. Jame turi būti nurodyta:</w:t>
                      </w:r>
                    </w:p>
                    <w:sdt>
                      <w:sdtPr>
                        <w:alias w:val="43-4 str. 7 d. 1 p."/>
                        <w:tag w:val="part_a22fd399e87141239decd2dbbef3932f"/>
                        <w:lock w:val="sdtLocked"/>
                        <w:richText/>
                      </w:sdtPr>
                      <w:sdtContent>
                        <w:p>
                          <w:pPr>
                            <w:widowControl w:val="0"/>
                            <w:tabs>
                              <w:tab w:val="left" w:pos="1134"/>
                            </w:tabs>
                            <w:ind w:firstLine="720"/>
                            <w:jc w:val="both"/>
                            <w:rPr>
                              <w:sz w:val="22"/>
                              <w:szCs w:val="22"/>
                            </w:rPr>
                          </w:pPr>
                          <w:sdt>
                            <w:sdtPr>
                              <w:alias w:val="Numeris"/>
                              <w:tag w:val="nr_a22fd399e87141239decd2dbbef3932f"/>
                              <w:lock w:val="sdtLocked"/>
                              <w:richText/>
                            </w:sdtPr>
                            <w:sdtContent>
                              <w:r>
                                <w:rPr>
                                  <w:sz w:val="22"/>
                                  <w:szCs w:val="22"/>
                                </w:rPr>
                                <w:t>1</w:t>
                              </w:r>
                            </w:sdtContent>
                          </w:sdt>
                          <w:r>
                            <w:rPr>
                              <w:sz w:val="22"/>
                              <w:szCs w:val="22"/>
                            </w:rPr>
                            <w:t>) administracinio susitarimo sudarymo data;</w:t>
                          </w:r>
                        </w:p>
                      </w:sdtContent>
                    </w:sdt>
                    <w:sdt>
                      <w:sdtPr>
                        <w:alias w:val="43-4 str. 7 d. 2 p."/>
                        <w:tag w:val="part_a114ac7f13cc4a6286056e0388068517"/>
                        <w:lock w:val="sdtLocked"/>
                        <w:richText/>
                      </w:sdtPr>
                      <w:sdtContent>
                        <w:p>
                          <w:pPr>
                            <w:widowControl w:val="0"/>
                            <w:tabs>
                              <w:tab w:val="left" w:pos="1134"/>
                            </w:tabs>
                            <w:ind w:firstLine="720"/>
                            <w:jc w:val="both"/>
                            <w:rPr>
                              <w:sz w:val="22"/>
                              <w:szCs w:val="22"/>
                            </w:rPr>
                          </w:pPr>
                          <w:sdt>
                            <w:sdtPr>
                              <w:alias w:val="Numeris"/>
                              <w:tag w:val="nr_a114ac7f13cc4a6286056e0388068517"/>
                              <w:lock w:val="sdtLocked"/>
                              <w:richText/>
                            </w:sdtPr>
                            <w:sdtContent>
                              <w:r>
                                <w:rPr>
                                  <w:sz w:val="22"/>
                                  <w:szCs w:val="22"/>
                                </w:rPr>
                                <w:t>2</w:t>
                              </w:r>
                            </w:sdtContent>
                          </w:sdt>
                          <w:r>
                            <w:rPr>
                              <w:sz w:val="22"/>
                              <w:szCs w:val="22"/>
                            </w:rPr>
                            <w:t xml:space="preserve">) šalių tapatybę apibūdinantys duomenys: juridinio asmens pavadinimas ir kodas, fizinio asmens vardas, pavardė ir asmens kodas, taip pat šalims atstovaujančių įgaliotų atstovų vardai ir pavardės; </w:t>
                          </w:r>
                        </w:p>
                      </w:sdtContent>
                    </w:sdt>
                    <w:sdt>
                      <w:sdtPr>
                        <w:alias w:val="43-4 str. 7 d. 3 p."/>
                        <w:tag w:val="part_7289086af03f4fa1bd76451e3facb0e8"/>
                        <w:lock w:val="sdtLocked"/>
                        <w:richText/>
                      </w:sdtPr>
                      <w:sdtContent>
                        <w:p>
                          <w:pPr>
                            <w:widowControl w:val="0"/>
                            <w:tabs>
                              <w:tab w:val="left" w:pos="1134"/>
                            </w:tabs>
                            <w:ind w:firstLine="720"/>
                            <w:jc w:val="both"/>
                            <w:rPr>
                              <w:sz w:val="22"/>
                              <w:szCs w:val="22"/>
                            </w:rPr>
                          </w:pPr>
                          <w:sdt>
                            <w:sdtPr>
                              <w:alias w:val="Numeris"/>
                              <w:tag w:val="nr_7289086af03f4fa1bd76451e3facb0e8"/>
                              <w:lock w:val="sdtLocked"/>
                              <w:richText/>
                            </w:sdtPr>
                            <w:sdtContent>
                              <w:r>
                                <w:rPr>
                                  <w:sz w:val="22"/>
                                  <w:szCs w:val="22"/>
                                </w:rPr>
                                <w:t>3</w:t>
                              </w:r>
                            </w:sdtContent>
                          </w:sdt>
                          <w:r>
                            <w:rPr>
                              <w:sz w:val="22"/>
                              <w:szCs w:val="22"/>
                            </w:rPr>
                            <w:t>) informacija apie padarytų pažeidimų esmę, šių pažeidimų padarymo aplinkybes ir poveikio priemonės taikymo pagrindą;</w:t>
                          </w:r>
                        </w:p>
                      </w:sdtContent>
                    </w:sdt>
                    <w:sdt>
                      <w:sdtPr>
                        <w:alias w:val="43-4 str. 7 d. 4 p."/>
                        <w:tag w:val="part_458b8cec2ef7411b9849f4bc349650ad"/>
                        <w:lock w:val="sdtLocked"/>
                        <w:richText/>
                      </w:sdtPr>
                      <w:sdtContent>
                        <w:p>
                          <w:pPr>
                            <w:widowControl w:val="0"/>
                            <w:tabs>
                              <w:tab w:val="left" w:pos="1134"/>
                            </w:tabs>
                            <w:ind w:firstLine="720"/>
                            <w:jc w:val="both"/>
                            <w:rPr>
                              <w:sz w:val="22"/>
                              <w:szCs w:val="22"/>
                            </w:rPr>
                          </w:pPr>
                          <w:sdt>
                            <w:sdtPr>
                              <w:alias w:val="Numeris"/>
                              <w:tag w:val="nr_458b8cec2ef7411b9849f4bc349650ad"/>
                              <w:lock w:val="sdtLocked"/>
                              <w:richText/>
                            </w:sdtPr>
                            <w:sdtContent>
                              <w:r>
                                <w:rPr>
                                  <w:sz w:val="22"/>
                                  <w:szCs w:val="22"/>
                                </w:rPr>
                                <w:t>4</w:t>
                              </w:r>
                            </w:sdtContent>
                          </w:sdt>
                          <w:r>
                            <w:rPr>
                              <w:sz w:val="22"/>
                              <w:szCs w:val="22"/>
                            </w:rPr>
                            <w:t>) asmeniui taikoma poveikio priemonė ir informacija apie šio įstatymo 43</w:t>
                          </w:r>
                          <w:r>
                            <w:rPr>
                              <w:sz w:val="22"/>
                              <w:szCs w:val="22"/>
                              <w:vertAlign w:val="superscript"/>
                            </w:rPr>
                            <w:t>3</w:t>
                          </w:r>
                          <w:r>
                            <w:rPr>
                              <w:sz w:val="22"/>
                              <w:szCs w:val="22"/>
                            </w:rPr>
                            <w:t xml:space="preserve"> straipsnio </w:t>
                            <w:br/>
                            <w:t>7–9 dalyse nustatytas aplinkybes, į kurias atsižvelgiama parenkant konkrečią poveikio priemonę ir jos dydį, ir baudos dydžio nustatymą pagal šio straipsnio 8 dalį, jeigu poveikio priemonė taikoma.</w:t>
                          </w:r>
                        </w:p>
                      </w:sdtContent>
                    </w:sdt>
                  </w:sdtContent>
                </w:sdt>
                <w:sdt>
                  <w:sdtPr>
                    <w:alias w:val="43-4 str. 8 d."/>
                    <w:tag w:val="part_8ff8cabb13514ca2a38c0c46450978f2"/>
                    <w:lock w:val="sdtLocked"/>
                    <w:richText/>
                  </w:sdtPr>
                  <w:sdtContent>
                    <w:p>
                      <w:pPr>
                        <w:widowControl w:val="0"/>
                        <w:tabs>
                          <w:tab w:val="left" w:pos="1134"/>
                        </w:tabs>
                        <w:ind w:firstLine="720"/>
                        <w:jc w:val="both"/>
                        <w:rPr>
                          <w:sz w:val="22"/>
                          <w:szCs w:val="22"/>
                        </w:rPr>
                      </w:pPr>
                      <w:sdt>
                        <w:sdtPr>
                          <w:alias w:val="Numeris"/>
                          <w:tag w:val="nr_8ff8cabb13514ca2a38c0c46450978f2"/>
                          <w:lock w:val="sdtLocked"/>
                          <w:richText/>
                        </w:sdtPr>
                        <w:sdtContent>
                          <w:r>
                            <w:rPr>
                              <w:sz w:val="22"/>
                              <w:szCs w:val="22"/>
                            </w:rPr>
                            <w:t>8</w:t>
                          </w:r>
                        </w:sdtContent>
                      </w:sdt>
                      <w:r>
                        <w:rPr>
                          <w:sz w:val="22"/>
                          <w:szCs w:val="22"/>
                        </w:rPr>
                        <w:t>. Jeigu administraciniu susitarimu taikoma poveikio priemonė yra bauda, baudos dydis nustatomas šio įstatymo 43</w:t>
                      </w:r>
                      <w:r>
                        <w:rPr>
                          <w:sz w:val="22"/>
                          <w:szCs w:val="22"/>
                          <w:vertAlign w:val="superscript"/>
                        </w:rPr>
                        <w:t>3</w:t>
                      </w:r>
                      <w:r>
                        <w:rPr>
                          <w:sz w:val="22"/>
                          <w:szCs w:val="22"/>
                        </w:rPr>
                        <w:t xml:space="preserve"> straipsnio 10 dalyje nustatyta tvarka ir mažinamas nuo 20 iki 40 procentų. Dydis, kuriuo mažinama bauda, nustatomas atsižvelgiant į tai, ar </w:t>
                      </w:r>
                      <w:r>
                        <w:rPr>
                          <w:sz w:val="22"/>
                          <w:szCs w:val="22"/>
                          <w:shd w:val="clear" w:color="auto" w:fill="FFFFFF"/>
                        </w:rPr>
                        <w:t xml:space="preserve">asmuo, kuriam ketinama taikyti poveikio priemonę, nutraukė įtariamus </w:t>
                      </w:r>
                      <w:r>
                        <w:rPr>
                          <w:sz w:val="22"/>
                          <w:szCs w:val="22"/>
                        </w:rPr>
                        <w:t xml:space="preserve">pažeidimus arba įsipareigojo nutraukti šiuos pažeidimus per pagrįstą administraciniame susitarime nustatytą laiką, kiek ir kokios reikšmės aplinkybių bei jas patvirtinančių įrodymų, susijusių su šiais pažeidimais, atskleidė, kokių priemonių ir per kokį laiką ėmėsi arba ketina imtis, kad šie pažeidimai nepasikartotų ateityje ir (arba) kad būtų pašalintos kilusios neigiamos pasekmės, taip pat bendradarbiavimo apimtį. </w:t>
                      </w:r>
                    </w:p>
                  </w:sdtContent>
                </w:sdt>
                <w:sdt>
                  <w:sdtPr>
                    <w:alias w:val="43-4 str. 9 d."/>
                    <w:tag w:val="part_69d54c55ddff44da9eda5d9ea0198221"/>
                    <w:lock w:val="sdtLocked"/>
                    <w:richText/>
                  </w:sdtPr>
                  <w:sdtContent>
                    <w:p>
                      <w:pPr>
                        <w:widowControl w:val="0"/>
                        <w:tabs>
                          <w:tab w:val="left" w:pos="1134"/>
                        </w:tabs>
                        <w:ind w:firstLine="720"/>
                        <w:jc w:val="both"/>
                        <w:rPr>
                          <w:sz w:val="22"/>
                          <w:szCs w:val="22"/>
                        </w:rPr>
                      </w:pPr>
                      <w:sdt>
                        <w:sdtPr>
                          <w:alias w:val="Numeris"/>
                          <w:tag w:val="nr_69d54c55ddff44da9eda5d9ea0198221"/>
                          <w:lock w:val="sdtLocked"/>
                          <w:richText/>
                        </w:sdtPr>
                        <w:sdtContent>
                          <w:r>
                            <w:rPr>
                              <w:sz w:val="22"/>
                              <w:szCs w:val="22"/>
                            </w:rPr>
                            <w:t>9</w:t>
                          </w:r>
                        </w:sdtContent>
                      </w:sdt>
                      <w:r>
                        <w:rPr>
                          <w:sz w:val="22"/>
                          <w:szCs w:val="22"/>
                        </w:rPr>
                        <w:t xml:space="preserve">. Administracinis susitarimas gali būti sudarytas per du mėnesius nuo Lietuvos banko sprendimo </w:t>
                      </w:r>
                      <w:r>
                        <w:rPr>
                          <w:sz w:val="22"/>
                          <w:szCs w:val="22"/>
                          <w:lang w:eastAsia="lt-LT"/>
                        </w:rPr>
                        <w:t>pradėti administracinio susitarimo sudarymo procesą</w:t>
                      </w:r>
                      <w:r>
                        <w:rPr>
                          <w:sz w:val="22"/>
                          <w:szCs w:val="22"/>
                        </w:rPr>
                        <w:t>. Šis terminas Lietuvos banko sprendimu gali būti pratęstas, jeigu yra objektyvių aplinkybių. Jeigu per du mėnesius ar pratęstą terminą nesudaromas administracinis susitarimas pagal šio straipsnio 7 dalį arba viena iš šalių raštu atsisako tęsti administracinio susitarimo sudarymo procesą iki šio termino pabaigos, poveikio priemonės taikymo klausimas toliau svarstomas šio įstatymo 43</w:t>
                      </w:r>
                      <w:r>
                        <w:rPr>
                          <w:sz w:val="22"/>
                          <w:szCs w:val="22"/>
                          <w:vertAlign w:val="superscript"/>
                        </w:rPr>
                        <w:t>3</w:t>
                      </w:r>
                      <w:r>
                        <w:rPr>
                          <w:sz w:val="22"/>
                          <w:szCs w:val="22"/>
                        </w:rPr>
                        <w:t xml:space="preserve"> straipsnyje nustatyta tvarka.</w:t>
                      </w:r>
                    </w:p>
                  </w:sdtContent>
                </w:sdt>
                <w:sdt>
                  <w:sdtPr>
                    <w:alias w:val="43-4 str. 10 d."/>
                    <w:tag w:val="part_044577978f4d49bd89ea9c5d842968e5"/>
                    <w:lock w:val="sdtLocked"/>
                    <w:richText/>
                  </w:sdtPr>
                  <w:sdtContent>
                    <w:p>
                      <w:pPr>
                        <w:widowControl w:val="0"/>
                        <w:tabs>
                          <w:tab w:val="left" w:pos="1134"/>
                        </w:tabs>
                        <w:ind w:firstLine="720"/>
                        <w:jc w:val="both"/>
                        <w:rPr>
                          <w:sz w:val="22"/>
                          <w:szCs w:val="22"/>
                        </w:rPr>
                      </w:pPr>
                      <w:sdt>
                        <w:sdtPr>
                          <w:alias w:val="Numeris"/>
                          <w:tag w:val="nr_044577978f4d49bd89ea9c5d842968e5"/>
                          <w:lock w:val="sdtLocked"/>
                          <w:richText/>
                        </w:sdtPr>
                        <w:sdtContent>
                          <w:r>
                            <w:rPr>
                              <w:sz w:val="22"/>
                              <w:szCs w:val="22"/>
                            </w:rPr>
                            <w:t>10</w:t>
                          </w:r>
                        </w:sdtContent>
                      </w:sdt>
                      <w:r>
                        <w:rPr>
                          <w:sz w:val="22"/>
                          <w:szCs w:val="22"/>
                        </w:rPr>
                        <w:t>. Lietuvos banko sprendimas sudaryti administracinį susitarimą priimamas nedalyvaujant asmeniui, kuriam ketinama taikyti poveikio priemonę.</w:t>
                      </w:r>
                    </w:p>
                  </w:sdtContent>
                </w:sdt>
                <w:sdt>
                  <w:sdtPr>
                    <w:alias w:val="43-4 str. 11 d."/>
                    <w:tag w:val="part_6c3a45ed952f47adb6d0e29486403257"/>
                    <w:lock w:val="sdtLocked"/>
                    <w:richText/>
                  </w:sdtPr>
                  <w:sdtContent>
                    <w:p>
                      <w:pPr>
                        <w:widowControl w:val="0"/>
                        <w:tabs>
                          <w:tab w:val="left" w:pos="1134"/>
                        </w:tabs>
                        <w:ind w:firstLine="720"/>
                        <w:jc w:val="both"/>
                        <w:rPr>
                          <w:sz w:val="22"/>
                          <w:szCs w:val="22"/>
                        </w:rPr>
                      </w:pPr>
                      <w:sdt>
                        <w:sdtPr>
                          <w:alias w:val="Numeris"/>
                          <w:tag w:val="nr_6c3a45ed952f47adb6d0e29486403257"/>
                          <w:lock w:val="sdtLocked"/>
                          <w:richText/>
                        </w:sdtPr>
                        <w:sdtContent>
                          <w:r>
                            <w:rPr>
                              <w:sz w:val="22"/>
                              <w:szCs w:val="22"/>
                            </w:rPr>
                            <w:t>11</w:t>
                          </w:r>
                        </w:sdtContent>
                      </w:sdt>
                      <w:r>
                        <w:rPr>
                          <w:sz w:val="22"/>
                          <w:szCs w:val="22"/>
                        </w:rPr>
                        <w:t xml:space="preserve">. Administracinis susitarimas įsigalioja nuo jo pasirašymo dienos, jeigu administraciniame susitarime nenustatyta kitaip. </w:t>
                      </w:r>
                    </w:p>
                  </w:sdtContent>
                </w:sdt>
                <w:sdt>
                  <w:sdtPr>
                    <w:alias w:val="43-4 str. 12 d."/>
                    <w:tag w:val="part_ccbe4bfba8c34a039a95ddac219099df"/>
                    <w:lock w:val="sdtLocked"/>
                    <w:richText/>
                  </w:sdtPr>
                  <w:sdtContent>
                    <w:p>
                      <w:pPr>
                        <w:widowControl w:val="0"/>
                        <w:tabs>
                          <w:tab w:val="left" w:pos="1134"/>
                        </w:tabs>
                        <w:ind w:firstLine="720"/>
                        <w:jc w:val="both"/>
                        <w:rPr>
                          <w:sz w:val="22"/>
                          <w:szCs w:val="22"/>
                        </w:rPr>
                      </w:pPr>
                      <w:sdt>
                        <w:sdtPr>
                          <w:alias w:val="Numeris"/>
                          <w:tag w:val="nr_ccbe4bfba8c34a039a95ddac219099df"/>
                          <w:lock w:val="sdtLocked"/>
                          <w:richText/>
                        </w:sdtPr>
                        <w:sdtContent>
                          <w:r>
                            <w:rPr>
                              <w:sz w:val="22"/>
                              <w:szCs w:val="22"/>
                            </w:rPr>
                            <w:t>12</w:t>
                          </w:r>
                        </w:sdtContent>
                      </w:sdt>
                      <w:r>
                        <w:rPr>
                          <w:sz w:val="22"/>
                          <w:szCs w:val="22"/>
                        </w:rPr>
                        <w:t>. Administraciniam susitarimui įsigaliojus, be šio įstatymo 43</w:t>
                      </w:r>
                      <w:r>
                        <w:rPr>
                          <w:sz w:val="22"/>
                          <w:szCs w:val="22"/>
                          <w:vertAlign w:val="superscript"/>
                        </w:rPr>
                        <w:t>3</w:t>
                      </w:r>
                      <w:r>
                        <w:rPr>
                          <w:sz w:val="22"/>
                          <w:szCs w:val="22"/>
                        </w:rPr>
                        <w:t xml:space="preserve"> straipsnio 15 dalyje nurodytos informacijos, Lietuvos banko interneto svetainėje skelbiama informacija apie administracinio susitarimo sudarymo faktą.</w:t>
                      </w:r>
                    </w:p>
                  </w:sdtContent>
                </w:sdt>
                <w:sdt>
                  <w:sdtPr>
                    <w:alias w:val="43-4 str. 13 d."/>
                    <w:tag w:val="part_27c3e72b3f4846eeb0a94cb78f03fae9"/>
                    <w:lock w:val="sdtLocked"/>
                    <w:richText/>
                  </w:sdtPr>
                  <w:sdtContent>
                    <w:p>
                      <w:pPr>
                        <w:widowControl w:val="0"/>
                        <w:tabs>
                          <w:tab w:val="left" w:pos="1134"/>
                        </w:tabs>
                        <w:ind w:firstLine="720"/>
                        <w:jc w:val="both"/>
                      </w:pPr>
                      <w:sdt>
                        <w:sdtPr>
                          <w:alias w:val="Numeris"/>
                          <w:tag w:val="nr_27c3e72b3f4846eeb0a94cb78f03fae9"/>
                          <w:lock w:val="sdtLocked"/>
                          <w:richText/>
                        </w:sdtPr>
                        <w:sdtContent>
                          <w:r>
                            <w:rPr>
                              <w:sz w:val="22"/>
                              <w:szCs w:val="22"/>
                            </w:rPr>
                            <w:t>13</w:t>
                          </w:r>
                        </w:sdtContent>
                      </w:sdt>
                      <w:r>
                        <w:rPr>
                          <w:sz w:val="22"/>
                          <w:szCs w:val="22"/>
                        </w:rPr>
                        <w:t>. Asmens, kuriam ketinama taikyti poveikio priemonę, prisipažinimas padarius pažeidimus, pateiktas administracinio susitarimo sudarymo proceso metu arba administraciniame susitarime, negali būti naudojamas kaip jo kaltės įrodymas nagrinėjant tuos pačius finansų rinką reglamentuojančių teisės aktų pažeidimus šio įstatymo 43</w:t>
                      </w:r>
                      <w:r>
                        <w:rPr>
                          <w:sz w:val="22"/>
                          <w:szCs w:val="22"/>
                          <w:vertAlign w:val="superscript"/>
                        </w:rPr>
                        <w:t>3</w:t>
                      </w:r>
                      <w:r>
                        <w:rPr>
                          <w:sz w:val="22"/>
                          <w:szCs w:val="22"/>
                        </w:rPr>
                        <w:t xml:space="preserve"> straipsnyje nustatyta tvarka, jeigu administracinis susitarimas nebuvo sudarytas, arba nagrinėjant kitus įtariamus šio asmens padarytus finansų rinką reglamentuojančių teisės aktų pažeidimus.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5 str."/>
                <w:tag w:val="part_6c3ab8d20cd6494cbef53170ac960f81"/>
                <w:lock w:val="sdtLocked"/>
                <w:richText/>
              </w:sdtPr>
              <w:sdtContent>
                <w:p>
                  <w:pPr>
                    <w:ind w:firstLine="720"/>
                    <w:jc w:val="both"/>
                    <w:rPr>
                      <w:b/>
                      <w:sz w:val="22"/>
                      <w:szCs w:val="22"/>
                    </w:rPr>
                  </w:pPr>
                  <w:sdt>
                    <w:sdtPr>
                      <w:alias w:val="Numeris"/>
                      <w:tag w:val="nr_6c3ab8d20cd6494cbef53170ac960f81"/>
                      <w:lock w:val="sdtLocked"/>
                      <w:richText/>
                    </w:sdtPr>
                    <w:sdtContent>
                      <w:r>
                        <w:rPr>
                          <w:b/>
                          <w:bCs/>
                          <w:sz w:val="22"/>
                          <w:szCs w:val="22"/>
                        </w:rPr>
                        <w:t>43</w:t>
                      </w:r>
                      <w:r>
                        <w:rPr>
                          <w:b/>
                          <w:bCs/>
                          <w:sz w:val="22"/>
                          <w:szCs w:val="22"/>
                          <w:vertAlign w:val="superscript"/>
                        </w:rPr>
                        <w:t>5</w:t>
                      </w:r>
                    </w:sdtContent>
                  </w:sdt>
                  <w:r>
                    <w:rPr>
                      <w:b/>
                      <w:bCs/>
                      <w:sz w:val="22"/>
                      <w:szCs w:val="22"/>
                      <w:vertAlign w:val="superscript"/>
                    </w:rPr>
                    <w:t xml:space="preserve"> </w:t>
                  </w:r>
                  <w:r>
                    <w:rPr>
                      <w:b/>
                      <w:sz w:val="22"/>
                      <w:szCs w:val="22"/>
                    </w:rPr>
                    <w:t xml:space="preserve">straipsnis. </w:t>
                  </w:r>
                  <w:sdt>
                    <w:sdtPr>
                      <w:alias w:val="Pavadinimas"/>
                      <w:tag w:val="title_6c3ab8d20cd6494cbef53170ac960f81"/>
                      <w:lock w:val="sdtLocked"/>
                      <w:richText/>
                    </w:sdtPr>
                    <w:sdtContent>
                      <w:r>
                        <w:rPr>
                          <w:b/>
                          <w:sz w:val="22"/>
                          <w:szCs w:val="22"/>
                        </w:rPr>
                        <w:t xml:space="preserve">Lietuvos banko teisė netaikyti poveikio priemonių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b59f6532033a4ad49291a5ddbadd2911"/>
                <w:lock w:val="sdtLocked"/>
                <w:richText/>
              </w:sdtPr>
              <w:sdtContent>
                <w:p>
                  <w:pPr>
                    <w:ind w:firstLine="720"/>
                    <w:jc w:val="both"/>
                    <w:rPr>
                      <w:b/>
                      <w:bCs/>
                      <w:sz w:val="22"/>
                      <w:szCs w:val="22"/>
                    </w:rPr>
                  </w:pPr>
                  <w:sdt>
                    <w:sdtPr>
                      <w:alias w:val="Numeris"/>
                      <w:tag w:val="nr_b59f6532033a4ad49291a5ddbadd2911"/>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b59f6532033a4ad49291a5ddbadd2911"/>
                      <w:lock w:val="sdtLocked"/>
                      <w:richText/>
                    </w:sdtPr>
                    <w:sdtContent>
                      <w:r>
                        <w:rPr>
                          <w:b/>
                          <w:bCs/>
                          <w:sz w:val="22"/>
                          <w:szCs w:val="22"/>
                        </w:rPr>
                        <w:t xml:space="preserve">Lietuvos banko sprendimų, veiksmų (neveikimo) apskundimas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6 str. 1 d."/>
                    <w:tag w:val="part_3b05c7cd41c64289a4c44573a11fc942"/>
                    <w:lock w:val="sdtLocked"/>
                    <w:richText/>
                  </w:sdtPr>
                  <w:sdtContent>
                    <w:p>
                      <w:pPr>
                        <w:widowControl w:val="0"/>
                        <w:ind w:firstLine="720"/>
                        <w:jc w:val="both"/>
                        <w:rPr>
                          <w:rFonts w:eastAsia="Calibri"/>
                          <w:sz w:val="22"/>
                          <w:szCs w:val="22"/>
                        </w:rPr>
                      </w:pPr>
                      <w:sdt>
                        <w:sdtPr>
                          <w:alias w:val="Numeris"/>
                          <w:tag w:val="nr_3b05c7cd41c64289a4c44573a11fc942"/>
                          <w:lock w:val="sdtLocked"/>
                          <w:richText/>
                        </w:sdtPr>
                        <w:sdtContent>
                          <w:r>
                            <w:rPr>
                              <w:sz w:val="22"/>
                              <w:szCs w:val="22"/>
                            </w:rPr>
                            <w:t>1</w:t>
                          </w:r>
                        </w:sdtContent>
                      </w:sdt>
                      <w:r>
                        <w:rPr>
                          <w:sz w:val="22"/>
                          <w:szCs w:val="22"/>
                        </w:rPr>
                        <w:t>. Šiame skirsnyje nurodytus Lietuvos banko sprendimus, veiksmus (neveikimą)</w:t>
                      </w:r>
                      <w:r>
                        <w:rPr>
                          <w:bCs/>
                          <w:sz w:val="22"/>
                          <w:szCs w:val="22"/>
                        </w:rPr>
                        <w:t xml:space="preserve">, </w:t>
                      </w:r>
                      <w:r>
                        <w:rPr>
                          <w:sz w:val="22"/>
                          <w:szCs w:val="22"/>
                        </w:rPr>
                        <w:t>išskyrus šio įstatymo 43</w:t>
                      </w:r>
                      <w:r>
                        <w:rPr>
                          <w:sz w:val="22"/>
                          <w:szCs w:val="22"/>
                          <w:vertAlign w:val="superscript"/>
                        </w:rPr>
                        <w:t>4</w:t>
                      </w:r>
                      <w:r>
                        <w:rPr>
                          <w:sz w:val="22"/>
                          <w:szCs w:val="22"/>
                        </w:rPr>
                        <w:t xml:space="preserve"> straipsnyje nurodytą </w:t>
                      </w:r>
                      <w:r>
                        <w:rPr>
                          <w:sz w:val="22"/>
                          <w:szCs w:val="22"/>
                          <w:lang w:eastAsia="lt-LT"/>
                        </w:rPr>
                        <w:t>Lietuvos banko sprendimą atsisakyti pradėti administracinio susitarimo sudarymo procesą ar sudaryti administracinį susitarimą, taip pat</w:t>
                      </w:r>
                      <w:r>
                        <w:rPr>
                          <w:sz w:val="22"/>
                          <w:szCs w:val="22"/>
                        </w:rPr>
                        <w:t xml:space="preserve"> sudarytą administracinį susitarimą asmenys, kurių teisės arba pagal įstatymus saugomi interesai pažeisti, turi teisę skųsti teismui Lietuvos Respublikos </w:t>
                      </w:r>
                      <w:r>
                        <w:rPr>
                          <w:sz w:val="22"/>
                          <w:szCs w:val="22"/>
                          <w:shd w:val="clear" w:color="auto" w:fill="FFFFFF"/>
                        </w:rPr>
                        <w:t>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3-6 str. 2 d."/>
                    <w:tag w:val="part_989d381455d241d89a5fe4cb7e94175c"/>
                    <w:lock w:val="sdtLocked"/>
                    <w:richText/>
                  </w:sdtPr>
                  <w:sdtContent>
                    <w:p>
                      <w:pPr>
                        <w:tabs>
                          <w:tab w:val="left" w:pos="993"/>
                        </w:tabs>
                        <w:ind w:firstLine="720"/>
                        <w:jc w:val="both"/>
                      </w:pPr>
                      <w:sdt>
                        <w:sdtPr>
                          <w:alias w:val="Numeris"/>
                          <w:tag w:val="nr_989d381455d241d89a5fe4cb7e94175c"/>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dcb1c74d16b497e902989a7b9e73673"/>
                <w:lock w:val="sdtLocked"/>
                <w:richText/>
              </w:sdtPr>
              <w:sdtContent>
                <w:p>
                  <w:pPr>
                    <w:ind w:firstLine="720"/>
                    <w:jc w:val="both"/>
                    <w:rPr>
                      <w:b/>
                      <w:bCs/>
                      <w:sz w:val="22"/>
                      <w:szCs w:val="22"/>
                    </w:rPr>
                  </w:pPr>
                  <w:sdt>
                    <w:sdtPr>
                      <w:alias w:val="Numeris"/>
                      <w:tag w:val="nr_1dcb1c74d16b497e902989a7b9e73673"/>
                      <w:lock w:val="sdtLocked"/>
                      <w:richText/>
                    </w:sdtPr>
                    <w:sdtContent>
                      <w:r>
                        <w:rPr>
                          <w:b/>
                          <w:bCs/>
                          <w:sz w:val="22"/>
                          <w:szCs w:val="22"/>
                        </w:rPr>
                        <w:t>43</w:t>
                      </w:r>
                      <w:r>
                        <w:rPr>
                          <w:b/>
                          <w:bCs/>
                          <w:sz w:val="22"/>
                          <w:szCs w:val="22"/>
                          <w:vertAlign w:val="superscript"/>
                        </w:rPr>
                        <w:t>7</w:t>
                      </w:r>
                    </w:sdtContent>
                  </w:sdt>
                  <w:r>
                    <w:rPr>
                      <w:b/>
                      <w:bCs/>
                      <w:sz w:val="22"/>
                      <w:szCs w:val="22"/>
                    </w:rPr>
                    <w:t xml:space="preserve"> straipsnis. </w:t>
                  </w:r>
                  <w:sdt>
                    <w:sdtPr>
                      <w:alias w:val="Pavadinimas"/>
                      <w:tag w:val="title_1dcb1c74d16b497e902989a7b9e73673"/>
                      <w:lock w:val="sdtLocked"/>
                      <w:richText/>
                    </w:sdtPr>
                    <w:sdtContent>
                      <w:r>
                        <w:rPr>
                          <w:b/>
                          <w:bCs/>
                          <w:sz w:val="22"/>
                          <w:szCs w:val="22"/>
                        </w:rPr>
                        <w:t>Piniginių baudų išieškojimas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6d70ce5bd5ae4442930fa691e4d08a4a"/>
                    <w:lock w:val="sdtLocked"/>
                    <w:richText/>
                  </w:sdtPr>
                  <w:sdtContent>
                    <w:p>
                      <w:pPr>
                        <w:ind w:firstLine="720"/>
                        <w:jc w:val="both"/>
                        <w:rPr>
                          <w:rFonts w:eastAsia="Calibri"/>
                          <w:sz w:val="22"/>
                          <w:szCs w:val="22"/>
                        </w:rPr>
                      </w:pPr>
                      <w:sdt>
                        <w:sdtPr>
                          <w:alias w:val="Numeris"/>
                          <w:tag w:val="nr_6d70ce5bd5ae4442930fa691e4d08a4a"/>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7 str. 2 d."/>
                    <w:tag w:val="part_8f60b54fe79f4103bda69623db0b2460"/>
                    <w:lock w:val="sdtLocked"/>
                    <w:richText/>
                  </w:sdtPr>
                  <w:sdtContent>
                    <w:p>
                      <w:pPr>
                        <w:ind w:firstLine="720"/>
                        <w:jc w:val="both"/>
                        <w:rPr>
                          <w:rFonts w:eastAsia="Calibri"/>
                          <w:sz w:val="22"/>
                          <w:szCs w:val="22"/>
                        </w:rPr>
                      </w:pPr>
                      <w:sdt>
                        <w:sdtPr>
                          <w:alias w:val="Numeris"/>
                          <w:tag w:val="nr_8f60b54fe79f4103bda69623db0b2460"/>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7 str. 3 d."/>
                    <w:tag w:val="part_6c3e3f8a866d4fbd868b88e80fa3c72a"/>
                    <w:lock w:val="sdtLocked"/>
                    <w:richText/>
                  </w:sdtPr>
                  <w:sdtContent>
                    <w:p>
                      <w:pPr>
                        <w:widowControl w:val="0"/>
                        <w:ind w:firstLine="720"/>
                        <w:jc w:val="both"/>
                      </w:pPr>
                      <w:sdt>
                        <w:sdtPr>
                          <w:alias w:val="Numeris"/>
                          <w:tag w:val="nr_6c3e3f8a866d4fbd868b88e80fa3c72a"/>
                          <w:lock w:val="sdtLocked"/>
                          <w:richText/>
                        </w:sdtPr>
                        <w:sdtContent>
                          <w:r>
                            <w:rPr>
                              <w:sz w:val="22"/>
                              <w:szCs w:val="22"/>
                            </w:rPr>
                            <w:t>3</w:t>
                          </w:r>
                        </w:sdtContent>
                      </w:sdt>
                      <w:r>
                        <w:rPr>
                          <w:sz w:val="22"/>
                          <w:szCs w:val="22"/>
                        </w:rPr>
                        <w:t>. Lietuvos banko sprendimas dėl baudos skyrimo ir (arba) kitų išieškotinų sumų</w:t>
                      </w:r>
                      <w:r>
                        <w:rPr>
                          <w:bCs/>
                          <w:sz w:val="22"/>
                          <w:szCs w:val="22"/>
                        </w:rPr>
                        <w:t xml:space="preserve"> </w:t>
                      </w:r>
                      <w:r>
                        <w:rPr>
                          <w:sz w:val="22"/>
                          <w:szCs w:val="22"/>
                        </w:rPr>
                        <w:t xml:space="preserve">yra vykdomasis dokumentas, vykdomas Lietuvos Respublikos </w:t>
                      </w:r>
                      <w:r>
                        <w:rPr>
                          <w:sz w:val="22"/>
                          <w:szCs w:val="22"/>
                          <w:shd w:val="clear" w:color="auto" w:fill="FFFFFF"/>
                        </w:rPr>
                        <w:t>civilinio proceso kodekso nustatyta tvarka. Lietuvos banko sprendimas gali būti pateikiamas vykdyti ne vėliau kaip per 3 metus nuo jo priėmimo dienos ar, jeigu Lietuvos banko sprendimas buvo apskųstas, teismo sprendimo įsiteisėjimo dienos. Kai baudos sumokėjimas buvo išdėstytas šio straipsnio 2 dalyje nustatyta tvarka, Lietuvos banko sprendimas gali būti pateikiamas vykdyti per 3 metus nuo išdėstymo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8 str."/>
                <w:tag w:val="part_0ae7323ba9644127af3d4caccc979c28"/>
                <w:lock w:val="sdtLocked"/>
                <w:richText/>
              </w:sdtPr>
              <w:sdtContent>
                <w:p>
                  <w:pPr>
                    <w:tabs>
                      <w:tab w:val="left" w:pos="993"/>
                    </w:tabs>
                    <w:ind w:firstLine="720"/>
                    <w:jc w:val="both"/>
                    <w:rPr>
                      <w:b/>
                      <w:bCs/>
                      <w:sz w:val="22"/>
                      <w:szCs w:val="22"/>
                    </w:rPr>
                  </w:pPr>
                  <w:sdt>
                    <w:sdtPr>
                      <w:alias w:val="Numeris"/>
                      <w:tag w:val="nr_0ae7323ba9644127af3d4caccc979c28"/>
                      <w:lock w:val="sdtLocked"/>
                      <w:richText/>
                    </w:sdtPr>
                    <w:sdtContent>
                      <w:r>
                        <w:rPr>
                          <w:b/>
                          <w:bCs/>
                          <w:sz w:val="22"/>
                          <w:szCs w:val="22"/>
                        </w:rPr>
                        <w:t>43</w:t>
                      </w:r>
                      <w:r>
                        <w:rPr>
                          <w:b/>
                          <w:bCs/>
                          <w:sz w:val="22"/>
                          <w:szCs w:val="22"/>
                          <w:vertAlign w:val="superscript"/>
                        </w:rPr>
                        <w:t>8</w:t>
                      </w:r>
                    </w:sdtContent>
                  </w:sdt>
                  <w:r>
                    <w:rPr>
                      <w:b/>
                      <w:bCs/>
                      <w:sz w:val="22"/>
                      <w:szCs w:val="22"/>
                    </w:rPr>
                    <w:t xml:space="preserve"> straipsnis.</w:t>
                  </w:r>
                  <w:r>
                    <w:rPr>
                      <w:b/>
                      <w:bCs/>
                      <w:sz w:val="22"/>
                      <w:szCs w:val="22"/>
                      <w:vertAlign w:val="superscript"/>
                    </w:rPr>
                    <w:t xml:space="preserve"> </w:t>
                  </w:r>
                  <w:sdt>
                    <w:sdtPr>
                      <w:alias w:val="Pavadinimas"/>
                      <w:tag w:val="title_0ae7323ba9644127af3d4caccc979c28"/>
                      <w:lock w:val="sdtLocked"/>
                      <w:richText/>
                    </w:sdtPr>
                    <w:sdtContent>
                      <w:r>
                        <w:rPr>
                          <w:b/>
                          <w:bCs/>
                          <w:sz w:val="22"/>
                          <w:szCs w:val="22"/>
                        </w:rPr>
                        <w:t>Pranešimas apie pažeidimus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
                  <w:sdtPr>
                    <w:alias w:val="43-7 str. 1 d."/>
                    <w:tag w:val="part_5c6093262db34612abd8a09e6702d93d"/>
                    <w:lock w:val="sdtLocked"/>
                    <w:richText/>
                  </w:sdtPr>
                  <w:sdtContent>
                    <w:p>
                      <w:pPr>
                        <w:tabs>
                          <w:tab w:val="left" w:pos="993"/>
                        </w:tabs>
                        <w:ind w:firstLine="720"/>
                        <w:jc w:val="both"/>
                        <w:rPr>
                          <w:bCs/>
                          <w:sz w:val="22"/>
                          <w:szCs w:val="22"/>
                        </w:rPr>
                      </w:pPr>
                      <w:r>
                        <w:rPr>
                          <w:sz w:val="22"/>
                          <w:szCs w:val="22"/>
                          <w:lang w:eastAsia="lt-LT"/>
                        </w:rPr>
                        <w:t xml:space="preserve">Lietuvos Respublikos pranešėjų apsaugos įstatymas ir Lietuvos bankas nustato priemones, kurios skatintų pranešti apie finansų rinką reglamentuojančių teisės aktų, įskaitant Reglamentą </w:t>
                      </w:r>
                      <w:hyperlink r:id="rId169" w:tgtFrame="_blank" w:history="1">
                        <w:r>
                          <w:rPr>
                            <w:color w:val="0000FF" w:themeColor="hyperlink"/>
                            <w:sz w:val="22"/>
                            <w:szCs w:val="22"/>
                            <w:u w:val="single"/>
                            <w:lang w:eastAsia="lt-LT"/>
                          </w:rPr>
                          <w:t>(ES) Nr. 575/2013</w:t>
                        </w:r>
                      </w:hyperlink>
                      <w:r>
                        <w:rPr>
                          <w:sz w:val="22"/>
                          <w:szCs w:val="22"/>
                          <w:lang w:eastAsia="lt-LT"/>
                        </w:rPr>
                        <w:t xml:space="preserve">, Reglamentą </w:t>
                      </w:r>
                      <w:hyperlink r:id="rId170" w:tgtFrame="_blank" w:history="1">
                        <w:r>
                          <w:rPr>
                            <w:color w:val="0000FF" w:themeColor="hyperlink"/>
                            <w:sz w:val="22"/>
                            <w:szCs w:val="22"/>
                            <w:u w:val="single"/>
                            <w:lang w:eastAsia="lt-LT"/>
                          </w:rPr>
                          <w:t>(ES) Nr. 600/2014</w:t>
                        </w:r>
                      </w:hyperlink>
                      <w:r>
                        <w:rPr>
                          <w:sz w:val="22"/>
                          <w:szCs w:val="22"/>
                          <w:lang w:eastAsia="lt-LT"/>
                        </w:rPr>
                        <w:t xml:space="preserve">, Reglamentą </w:t>
                      </w:r>
                      <w:hyperlink r:id="rId171" w:tgtFrame="_blank" w:history="1">
                        <w:r>
                          <w:rPr>
                            <w:color w:val="0000FF" w:themeColor="hyperlink"/>
                            <w:sz w:val="22"/>
                            <w:szCs w:val="22"/>
                            <w:u w:val="single"/>
                            <w:lang w:eastAsia="lt-LT"/>
                          </w:rPr>
                          <w:t>(ES) Nr. 909/2014</w:t>
                        </w:r>
                      </w:hyperlink>
                      <w:r>
                        <w:rPr>
                          <w:sz w:val="22"/>
                          <w:szCs w:val="22"/>
                          <w:lang w:eastAsia="lt-LT"/>
                        </w:rPr>
                        <w:t xml:space="preserve">, Reglamentą </w:t>
                      </w:r>
                      <w:hyperlink r:id="rId172" w:tgtFrame="_blank" w:history="1">
                        <w:r>
                          <w:rPr>
                            <w:color w:val="0000FF" w:themeColor="hyperlink"/>
                            <w:sz w:val="22"/>
                            <w:szCs w:val="22"/>
                            <w:u w:val="single"/>
                            <w:lang w:eastAsia="lt-LT"/>
                          </w:rPr>
                          <w:t>(ES) Nr. 596/2014</w:t>
                        </w:r>
                      </w:hyperlink>
                      <w:r>
                        <w:rPr>
                          <w:sz w:val="22"/>
                          <w:szCs w:val="22"/>
                          <w:lang w:eastAsia="lt-LT"/>
                        </w:rPr>
                        <w:t xml:space="preserve">, Reglamentą </w:t>
                      </w:r>
                      <w:hyperlink r:id="rId173" w:tgtFrame="_blank" w:history="1">
                        <w:r>
                          <w:rPr>
                            <w:color w:val="0000FF" w:themeColor="hyperlink"/>
                            <w:sz w:val="22"/>
                            <w:szCs w:val="22"/>
                            <w:u w:val="single"/>
                            <w:lang w:eastAsia="lt-LT"/>
                          </w:rPr>
                          <w:t>(ES) Nr. 1286/2014</w:t>
                        </w:r>
                      </w:hyperlink>
                      <w:r>
                        <w:rPr>
                          <w:sz w:val="22"/>
                          <w:szCs w:val="22"/>
                          <w:lang w:eastAsia="lt-LT"/>
                        </w:rPr>
                        <w:t xml:space="preserve">, Reglamentą </w:t>
                      </w:r>
                      <w:hyperlink r:id="rId174" w:tgtFrame="_blank" w:history="1">
                        <w:r>
                          <w:rPr>
                            <w:color w:val="0000FF" w:themeColor="hyperlink"/>
                            <w:sz w:val="22"/>
                            <w:szCs w:val="22"/>
                            <w:u w:val="single"/>
                            <w:lang w:eastAsia="lt-LT"/>
                          </w:rPr>
                          <w:t>(ES) 2017/1129</w:t>
                        </w:r>
                      </w:hyperlink>
                      <w:r>
                        <w:rPr>
                          <w:sz w:val="22"/>
                          <w:szCs w:val="22"/>
                          <w:lang w:eastAsia="lt-LT"/>
                        </w:rPr>
                        <w:t xml:space="preserve">, 2019 m. lapkričio 27 d. Europos Parlamento ir Tarybos reglamentą </w:t>
                      </w:r>
                      <w:hyperlink r:id="rId175" w:tgtFrame="_blank" w:history="1">
                        <w:r>
                          <w:rPr>
                            <w:color w:val="0000FF" w:themeColor="hyperlink"/>
                            <w:sz w:val="22"/>
                            <w:szCs w:val="22"/>
                            <w:u w:val="single"/>
                            <w:lang w:eastAsia="lt-LT"/>
                          </w:rPr>
                          <w:t>(ES) 2019/2033</w:t>
                        </w:r>
                      </w:hyperlink>
                      <w:r>
                        <w:rPr>
                          <w:sz w:val="22"/>
                          <w:szCs w:val="22"/>
                          <w:lang w:eastAsia="lt-LT"/>
                        </w:rPr>
                        <w:t xml:space="preserve"> dėl riziką ribojančių reikalavimų investicinėms įmonėms, kuriuo iš dalies keičiami reglamentai </w:t>
                      </w:r>
                      <w:hyperlink r:id="rId176" w:tgtFrame="_blank" w:history="1">
                        <w:r>
                          <w:rPr>
                            <w:color w:val="0000FF" w:themeColor="hyperlink"/>
                            <w:sz w:val="22"/>
                            <w:szCs w:val="22"/>
                            <w:u w:val="single"/>
                            <w:lang w:eastAsia="lt-LT"/>
                          </w:rPr>
                          <w:t>(ES) Nr. 1093/2010</w:t>
                        </w:r>
                      </w:hyperlink>
                      <w:r>
                        <w:rPr>
                          <w:sz w:val="22"/>
                          <w:szCs w:val="22"/>
                          <w:lang w:eastAsia="lt-LT"/>
                        </w:rPr>
                        <w:t xml:space="preserve">, </w:t>
                      </w:r>
                      <w:hyperlink r:id="rId177" w:tgtFrame="_blank" w:history="1">
                        <w:r>
                          <w:rPr>
                            <w:color w:val="0000FF" w:themeColor="hyperlink"/>
                            <w:sz w:val="22"/>
                            <w:szCs w:val="22"/>
                            <w:u w:val="single"/>
                            <w:lang w:eastAsia="lt-LT"/>
                          </w:rPr>
                          <w:t>(ES) Nr. 575/2013</w:t>
                        </w:r>
                      </w:hyperlink>
                      <w:r>
                        <w:rPr>
                          <w:sz w:val="22"/>
                          <w:szCs w:val="22"/>
                          <w:lang w:eastAsia="lt-LT"/>
                        </w:rPr>
                        <w:t xml:space="preserve">, </w:t>
                      </w:r>
                      <w:hyperlink r:id="rId178" w:tgtFrame="_blank" w:history="1">
                        <w:r>
                          <w:rPr>
                            <w:color w:val="0000FF" w:themeColor="hyperlink"/>
                            <w:sz w:val="22"/>
                            <w:szCs w:val="22"/>
                            <w:u w:val="single"/>
                            <w:lang w:eastAsia="lt-LT"/>
                          </w:rPr>
                          <w:t>(ES) Nr. 600/2014</w:t>
                        </w:r>
                      </w:hyperlink>
                      <w:r>
                        <w:rPr>
                          <w:sz w:val="22"/>
                          <w:szCs w:val="22"/>
                          <w:lang w:eastAsia="lt-LT"/>
                        </w:rPr>
                        <w:t xml:space="preserve"> ir </w:t>
                      </w:r>
                      <w:hyperlink r:id="rId179" w:tgtFrame="_blank" w:history="1">
                        <w:r>
                          <w:rPr>
                            <w:color w:val="0000FF" w:themeColor="hyperlink"/>
                            <w:sz w:val="22"/>
                            <w:szCs w:val="22"/>
                            <w:u w:val="single"/>
                            <w:lang w:eastAsia="lt-LT"/>
                          </w:rPr>
                          <w:t>(ES) Nr. 806/2014</w:t>
                        </w:r>
                      </w:hyperlink>
                      <w:r>
                        <w:rPr>
                          <w:sz w:val="22"/>
                          <w:szCs w:val="22"/>
                          <w:lang w:eastAsia="lt-LT"/>
                        </w:rPr>
                        <w:t>,</w:t>
                      </w:r>
                      <w:r>
                        <w:rPr>
                          <w:bCs/>
                          <w:kern w:val="2"/>
                          <w:sz w:val="22"/>
                          <w:szCs w:val="22"/>
                        </w:rPr>
                        <w:t xml:space="preserve"> Reglamentą </w:t>
                      </w:r>
                      <w:hyperlink r:id="rId180" w:tgtFrame="_blank" w:history="1">
                        <w:r>
                          <w:rPr>
                            <w:bCs/>
                            <w:color w:val="0000FF" w:themeColor="hyperlink"/>
                            <w:kern w:val="2"/>
                            <w:sz w:val="22"/>
                            <w:szCs w:val="22"/>
                            <w:u w:val="single"/>
                          </w:rPr>
                          <w:t>(ES) </w:t>
                        </w:r>
                        <w:r>
                          <w:rPr>
                            <w:bCs/>
                            <w:color w:val="0000FF" w:themeColor="hyperlink"/>
                            <w:kern w:val="2"/>
                            <w:sz w:val="22"/>
                            <w:szCs w:val="22"/>
                            <w:u w:val="single"/>
                            <w:lang w:eastAsia="lt-LT"/>
                          </w:rPr>
                          <w:t>2023/1114</w:t>
                        </w:r>
                      </w:hyperlink>
                      <w:r>
                        <w:rPr>
                          <w:sz w:val="22"/>
                          <w:szCs w:val="22"/>
                          <w:lang w:eastAsia="lt-LT"/>
                        </w:rPr>
                        <w:t xml:space="preserve"> ar jų įgyvendinamuosius teisės aktus, nuostatų pažeidimą. Šios priemonės turi atitikti šiuos reikalavimus:</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sdt>
                      <w:sdtPr>
                        <w:alias w:val="43-7 str. 1 d. 1 p."/>
                        <w:tag w:val="part_ad46b38553844d07ad4fff4624e5e0e3"/>
                        <w:lock w:val="sdtLocked"/>
                        <w:richText/>
                      </w:sdtPr>
                      <w:sdtContent>
                        <w:p>
                          <w:pPr>
                            <w:tabs>
                              <w:tab w:val="left" w:pos="993"/>
                            </w:tabs>
                            <w:ind w:firstLine="720"/>
                            <w:jc w:val="both"/>
                            <w:rPr>
                              <w:bCs/>
                              <w:sz w:val="22"/>
                              <w:szCs w:val="22"/>
                            </w:rPr>
                          </w:pPr>
                          <w:sdt>
                            <w:sdtPr>
                              <w:alias w:val="Numeris"/>
                              <w:tag w:val="nr_ad46b38553844d07ad4fff4624e5e0e3"/>
                              <w:lock w:val="sdtLocked"/>
                              <w:richText/>
                            </w:sdtPr>
                            <w:sdtContent>
                              <w:r>
                                <w:rPr>
                                  <w:bCs/>
                                  <w:sz w:val="22"/>
                                  <w:szCs w:val="22"/>
                                </w:rPr>
                                <w:t>1</w:t>
                              </w:r>
                            </w:sdtContent>
                          </w:sdt>
                          <w:r>
                            <w:rPr>
                              <w:bCs/>
                              <w:sz w:val="22"/>
                              <w:szCs w:val="22"/>
                            </w:rPr>
                            <w:t xml:space="preserve">) numatytos specialios pranešimo apie minėtus pažeidimus gavimo ir vertinimo procedūros; </w:t>
                          </w:r>
                        </w:p>
                      </w:sdtContent>
                    </w:sdt>
                    <w:sdt>
                      <w:sdtPr>
                        <w:alias w:val="43-7 str. 1 d. 2 p."/>
                        <w:tag w:val="part_e426385f302343f68f3a43d523f2db9e"/>
                        <w:lock w:val="sdtLocked"/>
                        <w:richText/>
                      </w:sdtPr>
                      <w:sdtContent>
                        <w:p>
                          <w:pPr>
                            <w:tabs>
                              <w:tab w:val="left" w:pos="993"/>
                            </w:tabs>
                            <w:ind w:firstLine="720"/>
                            <w:jc w:val="both"/>
                            <w:rPr>
                              <w:bCs/>
                              <w:sz w:val="22"/>
                              <w:szCs w:val="22"/>
                            </w:rPr>
                          </w:pPr>
                          <w:sdt>
                            <w:sdtPr>
                              <w:alias w:val="Numeris"/>
                              <w:tag w:val="nr_e426385f302343f68f3a43d523f2db9e"/>
                              <w:lock w:val="sdtLocked"/>
                              <w:richText/>
                            </w:sdtPr>
                            <w:sdtContent>
                              <w:r>
                                <w:rPr>
                                  <w:bCs/>
                                  <w:sz w:val="22"/>
                                  <w:szCs w:val="22"/>
                                </w:rPr>
                                <w:t>2</w:t>
                              </w:r>
                            </w:sdtContent>
                          </w:sdt>
                          <w:r>
                            <w:rPr>
                              <w:bCs/>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c3d1c8f894804101a3fc5a6cf18405a3"/>
                        <w:lock w:val="sdtLocked"/>
                        <w:richText/>
                      </w:sdtPr>
                      <w:sdtContent>
                        <w:p>
                          <w:pPr>
                            <w:tabs>
                              <w:tab w:val="left" w:pos="993"/>
                            </w:tabs>
                            <w:ind w:firstLine="720"/>
                            <w:jc w:val="both"/>
                            <w:rPr>
                              <w:bCs/>
                              <w:sz w:val="22"/>
                              <w:szCs w:val="22"/>
                            </w:rPr>
                          </w:pPr>
                          <w:sdt>
                            <w:sdtPr>
                              <w:alias w:val="Numeris"/>
                              <w:tag w:val="nr_c3d1c8f894804101a3fc5a6cf18405a3"/>
                              <w:lock w:val="sdtLocked"/>
                              <w:richText/>
                            </w:sdtPr>
                            <w:sdtContent>
                              <w:r>
                                <w:rPr>
                                  <w:bCs/>
                                  <w:sz w:val="22"/>
                                  <w:szCs w:val="22"/>
                                </w:rPr>
                                <w:t>3</w:t>
                              </w:r>
                            </w:sdtContent>
                          </w:sdt>
                          <w:r>
                            <w:rPr>
                              <w:bCs/>
                              <w:sz w:val="22"/>
                              <w:szCs w:val="22"/>
                            </w:rPr>
                            <w:t>) asmens duomenys tvarkomi asmens duomenų apsaugą reglamentuojančių teisės aktų nustatyta tvarka;</w:t>
                          </w:r>
                        </w:p>
                      </w:sdtContent>
                    </w:sdt>
                    <w:sdt>
                      <w:sdtPr>
                        <w:alias w:val="43-7 str. 1 d. 4 p."/>
                        <w:tag w:val="part_e2c0095ee71e432d8e68d437c200f9e8"/>
                        <w:lock w:val="sdtLocked"/>
                        <w:richText/>
                      </w:sdtPr>
                      <w:sdtContent>
                        <w:p>
                          <w:pPr>
                            <w:tabs>
                              <w:tab w:val="left" w:pos="993"/>
                            </w:tabs>
                            <w:ind w:firstLine="720"/>
                            <w:jc w:val="both"/>
                            <w:rPr>
                              <w:i/>
                              <w:sz w:val="20"/>
                            </w:rPr>
                          </w:pPr>
                          <w:sdt>
                            <w:sdtPr>
                              <w:alias w:val="Numeris"/>
                              <w:tag w:val="nr_e2c0095ee71e432d8e68d437c200f9e8"/>
                              <w:lock w:val="sdtLocked"/>
                              <w:richText/>
                            </w:sdtPr>
                            <w:sdtContent>
                              <w:r>
                                <w:rPr>
                                  <w:bCs/>
                                  <w:sz w:val="22"/>
                                  <w:szCs w:val="22"/>
                                </w:rPr>
                                <w:t>4</w:t>
                              </w:r>
                            </w:sdtContent>
                          </w:sdt>
                          <w:r>
                            <w:rPr>
                              <w:bCs/>
                              <w:sz w:val="22"/>
                              <w:szCs w:val="22"/>
                            </w:rPr>
                            <w:t>) užtikrinama tinkama finansų rinkos dalyvio darbuotojų, kurie praneša apie pažeidimus, apsauga nuo keršto, diskriminacijos ar kito neteisėto ar nesąžiningo elgesio.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325d30aa2411e9964cdd77475976b0">
                    <w:r w:rsidRPr="00532B9F">
                      <w:rPr>
                        <w:rFonts w:ascii="Times New Roman" w:eastAsia="MS Mincho" w:hAnsi="Times New Roman"/>
                        <w:sz w:val="20"/>
                        <w:i/>
                        <w:iCs/>
                        <w:color w:val="0000FF" w:themeColor="hyperlink"/>
                        <w:u w:val="single"/>
                      </w:rPr>
                      <w:t>XIII-2364</w:t>
                    </w:r>
                  </w:fldSimple>
                  <w:r>
                    <w:rPr>
                      <w:rFonts w:ascii="Times New Roman" w:eastAsia="MS Mincho" w:hAnsi="Times New Roman"/>
                      <w:sz w:val="20"/>
                      <w:i/>
                      <w:iCs/>
                    </w:rPr>
                    <w:t>,
2019-07-16,
paskelbta TAR 2019-07-19, i. k. 2019-11986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1"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2"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3"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4"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5"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6"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7"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99"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0"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5548a4518e714c25bbc4a3495c1d8101"/>
                <w:lock w:val="sdtLocked"/>
                <w:richText/>
              </w:sdtPr>
              <w:sdtContent>
                <w:p>
                  <w:pPr>
                    <w:ind w:left="2268" w:hanging="1548"/>
                    <w:jc w:val="both"/>
                    <w:rPr>
                      <w:kern w:val="2"/>
                      <w:sz w:val="22"/>
                      <w:szCs w:val="22"/>
                    </w:rPr>
                  </w:pPr>
                  <w:sdt>
                    <w:sdtPr>
                      <w:alias w:val="Numeris"/>
                      <w:tag w:val="nr_5548a4518e714c25bbc4a3495c1d8101"/>
                      <w:lock w:val="sdtLocked"/>
                      <w:richText/>
                    </w:sdtPr>
                    <w:sdtContent>
                      <w:r>
                        <w:rPr>
                          <w:b/>
                          <w:kern w:val="2"/>
                          <w:sz w:val="22"/>
                          <w:szCs w:val="22"/>
                          <w:lang w:eastAsia="lt-LT"/>
                        </w:rPr>
                        <w:t>47</w:t>
                      </w:r>
                    </w:sdtContent>
                  </w:sdt>
                  <w:r>
                    <w:rPr>
                      <w:b/>
                      <w:kern w:val="2"/>
                      <w:sz w:val="22"/>
                      <w:szCs w:val="22"/>
                      <w:lang w:eastAsia="lt-LT"/>
                    </w:rPr>
                    <w:t xml:space="preserve"> straipsnis.</w:t>
                  </w:r>
                  <w:r>
                    <w:rPr>
                      <w:b/>
                      <w:bCs/>
                      <w:kern w:val="2"/>
                      <w:sz w:val="22"/>
                      <w:szCs w:val="22"/>
                    </w:rPr>
                    <w:t xml:space="preserve"> </w:t>
                  </w:r>
                  <w:sdt>
                    <w:sdtPr>
                      <w:alias w:val="Pavadinimas"/>
                      <w:tag w:val="title_5548a4518e714c25bbc4a3495c1d8101"/>
                      <w:lock w:val="sdtLocked"/>
                      <w:richText/>
                    </w:sdtPr>
                    <w:sdtContent>
                      <w:r>
                        <w:rPr>
                          <w:b/>
                          <w:kern w:val="2"/>
                          <w:sz w:val="22"/>
                          <w:szCs w:val="22"/>
                        </w:rPr>
                        <w:t>Vartotojų ir finansų rinkos dalyvių ginčų nagrinėjimas ne teismo tvarka</w:t>
                      </w:r>
                    </w:sdtContent>
                  </w:sdt>
                </w:p>
                <w:sdt>
                  <w:sdtPr>
                    <w:alias w:val="47 str. 1 d."/>
                    <w:tag w:val="part_1976f3ae0dd74aa898aa4ffd6f36aa32"/>
                    <w:lock w:val="sdtLocked"/>
                    <w:richText/>
                  </w:sdtPr>
                  <w:sdtContent>
                    <w:p>
                      <w:pPr>
                        <w:ind w:firstLine="720"/>
                        <w:jc w:val="both"/>
                        <w:rPr>
                          <w:bCs/>
                          <w:kern w:val="2"/>
                          <w:sz w:val="22"/>
                          <w:szCs w:val="22"/>
                          <w:lang w:eastAsia="lt-LT"/>
                        </w:rPr>
                      </w:pPr>
                      <w:sdt>
                        <w:sdtPr>
                          <w:alias w:val="Numeris"/>
                          <w:tag w:val="nr_1976f3ae0dd74aa898aa4ffd6f36aa32"/>
                          <w:lock w:val="sdtLocked"/>
                          <w:richText/>
                        </w:sdtPr>
                        <w:sdtContent>
                          <w:r>
                            <w:rPr>
                              <w:bCs/>
                              <w:kern w:val="2"/>
                              <w:sz w:val="22"/>
                              <w:szCs w:val="22"/>
                              <w:lang w:eastAsia="lt-LT"/>
                            </w:rPr>
                            <w:t>1</w:t>
                          </w:r>
                        </w:sdtContent>
                      </w:sdt>
                      <w:r>
                        <w:rPr>
                          <w:bCs/>
                          <w:kern w:val="2"/>
                          <w:sz w:val="22"/>
                          <w:szCs w:val="22"/>
                          <w:lang w:eastAsia="lt-LT"/>
                        </w:rPr>
                        <w:t>. Lietuvos bankas nagrinėja šio straipsnio 5 dalyje nurodytų vartotojų (toliau – vartotojai) ginčus su šiais subjektais:</w:t>
                      </w:r>
                    </w:p>
                    <w:sdt>
                      <w:sdtPr>
                        <w:alias w:val="47 str. 1 d. 1 p."/>
                        <w:tag w:val="part_b4e64a325a35429db2b79fc04a4df7ef"/>
                        <w:lock w:val="sdtLocked"/>
                        <w:richText/>
                      </w:sdtPr>
                      <w:sdtContent>
                        <w:p>
                          <w:pPr>
                            <w:ind w:firstLine="720"/>
                            <w:jc w:val="both"/>
                            <w:rPr>
                              <w:bCs/>
                              <w:sz w:val="22"/>
                              <w:szCs w:val="22"/>
                              <w:lang w:eastAsia="lt-LT"/>
                            </w:rPr>
                          </w:pPr>
                          <w:sdt>
                            <w:sdtPr>
                              <w:alias w:val="Numeris"/>
                              <w:tag w:val="nr_b4e64a325a35429db2b79fc04a4df7ef"/>
                              <w:lock w:val="sdtLocked"/>
                              <w:richText/>
                            </w:sdtPr>
                            <w:sdtContent>
                              <w:r>
                                <w:rPr>
                                  <w:bCs/>
                                  <w:sz w:val="22"/>
                                  <w:szCs w:val="22"/>
                                  <w:lang w:eastAsia="lt-LT"/>
                                </w:rPr>
                                <w:t>1</w:t>
                              </w:r>
                            </w:sdtContent>
                          </w:sdt>
                          <w:r>
                            <w:rPr>
                              <w:bCs/>
                              <w:sz w:val="22"/>
                              <w:szCs w:val="22"/>
                              <w:lang w:eastAsia="lt-LT"/>
                            </w:rPr>
                            <w:t>) šio įstatymo 42 straipsnyje nurodytais finansų rinkos dalyviais, taip pat juridiniais asmenimis, kurie turėjo teisę kaip šio įstatymo 42 straipsnyje nurodyti finansų rinkos dalyviai teikti licencines finansines ar draudimo paslaugas, tačiau ją prarado;</w:t>
                          </w:r>
                        </w:p>
                      </w:sdtContent>
                    </w:sdt>
                    <w:sdt>
                      <w:sdtPr>
                        <w:alias w:val="47 str. 1 d. 2 p."/>
                        <w:tag w:val="part_325674f22d7d4a09a7d31276f9218bf7"/>
                        <w:lock w:val="sdtLocked"/>
                        <w:richText/>
                      </w:sdtPr>
                      <w:sdtContent>
                        <w:p>
                          <w:pPr>
                            <w:ind w:firstLine="720"/>
                            <w:jc w:val="both"/>
                            <w:rPr>
                              <w:bCs/>
                              <w:sz w:val="22"/>
                              <w:szCs w:val="22"/>
                              <w:lang w:eastAsia="lt-LT"/>
                            </w:rPr>
                          </w:pPr>
                          <w:sdt>
                            <w:sdtPr>
                              <w:alias w:val="Numeris"/>
                              <w:tag w:val="nr_325674f22d7d4a09a7d31276f9218bf7"/>
                              <w:lock w:val="sdtLocked"/>
                              <w:richText/>
                            </w:sdtPr>
                            <w:sdtContent>
                              <w:r>
                                <w:rPr>
                                  <w:bCs/>
                                  <w:sz w:val="22"/>
                                  <w:szCs w:val="22"/>
                                  <w:lang w:eastAsia="lt-LT"/>
                                </w:rPr>
                                <w:t>2</w:t>
                              </w:r>
                            </w:sdtContent>
                          </w:sdt>
                          <w:r>
                            <w:rPr>
                              <w:bCs/>
                              <w:sz w:val="22"/>
                              <w:szCs w:val="22"/>
                              <w:lang w:eastAsia="lt-LT"/>
                            </w:rPr>
                            <w:t>) šio įstatymo 42 straipsnyje nenurodytais, tačiau Lietuvos Respublikoje teisę teikti finansines ar draudimo paslaugas turinčiais subjektais, jeigu jie Lietuvos Respublikoje turi įgaliotus atstovus pretenzijoms nagrinėti. Su Lietuvos Respublikoje neįsisteigusiais transporto priemonių valdytojų civilinės atsakomybės privalomojo draudimo paslaugas teikiančiais, tačiau Lietuvos Respublikoje įgaliotus atstovus pretenzijoms nagrinėti turinčiais subjektais ginčai nagrinėjami tik tuo atveju, jeigu eismo įvykis įvyko Lietuvos Respublikoje;</w:t>
                          </w:r>
                        </w:p>
                      </w:sdtContent>
                    </w:sdt>
                    <w:sdt>
                      <w:sdtPr>
                        <w:alias w:val="47 str. 1 d. 3 p."/>
                        <w:tag w:val="part_eed9db403e114622813ec2921c179f56"/>
                        <w:lock w:val="sdtLocked"/>
                        <w:richText/>
                      </w:sdtPr>
                      <w:sdtContent>
                        <w:p>
                          <w:pPr>
                            <w:ind w:firstLine="720"/>
                            <w:jc w:val="both"/>
                            <w:rPr>
                              <w:bCs/>
                              <w:sz w:val="22"/>
                              <w:szCs w:val="22"/>
                              <w:lang w:eastAsia="lt-LT"/>
                            </w:rPr>
                          </w:pPr>
                          <w:sdt>
                            <w:sdtPr>
                              <w:alias w:val="Numeris"/>
                              <w:tag w:val="nr_eed9db403e114622813ec2921c179f56"/>
                              <w:lock w:val="sdtLocked"/>
                              <w:richText/>
                            </w:sdtPr>
                            <w:sdtContent>
                              <w:r>
                                <w:rPr>
                                  <w:bCs/>
                                  <w:sz w:val="22"/>
                                  <w:szCs w:val="22"/>
                                  <w:lang w:eastAsia="lt-LT"/>
                                </w:rPr>
                                <w:t>3</w:t>
                              </w:r>
                            </w:sdtContent>
                          </w:sdt>
                          <w:r>
                            <w:rPr>
                              <w:bCs/>
                              <w:sz w:val="22"/>
                              <w:szCs w:val="22"/>
                              <w:lang w:eastAsia="lt-LT"/>
                            </w:rPr>
                            <w:t>) kitais subjektais dėl ginčų, nurodytų šio straipsnio 3 dalies 3 punkte.</w:t>
                          </w:r>
                        </w:p>
                      </w:sdtContent>
                    </w:sdt>
                  </w:sdtContent>
                </w:sdt>
                <w:sdt>
                  <w:sdtPr>
                    <w:alias w:val="47 str. 2 d."/>
                    <w:tag w:val="part_94c30a62eff244d59964de87296f41d9"/>
                    <w:lock w:val="sdtLocked"/>
                    <w:richText/>
                  </w:sdtPr>
                  <w:sdtContent>
                    <w:p>
                      <w:pPr>
                        <w:ind w:firstLine="720"/>
                        <w:jc w:val="both"/>
                        <w:rPr>
                          <w:bCs/>
                          <w:sz w:val="22"/>
                          <w:szCs w:val="22"/>
                          <w:lang w:eastAsia="lt-LT"/>
                        </w:rPr>
                      </w:pPr>
                      <w:sdt>
                        <w:sdtPr>
                          <w:alias w:val="Numeris"/>
                          <w:tag w:val="nr_94c30a62eff244d59964de87296f41d9"/>
                          <w:lock w:val="sdtLocked"/>
                          <w:richText/>
                        </w:sdtPr>
                        <w:sdtContent>
                          <w:r>
                            <w:rPr>
                              <w:bCs/>
                              <w:sz w:val="22"/>
                              <w:szCs w:val="22"/>
                              <w:lang w:eastAsia="lt-LT"/>
                            </w:rPr>
                            <w:t>2</w:t>
                          </w:r>
                        </w:sdtContent>
                      </w:sdt>
                      <w:r>
                        <w:rPr>
                          <w:bCs/>
                          <w:sz w:val="22"/>
                          <w:szCs w:val="22"/>
                          <w:lang w:eastAsia="lt-LT"/>
                        </w:rPr>
                        <w:t>. Šio straipsnio taikymo tikslais šio straipsnio 1 dalyje nurodyti subjektai toliau šiame straipsnyje vadinami finansų rinkos dalyviais.</w:t>
                      </w:r>
                    </w:p>
                  </w:sdtContent>
                </w:sdt>
                <w:sdt>
                  <w:sdtPr>
                    <w:alias w:val="47 str. 3 d."/>
                    <w:tag w:val="part_e30ac9b6856a47098236b9c58a8a0183"/>
                    <w:lock w:val="sdtLocked"/>
                    <w:richText/>
                  </w:sdtPr>
                  <w:sdtContent>
                    <w:p>
                      <w:pPr>
                        <w:ind w:firstLine="720"/>
                        <w:jc w:val="both"/>
                        <w:rPr>
                          <w:bCs/>
                          <w:sz w:val="22"/>
                          <w:szCs w:val="22"/>
                          <w:lang w:eastAsia="lt-LT"/>
                        </w:rPr>
                      </w:pPr>
                      <w:sdt>
                        <w:sdtPr>
                          <w:alias w:val="Numeris"/>
                          <w:tag w:val="nr_e30ac9b6856a47098236b9c58a8a0183"/>
                          <w:lock w:val="sdtLocked"/>
                          <w:richText/>
                        </w:sdtPr>
                        <w:sdtContent>
                          <w:r>
                            <w:rPr>
                              <w:bCs/>
                              <w:sz w:val="22"/>
                              <w:szCs w:val="22"/>
                              <w:lang w:eastAsia="lt-LT"/>
                            </w:rPr>
                            <w:t>3</w:t>
                          </w:r>
                        </w:sdtContent>
                      </w:sdt>
                      <w:r>
                        <w:rPr>
                          <w:bCs/>
                          <w:sz w:val="22"/>
                          <w:szCs w:val="22"/>
                          <w:lang w:eastAsia="lt-LT"/>
                        </w:rPr>
                        <w:t>. Lietuvos bankas nagrinėja ginčus su finansų rinkos dalyviais dėl sutarčių, kurioms taikytina Lietuvos Respublikos teisė, kylančius iš:</w:t>
                      </w:r>
                    </w:p>
                    <w:sdt>
                      <w:sdtPr>
                        <w:alias w:val="47 str. 3 d. 1 p."/>
                        <w:tag w:val="part_70b7837d85054c07af568bfc39617a73"/>
                        <w:lock w:val="sdtLocked"/>
                        <w:richText/>
                      </w:sdtPr>
                      <w:sdtContent>
                        <w:p>
                          <w:pPr>
                            <w:ind w:firstLine="720"/>
                            <w:jc w:val="both"/>
                            <w:rPr>
                              <w:bCs/>
                              <w:sz w:val="22"/>
                              <w:szCs w:val="22"/>
                              <w:lang w:eastAsia="lt-LT"/>
                            </w:rPr>
                          </w:pPr>
                          <w:sdt>
                            <w:sdtPr>
                              <w:alias w:val="Numeris"/>
                              <w:tag w:val="nr_70b7837d85054c07af568bfc39617a73"/>
                              <w:lock w:val="sdtLocked"/>
                              <w:richText/>
                            </w:sdtPr>
                            <w:sdtContent>
                              <w:r>
                                <w:rPr>
                                  <w:bCs/>
                                  <w:sz w:val="22"/>
                                  <w:szCs w:val="22"/>
                                  <w:lang w:eastAsia="lt-LT"/>
                                </w:rPr>
                                <w:t>1</w:t>
                              </w:r>
                            </w:sdtContent>
                          </w:sdt>
                          <w:r>
                            <w:rPr>
                              <w:bCs/>
                              <w:sz w:val="22"/>
                              <w:szCs w:val="22"/>
                              <w:lang w:eastAsia="lt-LT"/>
                            </w:rPr>
                            <w:t>) finansinių ir (arba) papildomų investicinių paslaugų teikimo;</w:t>
                          </w:r>
                        </w:p>
                      </w:sdtContent>
                    </w:sdt>
                    <w:sdt>
                      <w:sdtPr>
                        <w:alias w:val="47 str. 3 d. 2 p."/>
                        <w:tag w:val="part_57c8f99bfe484270826ca342ae19f43a"/>
                        <w:lock w:val="sdtLocked"/>
                        <w:richText/>
                      </w:sdtPr>
                      <w:sdtContent>
                        <w:p>
                          <w:pPr>
                            <w:ind w:firstLine="720"/>
                            <w:jc w:val="both"/>
                            <w:rPr>
                              <w:bCs/>
                              <w:sz w:val="22"/>
                              <w:szCs w:val="22"/>
                              <w:lang w:eastAsia="lt-LT"/>
                            </w:rPr>
                          </w:pPr>
                          <w:sdt>
                            <w:sdtPr>
                              <w:alias w:val="Numeris"/>
                              <w:tag w:val="nr_57c8f99bfe484270826ca342ae19f43a"/>
                              <w:lock w:val="sdtLocked"/>
                              <w:richText/>
                            </w:sdtPr>
                            <w:sdtContent>
                              <w:r>
                                <w:rPr>
                                  <w:bCs/>
                                  <w:sz w:val="22"/>
                                  <w:szCs w:val="22"/>
                                  <w:lang w:eastAsia="lt-LT"/>
                                </w:rPr>
                                <w:t>2</w:t>
                              </w:r>
                            </w:sdtContent>
                          </w:sdt>
                          <w:r>
                            <w:rPr>
                              <w:bCs/>
                              <w:sz w:val="22"/>
                              <w:szCs w:val="22"/>
                              <w:lang w:eastAsia="lt-LT"/>
                            </w:rPr>
                            <w:t>) draudimo sutarčių ar susijusius su jomis;</w:t>
                          </w:r>
                        </w:p>
                      </w:sdtContent>
                    </w:sdt>
                    <w:sdt>
                      <w:sdtPr>
                        <w:alias w:val="47 str. 3 d. 3 p."/>
                        <w:tag w:val="part_3e8d1bb6bb2f4ecdaba2d30a40ea611d"/>
                        <w:lock w:val="sdtLocked"/>
                        <w:richText/>
                      </w:sdtPr>
                      <w:sdtContent>
                        <w:p>
                          <w:pPr>
                            <w:ind w:firstLine="720"/>
                            <w:jc w:val="both"/>
                            <w:rPr>
                              <w:bCs/>
                              <w:sz w:val="22"/>
                              <w:szCs w:val="22"/>
                              <w:lang w:eastAsia="lt-LT"/>
                            </w:rPr>
                          </w:pPr>
                          <w:sdt>
                            <w:sdtPr>
                              <w:alias w:val="Numeris"/>
                              <w:tag w:val="nr_3e8d1bb6bb2f4ecdaba2d30a40ea611d"/>
                              <w:lock w:val="sdtLocked"/>
                              <w:richText/>
                            </w:sdtPr>
                            <w:sdtContent>
                              <w:r>
                                <w:rPr>
                                  <w:bCs/>
                                  <w:sz w:val="22"/>
                                  <w:szCs w:val="22"/>
                                  <w:lang w:eastAsia="lt-LT"/>
                                </w:rPr>
                                <w:t>3</w:t>
                              </w:r>
                            </w:sdtContent>
                          </w:sdt>
                          <w:r>
                            <w:rPr>
                              <w:bCs/>
                              <w:sz w:val="22"/>
                              <w:szCs w:val="22"/>
                              <w:lang w:eastAsia="lt-LT"/>
                            </w:rPr>
                            <w:t>) mokėjimo paslaugų teikimo ir kitų Lietuvos Respublikos mokėjimų įstatyme reglamentuotų santykių;</w:t>
                          </w:r>
                        </w:p>
                      </w:sdtContent>
                    </w:sdt>
                    <w:sdt>
                      <w:sdtPr>
                        <w:alias w:val="47 str. 3 d. 4 p."/>
                        <w:tag w:val="part_9459e84b49614060aa4a19754065a9a0"/>
                        <w:lock w:val="sdtLocked"/>
                        <w:richText/>
                      </w:sdtPr>
                      <w:sdtContent>
                        <w:p>
                          <w:pPr>
                            <w:ind w:firstLine="720"/>
                            <w:jc w:val="both"/>
                            <w:rPr>
                              <w:bCs/>
                              <w:sz w:val="22"/>
                              <w:szCs w:val="22"/>
                              <w:lang w:eastAsia="lt-LT"/>
                            </w:rPr>
                          </w:pPr>
                          <w:sdt>
                            <w:sdtPr>
                              <w:alias w:val="Numeris"/>
                              <w:tag w:val="nr_9459e84b49614060aa4a19754065a9a0"/>
                              <w:lock w:val="sdtLocked"/>
                              <w:richText/>
                            </w:sdtPr>
                            <w:sdtContent>
                              <w:r>
                                <w:rPr>
                                  <w:bCs/>
                                  <w:sz w:val="22"/>
                                  <w:szCs w:val="22"/>
                                  <w:lang w:eastAsia="lt-LT"/>
                                </w:rPr>
                                <w:t>4</w:t>
                              </w:r>
                            </w:sdtContent>
                          </w:sdt>
                          <w:r>
                            <w:rPr>
                              <w:bCs/>
                              <w:sz w:val="22"/>
                              <w:szCs w:val="22"/>
                              <w:lang w:eastAsia="lt-LT"/>
                            </w:rPr>
                            <w:t>) pensijų anuitetų mokėjimo santykių;</w:t>
                          </w:r>
                        </w:p>
                      </w:sdtContent>
                    </w:sdt>
                    <w:sdt>
                      <w:sdtPr>
                        <w:alias w:val="47 str. 3 d. 5 p."/>
                        <w:tag w:val="part_a6b03480db0c41d69e609cbec8def78d"/>
                        <w:lock w:val="sdtLocked"/>
                        <w:richText/>
                      </w:sdtPr>
                      <w:sdtContent>
                        <w:p>
                          <w:pPr>
                            <w:ind w:firstLine="720"/>
                            <w:jc w:val="both"/>
                          </w:pPr>
                          <w:sdt>
                            <w:sdtPr>
                              <w:alias w:val="Numeris"/>
                              <w:tag w:val="nr_a6b03480db0c41d69e609cbec8def78d"/>
                              <w:lock w:val="sdtLocked"/>
                              <w:richText/>
                            </w:sdtPr>
                            <w:sdtContent>
                              <w:r>
                                <w:rPr>
                                  <w:bCs/>
                                  <w:sz w:val="22"/>
                                  <w:szCs w:val="22"/>
                                  <w:lang w:eastAsia="lt-LT"/>
                                </w:rPr>
                                <w:t>5</w:t>
                              </w:r>
                            </w:sdtContent>
                          </w:sdt>
                          <w:r>
                            <w:rPr>
                              <w:bCs/>
                              <w:sz w:val="22"/>
                              <w:szCs w:val="22"/>
                              <w:lang w:eastAsia="lt-LT"/>
                            </w:rPr>
                            <w:t>) su finansinėmis paslaugomis susijusių hipotekos ir laidavimo sutarčių;</w:t>
                          </w:r>
                        </w:p>
                      </w:sdtContent>
                    </w:sdt>
                    <w:sdt>
                      <w:sdtPr>
                        <w:alias w:val="6 p."/>
                        <w:tag w:val="part_dabb50b397064d5a8d88f0bbf48e2432"/>
                        <w:lock w:val="sdtLocked"/>
                        <w:richText/>
                      </w:sdtPr>
                      <w:sdtContent>
                        <w:p>
                          <w:pPr>
                            <w:ind w:firstLine="720"/>
                            <w:jc w:val="both"/>
                            <w:rPr>
                              <w:bCs/>
                              <w:sz w:val="22"/>
                              <w:szCs w:val="22"/>
                              <w:lang w:eastAsia="lt-LT"/>
                            </w:rPr>
                          </w:pPr>
                          <w:sdt>
                            <w:sdtPr>
                              <w:alias w:val="Numeris"/>
                              <w:tag w:val="nr_dabb50b397064d5a8d88f0bbf48e2432"/>
                              <w:lock w:val="sdtLocked"/>
                              <w:richText/>
                            </w:sdtPr>
                            <w:sdtContent>
                              <w:r>
                                <w:rPr>
                                  <w:bCs/>
                                  <w:sz w:val="22"/>
                                  <w:szCs w:val="22"/>
                                  <w:lang w:eastAsia="lt-LT"/>
                                </w:rPr>
                                <w:t>6</w:t>
                              </w:r>
                            </w:sdtContent>
                          </w:sdt>
                          <w:r>
                            <w:rPr>
                              <w:bCs/>
                              <w:sz w:val="22"/>
                              <w:szCs w:val="22"/>
                              <w:lang w:eastAsia="lt-LT"/>
                            </w:rPr>
                            <w:t xml:space="preserve">) Reglamente </w:t>
                          </w:r>
                          <w:hyperlink r:id="rId191" w:tgtFrame="_blank" w:history="1">
                            <w:r>
                              <w:rPr>
                                <w:bCs/>
                                <w:color w:val="0000FF" w:themeColor="hyperlink"/>
                                <w:sz w:val="22"/>
                                <w:szCs w:val="22"/>
                                <w:u w:val="single"/>
                                <w:lang w:eastAsia="lt-LT"/>
                              </w:rPr>
                              <w:t>(ES) 2023/1114</w:t>
                            </w:r>
                          </w:hyperlink>
                          <w:r>
                            <w:rPr>
                              <w:bCs/>
                              <w:sz w:val="22"/>
                              <w:szCs w:val="22"/>
                              <w:lang w:eastAsia="lt-LT"/>
                            </w:rPr>
                            <w:t xml:space="preserve"> nurodyto kriptoturto, kuris nėra su turtu susieti žetonai arba elektroninių pinigų žetonai, viešo siūlymo ar įtraukimo į prekybą, kaip tai nurodyta Reglamento </w:t>
                          </w:r>
                          <w:hyperlink r:id="rId192" w:tgtFrame="_blank" w:history="1">
                            <w:r>
                              <w:rPr>
                                <w:bCs/>
                                <w:color w:val="0000FF" w:themeColor="hyperlink"/>
                                <w:sz w:val="22"/>
                                <w:szCs w:val="22"/>
                                <w:u w:val="single"/>
                                <w:lang w:eastAsia="lt-LT"/>
                              </w:rPr>
                              <w:t>(ES) 2023/1114</w:t>
                            </w:r>
                          </w:hyperlink>
                          <w:r>
                            <w:rPr>
                              <w:bCs/>
                              <w:sz w:val="22"/>
                              <w:szCs w:val="22"/>
                              <w:lang w:eastAsia="lt-LT"/>
                            </w:rPr>
                            <w:t xml:space="preserve"> 4 ir 5 straipsniuose.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47 str. 4 d."/>
                    <w:tag w:val="part_665eeb7be16c473dbb7b6e2a30ace3ce"/>
                    <w:lock w:val="sdtLocked"/>
                    <w:richText/>
                  </w:sdtPr>
                  <w:sdtContent>
                    <w:p>
                      <w:pPr>
                        <w:ind w:firstLine="720"/>
                        <w:jc w:val="both"/>
                        <w:rPr>
                          <w:sz w:val="22"/>
                          <w:szCs w:val="22"/>
                          <w:lang w:eastAsia="lt-LT"/>
                        </w:rPr>
                      </w:pPr>
                      <w:sdt>
                        <w:sdtPr>
                          <w:alias w:val="Numeris"/>
                          <w:tag w:val="nr_665eeb7be16c473dbb7b6e2a30ace3ce"/>
                          <w:lock w:val="sdtLocked"/>
                          <w:richText/>
                        </w:sdtPr>
                        <w:sdtContent>
                          <w:r>
                            <w:rPr>
                              <w:bCs/>
                              <w:sz w:val="22"/>
                              <w:szCs w:val="22"/>
                              <w:lang w:eastAsia="lt-LT"/>
                            </w:rPr>
                            <w:t>4</w:t>
                          </w:r>
                        </w:sdtContent>
                      </w:sdt>
                      <w:r>
                        <w:rPr>
                          <w:bCs/>
                          <w:sz w:val="22"/>
                          <w:szCs w:val="22"/>
                          <w:lang w:eastAsia="lt-LT"/>
                        </w:rPr>
                        <w:t>. Šio straipsnio taikymo tikslais šio straipsnio 3 dalyje nurodytų santykių pagrindu finansų rinkos dalyvių teikiamos paslaugos šiame straipsnyje vadinamos finansinėmis paslaugomis.</w:t>
                      </w:r>
                    </w:p>
                  </w:sdtContent>
                </w:sdt>
                <w:sdt>
                  <w:sdtPr>
                    <w:alias w:val="47 str. 5 d."/>
                    <w:tag w:val="part_257330a1c74640d7910b9ec59330b232"/>
                    <w:lock w:val="sdtLocked"/>
                    <w:richText/>
                  </w:sdtPr>
                  <w:sdtContent>
                    <w:p>
                      <w:pPr>
                        <w:ind w:firstLine="720"/>
                        <w:jc w:val="both"/>
                        <w:rPr>
                          <w:bCs/>
                          <w:sz w:val="22"/>
                          <w:szCs w:val="22"/>
                          <w:lang w:eastAsia="lt-LT"/>
                        </w:rPr>
                      </w:pPr>
                      <w:sdt>
                        <w:sdtPr>
                          <w:alias w:val="Numeris"/>
                          <w:tag w:val="nr_257330a1c74640d7910b9ec59330b232"/>
                          <w:lock w:val="sdtLocked"/>
                          <w:richText/>
                        </w:sdtPr>
                        <w:sdtContent>
                          <w:r>
                            <w:rPr>
                              <w:bCs/>
                              <w:sz w:val="22"/>
                              <w:szCs w:val="22"/>
                              <w:lang w:eastAsia="lt-LT"/>
                            </w:rPr>
                            <w:t>5</w:t>
                          </w:r>
                        </w:sdtContent>
                      </w:sdt>
                      <w:r>
                        <w:rPr>
                          <w:bCs/>
                          <w:sz w:val="22"/>
                          <w:szCs w:val="22"/>
                          <w:lang w:eastAsia="lt-LT"/>
                        </w:rPr>
                        <w:t>. Šiame straipsnyje vartotoju laikomas fizinis asmuo:</w:t>
                      </w:r>
                    </w:p>
                    <w:sdt>
                      <w:sdtPr>
                        <w:alias w:val="47 str. 5 d. 1 p."/>
                        <w:tag w:val="part_8da3eebef8414b9699625c8707fd168e"/>
                        <w:lock w:val="sdtLocked"/>
                        <w:richText/>
                      </w:sdtPr>
                      <w:sdtContent>
                        <w:p>
                          <w:pPr>
                            <w:ind w:firstLine="720"/>
                            <w:jc w:val="both"/>
                            <w:rPr>
                              <w:b/>
                              <w:bCs/>
                              <w:sz w:val="22"/>
                              <w:szCs w:val="22"/>
                              <w:lang w:eastAsia="lt-LT"/>
                            </w:rPr>
                          </w:pPr>
                          <w:sdt>
                            <w:sdtPr>
                              <w:alias w:val="Numeris"/>
                              <w:tag w:val="nr_8da3eebef8414b9699625c8707fd168e"/>
                              <w:lock w:val="sdtLocked"/>
                              <w:richText/>
                            </w:sdtPr>
                            <w:sdtContent>
                              <w:r>
                                <w:rPr>
                                  <w:bCs/>
                                  <w:sz w:val="22"/>
                                  <w:szCs w:val="22"/>
                                  <w:lang w:eastAsia="lt-LT"/>
                                </w:rPr>
                                <w:t>1</w:t>
                              </w:r>
                            </w:sdtContent>
                          </w:sdt>
                          <w:r>
                            <w:rPr>
                              <w:bCs/>
                              <w:sz w:val="22"/>
                              <w:szCs w:val="22"/>
                              <w:lang w:eastAsia="lt-LT"/>
                            </w:rPr>
                            <w:t xml:space="preserve">) </w:t>
                          </w:r>
                          <w:r>
                            <w:rPr>
                              <w:bCs/>
                              <w:sz w:val="22"/>
                              <w:szCs w:val="22"/>
                            </w:rPr>
                            <w:t>sudarantis su finansų rinkos dalyviu finansinių paslaugų sutartį, įskaitant investuotojus, kurie su emitentu, savo jėgomis vykdančiu pirminę vertybinių popierių emisiją, sudaro vertybinių popierių įsigijimo sutartį su verslu, prekyba, amatu ar profesija nesusijusiais tikslais (vartojimo tikslais), išskyrus profesionaliuosius klientus ir informuotuosius investuotojus;</w:t>
                          </w:r>
                        </w:p>
                      </w:sdtContent>
                    </w:sdt>
                    <w:sdt>
                      <w:sdtPr>
                        <w:alias w:val="47 str. 5 d. 2 p."/>
                        <w:tag w:val="part_1af2cf306f844c9e85371f3c8aaf2af8"/>
                        <w:lock w:val="sdtLocked"/>
                        <w:richText/>
                      </w:sdtPr>
                      <w:sdtContent>
                        <w:p>
                          <w:pPr>
                            <w:ind w:firstLine="720"/>
                            <w:jc w:val="both"/>
                            <w:rPr>
                              <w:bCs/>
                              <w:sz w:val="22"/>
                              <w:szCs w:val="22"/>
                              <w:lang w:eastAsia="lt-LT"/>
                            </w:rPr>
                          </w:pPr>
                          <w:sdt>
                            <w:sdtPr>
                              <w:alias w:val="Numeris"/>
                              <w:tag w:val="nr_1af2cf306f844c9e85371f3c8aaf2af8"/>
                              <w:lock w:val="sdtLocked"/>
                              <w:richText/>
                            </w:sdtPr>
                            <w:sdtContent>
                              <w:r>
                                <w:rPr>
                                  <w:bCs/>
                                  <w:sz w:val="22"/>
                                  <w:szCs w:val="22"/>
                                  <w:lang w:eastAsia="lt-LT"/>
                                </w:rPr>
                                <w:t>2</w:t>
                              </w:r>
                            </w:sdtContent>
                          </w:sdt>
                          <w:r>
                            <w:rPr>
                              <w:bCs/>
                              <w:sz w:val="22"/>
                              <w:szCs w:val="22"/>
                              <w:lang w:eastAsia="lt-LT"/>
                            </w:rPr>
                            <w:t>) apdraustasis, naudos gavėjas, nukentėjęs trečiasis asmuo ar kitas asmuo, kuris santykiuose su finansų rinkos dalyviu nesiekia tikslų, susijusių su verslu ar profesine veikla.</w:t>
                          </w:r>
                        </w:p>
                      </w:sdtContent>
                    </w:sdt>
                  </w:sdtContent>
                </w:sdt>
                <w:sdt>
                  <w:sdtPr>
                    <w:alias w:val="47 str. 6 d."/>
                    <w:tag w:val="part_7edf148626294fcb9df5a300f14ed859"/>
                    <w:lock w:val="sdtLocked"/>
                    <w:richText/>
                  </w:sdtPr>
                  <w:sdtContent>
                    <w:p>
                      <w:pPr>
                        <w:ind w:firstLine="720"/>
                        <w:jc w:val="both"/>
                        <w:rPr>
                          <w:sz w:val="22"/>
                          <w:szCs w:val="22"/>
                          <w:lang w:eastAsia="lt-LT"/>
                        </w:rPr>
                      </w:pPr>
                      <w:sdt>
                        <w:sdtPr>
                          <w:alias w:val="Numeris"/>
                          <w:tag w:val="nr_7edf148626294fcb9df5a300f14ed859"/>
                          <w:lock w:val="sdtLocked"/>
                          <w:richText/>
                        </w:sdtPr>
                        <w:sdtContent>
                          <w:r>
                            <w:rPr>
                              <w:bCs/>
                              <w:sz w:val="22"/>
                              <w:szCs w:val="22"/>
                              <w:lang w:eastAsia="lt-LT"/>
                            </w:rPr>
                            <w:t>6</w:t>
                          </w:r>
                        </w:sdtContent>
                      </w:sdt>
                      <w:r>
                        <w:rPr>
                          <w:sz w:val="22"/>
                          <w:szCs w:val="22"/>
                          <w:lang w:eastAsia="lt-LT"/>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7 d."/>
                    <w:tag w:val="part_cac5f1f6a0ff47e38b2c9ffebfcd0f95"/>
                    <w:lock w:val="sdtLocked"/>
                    <w:richText/>
                  </w:sdtPr>
                  <w:sdtContent>
                    <w:p>
                      <w:pPr>
                        <w:ind w:firstLine="720"/>
                        <w:jc w:val="both"/>
                        <w:rPr>
                          <w:sz w:val="22"/>
                          <w:szCs w:val="22"/>
                          <w:lang w:eastAsia="lt-LT"/>
                        </w:rPr>
                      </w:pPr>
                      <w:sdt>
                        <w:sdtPr>
                          <w:alias w:val="Numeris"/>
                          <w:tag w:val="nr_cac5f1f6a0ff47e38b2c9ffebfcd0f95"/>
                          <w:lock w:val="sdtLocked"/>
                          <w:richText/>
                        </w:sdtPr>
                        <w:sdtContent>
                          <w:r>
                            <w:rPr>
                              <w:bCs/>
                              <w:sz w:val="22"/>
                              <w:szCs w:val="22"/>
                              <w:lang w:eastAsia="lt-LT"/>
                            </w:rPr>
                            <w:t>7</w:t>
                          </w:r>
                        </w:sdtContent>
                      </w:sdt>
                      <w:r>
                        <w:rPr>
                          <w:sz w:val="22"/>
                          <w:szCs w:val="22"/>
                          <w:lang w:eastAsia="lt-LT"/>
                        </w:rPr>
                        <w:t>.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nurodydamas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p>
                  </w:sdtContent>
                </w:sdt>
                <w:sdt>
                  <w:sdtPr>
                    <w:alias w:val="47 str. 8 d."/>
                    <w:tag w:val="part_b0d95ab4e9724770b6ca5453ac33f9d0"/>
                    <w:lock w:val="sdtLocked"/>
                    <w:richText/>
                  </w:sdtPr>
                  <w:sdtContent>
                    <w:p>
                      <w:pPr>
                        <w:ind w:firstLine="720"/>
                        <w:jc w:val="both"/>
                        <w:rPr>
                          <w:sz w:val="22"/>
                          <w:szCs w:val="22"/>
                          <w:lang w:eastAsia="lt-LT"/>
                        </w:rPr>
                      </w:pPr>
                      <w:sdt>
                        <w:sdtPr>
                          <w:alias w:val="Numeris"/>
                          <w:tag w:val="nr_b0d95ab4e9724770b6ca5453ac33f9d0"/>
                          <w:lock w:val="sdtLocked"/>
                          <w:richText/>
                        </w:sdtPr>
                        <w:sdtContent>
                          <w:r>
                            <w:rPr>
                              <w:bCs/>
                              <w:sz w:val="22"/>
                              <w:szCs w:val="22"/>
                              <w:lang w:eastAsia="lt-LT"/>
                            </w:rPr>
                            <w:t>8</w:t>
                          </w:r>
                        </w:sdtContent>
                      </w:sdt>
                      <w:r>
                        <w:rPr>
                          <w:bCs/>
                          <w:sz w:val="22"/>
                          <w:szCs w:val="22"/>
                          <w:lang w:eastAsia="lt-LT"/>
                        </w:rPr>
                        <w:t>.</w:t>
                      </w:r>
                      <w:r>
                        <w:rPr>
                          <w:sz w:val="22"/>
                          <w:szCs w:val="22"/>
                          <w:lang w:eastAsia="lt-LT"/>
                        </w:rPr>
                        <w:t xml:space="preserve">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9 d."/>
                    <w:tag w:val="part_d8de2244b7fe49de8405657e348a9de3"/>
                    <w:lock w:val="sdtLocked"/>
                    <w:richText/>
                  </w:sdtPr>
                  <w:sdtContent>
                    <w:p>
                      <w:pPr>
                        <w:ind w:firstLine="720"/>
                        <w:jc w:val="both"/>
                        <w:rPr>
                          <w:sz w:val="22"/>
                          <w:szCs w:val="22"/>
                        </w:rPr>
                      </w:pPr>
                      <w:sdt>
                        <w:sdtPr>
                          <w:alias w:val="Numeris"/>
                          <w:tag w:val="nr_d8de2244b7fe49de8405657e348a9de3"/>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Vartotojų ir finansų rinkos dalyvių ginčų neteisminio sprendimo tvarką reglamentuoja Lietuvos Respublikos vartotojų teisių apsaugos įstatymas ir Lietuvos banko patvirtintos vartotojų ir finansų rinkos dalyvių ginčų neteisminio sprendimo procedūros Lietuvos banke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39d36b40626d4bd0bb12b9cc7c2e2c5d"/>
                    <w:lock w:val="sdtLocked"/>
                    <w:richText/>
                  </w:sdtPr>
                  <w:sdtContent>
                    <w:p>
                      <w:pPr>
                        <w:widowControl w:val="0"/>
                        <w:ind w:firstLine="720"/>
                        <w:jc w:val="both"/>
                        <w:rPr>
                          <w:bCs/>
                          <w:color w:val="000000"/>
                          <w:sz w:val="22"/>
                          <w:szCs w:val="22"/>
                        </w:rPr>
                      </w:pPr>
                      <w:sdt>
                        <w:sdtPr>
                          <w:alias w:val="Numeris"/>
                          <w:tag w:val="nr_39d36b40626d4bd0bb12b9cc7c2e2c5d"/>
                          <w:lock w:val="sdtLocked"/>
                          <w:richText/>
                        </w:sdtPr>
                        <w:sdtContent>
                          <w:r>
                            <w:rPr>
                              <w:sz w:val="22"/>
                              <w:szCs w:val="22"/>
                            </w:rPr>
                            <w:t>11</w:t>
                          </w:r>
                        </w:sdtContent>
                      </w:sdt>
                      <w:r>
                        <w:rPr>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i/>
                          <w:iCs/>
                          <w:sz w:val="22"/>
                          <w:szCs w:val="22"/>
                        </w:rPr>
                        <w:t>mutatis mutandis</w:t>
                      </w:r>
                      <w:r>
                        <w:rPr>
                          <w:sz w:val="22"/>
                          <w:szCs w:val="22"/>
                        </w:rPr>
                        <w:t xml:space="preserve"> taikomos</w:t>
                      </w:r>
                      <w:r>
                        <w:rPr>
                          <w:sz w:val="22"/>
                          <w:szCs w:val="22"/>
                          <w:shd w:val="clear" w:color="auto" w:fill="FFFFFF"/>
                        </w:rPr>
                        <w:t xml:space="preserve"> šio įstatymo 43</w:t>
                      </w:r>
                      <w:r>
                        <w:rPr>
                          <w:sz w:val="22"/>
                          <w:szCs w:val="22"/>
                          <w:shd w:val="clear" w:color="auto" w:fill="FFFFFF"/>
                          <w:vertAlign w:val="superscript"/>
                        </w:rPr>
                        <w:t>3</w:t>
                      </w:r>
                      <w:r>
                        <w:rPr>
                          <w:sz w:val="22"/>
                          <w:szCs w:val="22"/>
                          <w:shd w:val="clear" w:color="auto" w:fill="FFFFFF"/>
                        </w:rPr>
                        <w:t xml:space="preserve"> straipsnio 2–13, 15 ir 16 dalių ir 43</w:t>
                      </w:r>
                      <w:r>
                        <w:rPr>
                          <w:sz w:val="22"/>
                          <w:szCs w:val="22"/>
                          <w:shd w:val="clear" w:color="auto" w:fill="FFFFFF"/>
                          <w:vertAlign w:val="superscript"/>
                        </w:rPr>
                        <w:t>4</w:t>
                      </w:r>
                      <w:r>
                        <w:rPr>
                          <w:sz w:val="22"/>
                          <w:szCs w:val="22"/>
                          <w:shd w:val="clear" w:color="auto" w:fill="FFFFFF"/>
                        </w:rPr>
                        <w:t>, 43</w:t>
                      </w:r>
                      <w:r>
                        <w:rPr>
                          <w:sz w:val="22"/>
                          <w:szCs w:val="22"/>
                          <w:shd w:val="clear" w:color="auto" w:fill="FFFFFF"/>
                          <w:vertAlign w:val="superscript"/>
                        </w:rPr>
                        <w:t>5</w:t>
                      </w:r>
                      <w:r>
                        <w:rPr>
                          <w:sz w:val="22"/>
                          <w:szCs w:val="22"/>
                          <w:shd w:val="clear" w:color="auto" w:fill="FFFFFF"/>
                        </w:rPr>
                        <w:t>, 43</w:t>
                      </w:r>
                      <w:r>
                        <w:rPr>
                          <w:sz w:val="22"/>
                          <w:szCs w:val="22"/>
                          <w:shd w:val="clear" w:color="auto" w:fill="FFFFFF"/>
                          <w:vertAlign w:val="superscript"/>
                        </w:rPr>
                        <w:t>6</w:t>
                      </w:r>
                      <w:r>
                        <w:rPr>
                          <w:sz w:val="22"/>
                          <w:szCs w:val="22"/>
                        </w:rPr>
                        <w:t>, 43</w:t>
                      </w:r>
                      <w:r>
                        <w:rPr>
                          <w:sz w:val="22"/>
                          <w:szCs w:val="22"/>
                          <w:vertAlign w:val="superscript"/>
                        </w:rPr>
                        <w:t>7</w:t>
                      </w:r>
                      <w:r>
                        <w:rPr>
                          <w:sz w:val="22"/>
                          <w:szCs w:val="22"/>
                          <w:shd w:val="clear" w:color="auto" w:fill="FFFFFF"/>
                        </w:rPr>
                        <w:t xml:space="preserve"> straipsnių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a077d02ed511efbdaea558de59136c">
                        <w:r w:rsidRPr="00532B9F">
                          <w:rPr>
                            <w:rFonts w:ascii="Times New Roman" w:eastAsia="MS Mincho" w:hAnsi="Times New Roman"/>
                            <w:sz w:val="20"/>
                            <w:i/>
                            <w:iCs/>
                            <w:color w:val="0000FF" w:themeColor="hyperlink"/>
                            <w:u w:val="single"/>
                          </w:rPr>
                          <w:t>XIV-2721</w:t>
                        </w:r>
                      </w:fldSimple>
                      <w:r>
                        <w:rPr>
                          <w:rFonts w:ascii="Times New Roman" w:eastAsia="MS Mincho" w:hAnsi="Times New Roman"/>
                          <w:sz w:val="20"/>
                          <w:i/>
                          <w:iCs/>
                        </w:rPr>
                        <w:t>,
2024-06-13,
paskelbta TAR 2024-06-20, i. k. 2024-11244            </w:t>
                      </w:r>
                    </w:p>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d21ea88268744775b146db2cb8bc0180"/>
                <w:lock w:val="sdtLocked"/>
                <w:richText/>
              </w:sdtPr>
              <w:sdtContent>
                <w:p>
                  <w:pPr>
                    <w:ind w:firstLine="720"/>
                    <w:jc w:val="both"/>
                    <w:rPr>
                      <w:sz w:val="22"/>
                      <w:szCs w:val="22"/>
                    </w:rPr>
                  </w:pPr>
                  <w:sdt>
                    <w:sdtPr>
                      <w:alias w:val="Numeris"/>
                      <w:tag w:val="nr_d21ea88268744775b146db2cb8bc0180"/>
                      <w:lock w:val="sdtLocked"/>
                      <w:richText/>
                    </w:sdtPr>
                    <w:sdtContent>
                      <w:r>
                        <w:rPr>
                          <w:b/>
                          <w:sz w:val="22"/>
                          <w:szCs w:val="22"/>
                        </w:rPr>
                        <w:t>49</w:t>
                      </w:r>
                    </w:sdtContent>
                  </w:sdt>
                  <w:r>
                    <w:rPr>
                      <w:b/>
                      <w:sz w:val="22"/>
                      <w:szCs w:val="22"/>
                    </w:rPr>
                    <w:t xml:space="preserve"> straipsnis. </w:t>
                  </w:r>
                  <w:sdt>
                    <w:sdtPr>
                      <w:alias w:val="Pavadinimas"/>
                      <w:tag w:val="title_d21ea88268744775b146db2cb8bc0180"/>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3"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4"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7"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8"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3"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09"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e4830e8d64734b658f5c310645c201e0"/>
                <w:lock w:val="sdtLocked"/>
                <w:richText/>
              </w:sdtPr>
              <w:sdtContent>
                <w:sdt>
                  <w:sdtPr>
                    <w:alias w:val="Pavadinimas"/>
                    <w:tag w:val="title_e4830e8d64734b658f5c310645c201e0"/>
                    <w:lock w:val="sdtLocked"/>
                    <w:richText/>
                  </w:sdtPr>
                  <w:sdtContent>
                    <w:p>
                      <w:pPr>
                        <w:ind w:left="2520" w:hanging="1800"/>
                        <w:jc w:val="both"/>
                        <w:rPr>
                          <w:b/>
                          <w:sz w:val="22"/>
                        </w:rPr>
                      </w:pPr>
                      <w:sdt>
                        <w:sdtPr>
                          <w:alias w:val="Numeris"/>
                          <w:tag w:val="nr_e4830e8d64734b658f5c310645c201e0"/>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0"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4"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5"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5"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35bd7a7336694003bb1ac1cf6c295c3d"/>
        <w:lock w:val="sdtLocked"/>
        <w:richText/>
      </w:sdtPr>
      <w:sdtContent>
        <w:p>
          <w:pPr>
            <w:ind w:firstLine="6480"/>
            <w:jc w:val="both"/>
            <w:sectPr>
              <w:headerReference w:type="even" r:id="rId118"/>
              <w:headerReference w:type="default" r:id="rId119"/>
              <w:footerReference w:type="even" r:id="rId120"/>
              <w:footerReference w:type="default" r:id="rId121"/>
              <w:headerReference w:type="first" r:id="rId122"/>
              <w:footerReference w:type="first" r:id="rId123"/>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35bd7a7336694003bb1ac1cf6c295c3d"/>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35bd7a7336694003bb1ac1cf6c295c3d"/>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lang w:eastAsia="lt-LT"/>
                  </w:rPr>
                  <w:t>11</w:t>
                </w:r>
                <w:r>
                  <w:rPr>
                    <w:bCs/>
                    <w:sz w:val="22"/>
                    <w:szCs w:val="22"/>
                    <w:vertAlign w:val="superscript"/>
                    <w:lang w:eastAsia="lt-LT"/>
                  </w:rPr>
                  <w:t>1</w:t>
                </w:r>
                <w:r>
                  <w:rPr>
                    <w:bCs/>
                    <w:sz w:val="22"/>
                    <w:szCs w:val="22"/>
                    <w:lang w:eastAsia="lt-LT"/>
                  </w:rPr>
                  <w:t>.</w:t>
                </w:r>
                <w:r>
                  <w:rPr>
                    <w:bCs/>
                    <w:sz w:val="22"/>
                    <w:szCs w:val="22"/>
                    <w:vertAlign w:val="superscript"/>
                    <w:lang w:eastAsia="lt-LT"/>
                  </w:rPr>
                  <w:t>.</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lang w:eastAsia="lt-LT"/>
                  </w:rPr>
                  <w:t>Pagrindinės sandorio šalys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25 000 Eur</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bCs/>
                    <w:sz w:val="22"/>
                    <w:szCs w:val="22"/>
                  </w:rPr>
                  <w:t>Mišrios veiklos finansų kontroliuojančiosios įmonės, įsteigtos Lietuvos Respublikoje, finansų kontroliuojančiosios bendrovės, įsteigtos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bCs/>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bCs/>
                    <w:sz w:val="22"/>
                    <w:szCs w:val="22"/>
                  </w:rPr>
                  <w:t>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Padengtųjų obligacijų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bendrovės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iniciatoriai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Pakeitimo vertybiniais popieriais rėmėjai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jc w:val="both"/>
                  <w:rPr>
                    <w:rFonts w:ascii="TimesLT" w:hAnsi="TimesLT"/>
                    <w:color w:val="000000"/>
                    <w:sz w:val="22"/>
                    <w:szCs w:val="22"/>
                    <w:lang w:eastAsia="lt-LT"/>
                  </w:rPr>
                </w:pPr>
                <w:r>
                  <w:rPr>
                    <w:rFonts w:ascii="TimesLT" w:hAnsi="TimesLT"/>
                    <w:color w:val="000000"/>
                    <w:sz w:val="22"/>
                    <w:szCs w:val="22"/>
                    <w:lang w:eastAsia="lt-LT"/>
                  </w:rPr>
                  <w:t>Pirminiai skolintojai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rFonts w:ascii="TimesLT" w:hAnsi="TimesLT"/>
                    <w:color w:val="000000"/>
                    <w:sz w:val="22"/>
                    <w:szCs w:val="22"/>
                    <w:lang w:eastAsia="lt-LT"/>
                  </w:rPr>
                  <w:t xml:space="preserve">Trečiosios šalys, tikrinančios pakeitimo vertybiniais popieriais atitiktį </w:t>
                </w:r>
                <w:r>
                  <w:rPr>
                    <w:rFonts w:ascii="TimesLT" w:hAnsi="TimesLT"/>
                    <w:color w:val="000000"/>
                    <w:sz w:val="22"/>
                    <w:szCs w:val="22"/>
                  </w:rPr>
                  <w:t xml:space="preserve">paprastiems, skaidriems ir standartizuotiems </w:t>
                </w:r>
                <w:r>
                  <w:rPr>
                    <w:rFonts w:ascii="TimesLT" w:hAnsi="TimesLT"/>
                    <w:color w:val="000000"/>
                    <w:sz w:val="22"/>
                    <w:szCs w:val="22"/>
                    <w:lang w:eastAsia="lt-LT"/>
                  </w:rPr>
                  <w:t>kriterijams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eastAsia="Calibri" w:hAnsi="TimesLT"/>
                    <w:sz w:val="22"/>
                    <w:szCs w:val="22"/>
                  </w:rPr>
                  <w:sym w:font="Symbol" w:char="F02D"/>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 xml:space="preserve">38. </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rFonts w:ascii="TimesLT" w:hAnsi="TimesLT"/>
                    <w:color w:val="000000"/>
                    <w:sz w:val="22"/>
                    <w:szCs w:val="22"/>
                    <w:lang w:eastAsia="lt-LT"/>
                  </w:rPr>
                </w:pPr>
                <w:r>
                  <w:rPr>
                    <w:bCs/>
                    <w:sz w:val="22"/>
                    <w:szCs w:val="22"/>
                    <w:lang w:eastAsia="lt-LT"/>
                  </w:rPr>
                  <w:t>Kiti Europos asmeninės pensijos produkto teikėjai ir Europos asmeninės pensijos produkto platintojai, kai jie išleidžia ir (ar) platina tokius produktus, kurie nepatenka į šiame priede nurodytą įmokų bazę</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rFonts w:ascii="TimesLT" w:hAnsi="TimesLT"/>
                    <w:color w:val="000000"/>
                    <w:sz w:val="22"/>
                    <w:szCs w:val="22"/>
                    <w:lang w:eastAsia="lt-LT"/>
                  </w:rPr>
                  <w:t>1 000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bCs/>
                    <w:sz w:val="22"/>
                    <w:szCs w:val="22"/>
                    <w:lang w:eastAsia="lt-LT"/>
                  </w:rPr>
                </w:pPr>
                <w:r>
                  <w:rPr>
                    <w:sz w:val="22"/>
                    <w:szCs w:val="22"/>
                    <w:lang w:eastAsia="lt-LT"/>
                  </w:rPr>
                  <w:t>Su turtu susietų žetonų emitentai, gavę su turtu susietų žetonų emitento licenciją pagal Lietuvos Respublikos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eastAsia="Calibri" w:hAnsi="TimesLT"/>
                    <w:sz w:val="22"/>
                    <w:szCs w:val="22"/>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ascii="TimesLT" w:hAnsi="TimesLT"/>
                    <w:color w:val="000000"/>
                    <w:sz w:val="22"/>
                    <w:szCs w:val="22"/>
                    <w:lang w:eastAsia="lt-LT"/>
                  </w:rPr>
                </w:pPr>
                <w:r>
                  <w:rPr>
                    <w:iCs/>
                    <w:sz w:val="22"/>
                    <w:szCs w:val="22"/>
                    <w:lang w:eastAsia="lt-LT"/>
                  </w:rPr>
                  <w:t>0,7 procento (minimali įmokos suma 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sz w:val="22"/>
                    <w:szCs w:val="22"/>
                    <w:lang w:eastAsia="lt-LT"/>
                  </w:rPr>
                  <w:t>Kredito administratoriai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Asmenys, viešai siūlantys ir prašantys įtraukti į prekybą kriptoturtą, kuris nėra su turtu susieti žetonai arba elektroninių pinigų žetonai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bCs/>
                    <w:sz w:val="22"/>
                    <w:szCs w:val="22"/>
                    <w:lang w:eastAsia="lt-LT"/>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tabs>
                    <w:tab w:val="left" w:pos="540"/>
                  </w:tabs>
                  <w:rPr>
                    <w:sz w:val="22"/>
                    <w:szCs w:val="22"/>
                    <w:lang w:eastAsia="lt-LT"/>
                  </w:rPr>
                </w:pPr>
                <w:r>
                  <w:rPr>
                    <w:bCs/>
                    <w:sz w:val="22"/>
                    <w:szCs w:val="22"/>
                    <w:lang w:eastAsia="lt-LT"/>
                  </w:rPr>
                  <w:t>Kriptoturto paslaugų teikėjai, gavę kriptoturto paslaugų teikėjo licenciją pagal Kriptoturto rinkų įstatymą</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iCs/>
                    <w:sz w:val="22"/>
                    <w:szCs w:val="22"/>
                    <w:lang w:eastAsia="lt-LT"/>
                  </w:rPr>
                </w:pPr>
                <w:r>
                  <w:rPr>
                    <w:iCs/>
                    <w:sz w:val="22"/>
                    <w:szCs w:val="22"/>
                    <w:lang w:eastAsia="lt-LT"/>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lang w:eastAsia="lt-LT"/>
                  </w:rPr>
                </w:pPr>
                <w:r>
                  <w:rPr>
                    <w:iCs/>
                    <w:sz w:val="22"/>
                    <w:szCs w:val="22"/>
                    <w:lang w:eastAsia="lt-LT"/>
                  </w:rPr>
                  <w:t>0,7 procento (minimali įmokos suma 3 000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1036706cce1f45538785f7006b7f7bdc"/>
        <w:lock w:val="sdtLocked"/>
        <w:richText/>
      </w:sdtPr>
      <w:sdtContent>
        <w:p>
          <w:pPr>
            <w:shd w:val="clear" w:color="000000" w:fill="auto"/>
            <w:ind w:right="-1" w:firstLine="6480"/>
            <w:jc w:val="both"/>
            <w:sectPr>
              <w:pgSz w:w="11907" w:h="16840" w:code="9"/>
              <w:pgMar w:top="1134" w:right="851" w:bottom="1134" w:left="1701" w:header="709" w:footer="709" w:gutter="0"/>
              <w:pgNumType w:start="1"/>
              <w:cols w:space="1296"/>
              <w:titlePg/>
            </w:sectPr>
          </w:pPr>
        </w:p>
        <w:p>
          <w:pPr>
            <w:shd w:val="clear" w:color="000000" w:fill="auto"/>
            <w:ind w:right="-1" w:firstLine="6480"/>
            <w:jc w:val="both"/>
            <w:rPr>
              <w:szCs w:val="24"/>
            </w:rPr>
          </w:pPr>
          <w:r>
            <w:rPr>
              <w:szCs w:val="24"/>
            </w:rPr>
            <w:t>Lietuvos Respublikos</w:t>
          </w:r>
        </w:p>
        <w:p>
          <w:pPr>
            <w:shd w:val="clear" w:color="000000" w:fill="auto"/>
            <w:ind w:right="-1" w:firstLine="6480"/>
            <w:jc w:val="both"/>
            <w:rPr>
              <w:szCs w:val="24"/>
            </w:rPr>
          </w:pPr>
          <w:r>
            <w:rPr>
              <w:szCs w:val="24"/>
            </w:rPr>
            <w:t>Lietuvos banko įstatymo</w:t>
          </w:r>
        </w:p>
        <w:p>
          <w:pPr>
            <w:shd w:val="clear" w:color="000000" w:fill="auto"/>
            <w:ind w:right="-1" w:firstLine="6480"/>
            <w:jc w:val="both"/>
            <w:rPr>
              <w:b/>
              <w:szCs w:val="24"/>
            </w:rPr>
          </w:pPr>
          <w:sdt>
            <w:sdtPr>
              <w:alias w:val="Numeris"/>
              <w:tag w:val="nr_1036706cce1f45538785f7006b7f7bdc"/>
              <w:lock w:val="sdtLocked"/>
              <w:richText/>
            </w:sdtPr>
            <w:sdtContent>
              <w:r>
                <w:rPr>
                  <w:szCs w:val="24"/>
                </w:rPr>
                <w:t>2</w:t>
              </w:r>
            </w:sdtContent>
          </w:sdt>
          <w:r>
            <w:rPr>
              <w:szCs w:val="24"/>
            </w:rPr>
            <w:t xml:space="preserve"> priedas</w:t>
          </w:r>
        </w:p>
        <w:p>
          <w:pPr>
            <w:shd w:val="clear" w:color="000000" w:fill="auto"/>
            <w:spacing w:line="360" w:lineRule="auto"/>
            <w:jc w:val="both"/>
            <w:rPr>
              <w:szCs w:val="24"/>
            </w:rPr>
          </w:pPr>
        </w:p>
        <w:p>
          <w:pPr>
            <w:shd w:val="clear" w:color="000000" w:fill="auto"/>
            <w:spacing w:line="360" w:lineRule="auto"/>
            <w:jc w:val="center"/>
            <w:rPr>
              <w:b/>
              <w:szCs w:val="24"/>
            </w:rPr>
          </w:pPr>
          <w:sdt>
            <w:sdtPr>
              <w:alias w:val="Pavadinimas"/>
              <w:tag w:val="title_1036706cce1f45538785f7006b7f7bdc"/>
              <w:lock w:val="sdtLocked"/>
              <w:richText/>
            </w:sdtPr>
            <w:sdtContent>
              <w:r>
                <w:rPr>
                  <w:b/>
                  <w:szCs w:val="24"/>
                </w:rPr>
                <w:t>FINANSŲ RINKOS DALYVIAI, MOKANTYS ĮMOKAS FINANSŲ SEKTORIAUS SUBJEKTŲ PERTVARKYMO INSTITUCIJOS IŠLAIDOMS PADENGTI, ĮMOKŲ BAZĖ IR MAKSIMALŪS ĮMOKŲ DYDŽIAI</w:t>
              </w:r>
            </w:sdtContent>
          </w:sdt>
        </w:p>
        <w:p>
          <w:pPr>
            <w:shd w:val="clear" w:color="000000" w:fill="auto"/>
            <w:ind w:firstLine="567"/>
            <w:jc w:val="both"/>
            <w:rPr>
              <w:b/>
              <w:szCs w:val="24"/>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8"/>
            <w:gridCol w:w="4540"/>
            <w:gridCol w:w="2740"/>
            <w:gridCol w:w="1397"/>
          </w:tblGrid>
          <w:tr>
            <w:tc>
              <w:tcPr>
                <w:tcW w:w="367"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Eil. Nr.</w:t>
                </w:r>
              </w:p>
            </w:tc>
            <w:tc>
              <w:tcPr>
                <w:tcW w:w="2424"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Rinkos dalyviai</w:t>
                </w:r>
              </w:p>
            </w:tc>
            <w:tc>
              <w:tcPr>
                <w:tcW w:w="1463"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Įmokų bazė</w:t>
                </w:r>
              </w:p>
            </w:tc>
            <w:tc>
              <w:tcPr>
                <w:tcW w:w="746" w:type="pct"/>
                <w:tcBorders>
                  <w:top w:val="single" w:sz="4" w:space="0" w:color="auto"/>
                  <w:left w:val="single" w:sz="4" w:space="0" w:color="auto"/>
                  <w:bottom w:val="single" w:sz="4" w:space="0" w:color="auto"/>
                  <w:right w:val="single" w:sz="4" w:space="0" w:color="auto"/>
                </w:tcBorders>
                <w:vAlign w:val="center"/>
                <w:hideMark/>
              </w:tcPr>
              <w:p>
                <w:pPr>
                  <w:shd w:val="clear" w:color="000000" w:fill="auto"/>
                  <w:jc w:val="center"/>
                  <w:rPr>
                    <w:szCs w:val="24"/>
                    <w:lang w:eastAsia="lt-LT"/>
                  </w:rPr>
                </w:pPr>
                <w:r>
                  <w:rPr>
                    <w:szCs w:val="24"/>
                    <w:lang w:eastAsia="lt-LT"/>
                  </w:rPr>
                  <w:t>Maksimalus įmokų dydis</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0,0043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rPr>
                </w:pPr>
                <w:r>
                  <w:rPr>
                    <w:szCs w:val="24"/>
                  </w:rPr>
                  <w:t>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Europos ekonominės erdvės valstybėse licencijuotų užsienio bankų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Vidutinis metinis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0,0014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 xml:space="preserve">Lietuvos Respublikoje licencijuotos finansų maklerio įmonės, kurioms taikomas Finansinių priemonių rinkų įstatymo </w:t>
                </w:r>
                <w:r>
                  <w:rPr>
                    <w:bCs/>
                    <w:szCs w:val="24"/>
                    <w:lang w:eastAsia="lt-LT"/>
                  </w:rPr>
                  <w:t>14 straipsnio 2 dalyje</w:t>
                </w:r>
                <w:r>
                  <w:rPr>
                    <w:szCs w:val="24"/>
                    <w:lang w:eastAsia="lt-LT"/>
                  </w:rPr>
                  <w:t xml:space="preserve"> nustatytas reikalavimas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0,075 proc.</w:t>
                </w:r>
              </w:p>
            </w:tc>
          </w:tr>
          <w:tr>
            <w:tc>
              <w:tcPr>
                <w:tcW w:w="367"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4.</w:t>
                </w:r>
              </w:p>
            </w:tc>
            <w:tc>
              <w:tcPr>
                <w:tcW w:w="2424" w:type="pct"/>
                <w:tcBorders>
                  <w:top w:val="single" w:sz="4" w:space="0" w:color="auto"/>
                  <w:left w:val="single" w:sz="4" w:space="0" w:color="auto"/>
                  <w:bottom w:val="single" w:sz="4" w:space="0" w:color="auto"/>
                  <w:right w:val="single" w:sz="4" w:space="0" w:color="auto"/>
                </w:tcBorders>
                <w:hideMark/>
              </w:tcPr>
              <w:p>
                <w:pPr>
                  <w:shd w:val="clear" w:color="000000" w:fill="auto"/>
                  <w:ind w:left="159"/>
                  <w:rPr>
                    <w:szCs w:val="24"/>
                    <w:lang w:eastAsia="lt-LT"/>
                  </w:rPr>
                </w:pPr>
                <w:r>
                  <w:rPr>
                    <w:szCs w:val="24"/>
                    <w:lang w:eastAsia="lt-LT"/>
                  </w:rPr>
                  <w:t>Kitose valstybėse licencijuotų finansų maklerio įmonių filialai, įsteigti Lietuvos Respublikoje</w:t>
                </w:r>
              </w:p>
            </w:tc>
            <w:tc>
              <w:tcPr>
                <w:tcW w:w="1463" w:type="pct"/>
                <w:tcBorders>
                  <w:top w:val="single" w:sz="4" w:space="0" w:color="auto"/>
                  <w:left w:val="single" w:sz="4" w:space="0" w:color="auto"/>
                  <w:bottom w:val="single" w:sz="4" w:space="0" w:color="auto"/>
                  <w:right w:val="single" w:sz="4" w:space="0" w:color="auto"/>
                </w:tcBorders>
                <w:hideMark/>
              </w:tcPr>
              <w:p>
                <w:pPr>
                  <w:shd w:val="clear" w:color="000000" w:fill="auto"/>
                  <w:ind w:left="88"/>
                  <w:rPr>
                    <w:szCs w:val="24"/>
                    <w:lang w:eastAsia="lt-LT"/>
                  </w:rPr>
                </w:pPr>
                <w:r>
                  <w:rPr>
                    <w:szCs w:val="24"/>
                    <w:lang w:eastAsia="lt-LT"/>
                  </w:rPr>
                  <w:t>Metinės pajamos</w:t>
                </w:r>
              </w:p>
            </w:tc>
            <w:tc>
              <w:tcPr>
                <w:tcW w:w="746" w:type="pct"/>
                <w:tcBorders>
                  <w:top w:val="single" w:sz="4" w:space="0" w:color="auto"/>
                  <w:left w:val="single" w:sz="4" w:space="0" w:color="auto"/>
                  <w:bottom w:val="single" w:sz="4" w:space="0" w:color="auto"/>
                  <w:right w:val="single" w:sz="4" w:space="0" w:color="auto"/>
                </w:tcBorders>
                <w:hideMark/>
              </w:tcPr>
              <w:p>
                <w:pPr>
                  <w:shd w:val="clear" w:color="000000" w:fill="auto"/>
                  <w:jc w:val="center"/>
                  <w:rPr>
                    <w:szCs w:val="24"/>
                    <w:lang w:eastAsia="lt-LT"/>
                  </w:rPr>
                </w:pPr>
                <w:r>
                  <w:rPr>
                    <w:szCs w:val="24"/>
                    <w:lang w:eastAsia="lt-LT"/>
                  </w:rPr>
                  <w:t>0,038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 xml:space="preserve">5. </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5.1.</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Elektroninių pinigų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Neapmokėtų elektroninių pinigų metinis vidurkis ir 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0,0025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5.2.</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Mokėjimo įstaigos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Mokėjimo paslaugų metinė apyvarta</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5.3.</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rPr>
                    <w:szCs w:val="24"/>
                    <w:lang w:eastAsia="lt-LT"/>
                  </w:rPr>
                </w:pPr>
                <w:r>
                  <w:rPr>
                    <w:szCs w:val="24"/>
                    <w:lang w:eastAsia="lt-LT"/>
                  </w:rPr>
                  <w:t>Valdomas kolektyvinio investavimo subjektų ir papildomo savanoriško pensijų kaupimo fondų turtas</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0,013 proc.</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5.4.</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Finansų patarėjo įmonės</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r>
            <w:tc>
              <w:tcPr>
                <w:tcW w:w="367"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5.5.</w:t>
                </w:r>
              </w:p>
            </w:tc>
            <w:tc>
              <w:tcPr>
                <w:tcW w:w="2424" w:type="pct"/>
                <w:tcBorders>
                  <w:top w:val="single" w:sz="4" w:space="0" w:color="auto"/>
                  <w:left w:val="single" w:sz="4" w:space="0" w:color="auto"/>
                  <w:bottom w:val="single" w:sz="4" w:space="0" w:color="auto"/>
                  <w:right w:val="single" w:sz="4" w:space="0" w:color="auto"/>
                </w:tcBorders>
              </w:tcPr>
              <w:p>
                <w:pPr>
                  <w:shd w:val="clear" w:color="000000" w:fill="auto"/>
                  <w:ind w:left="159"/>
                  <w:rPr>
                    <w:szCs w:val="24"/>
                    <w:lang w:eastAsia="lt-LT"/>
                  </w:rPr>
                </w:pPr>
                <w:r>
                  <w:rPr>
                    <w:szCs w:val="24"/>
                    <w:lang w:eastAsia="lt-LT"/>
                  </w:rPr>
                  <w:t>Valiutos keityklos operatoriai</w:t>
                </w:r>
              </w:p>
            </w:tc>
            <w:tc>
              <w:tcPr>
                <w:tcW w:w="1463" w:type="pct"/>
                <w:tcBorders>
                  <w:top w:val="single" w:sz="4" w:space="0" w:color="auto"/>
                  <w:left w:val="single" w:sz="4" w:space="0" w:color="auto"/>
                  <w:bottom w:val="single" w:sz="4" w:space="0" w:color="auto"/>
                  <w:right w:val="single" w:sz="4" w:space="0" w:color="auto"/>
                </w:tcBorders>
              </w:tcPr>
              <w:p>
                <w:pPr>
                  <w:shd w:val="clear" w:color="000000" w:fill="auto"/>
                  <w:ind w:left="88"/>
                  <w:jc w:val="center"/>
                  <w:rPr>
                    <w:szCs w:val="24"/>
                    <w:lang w:eastAsia="lt-LT"/>
                  </w:rPr>
                </w:pPr>
                <w:r>
                  <w:rPr>
                    <w:szCs w:val="24"/>
                    <w:lang w:eastAsia="lt-LT"/>
                  </w:rPr>
                  <w:t>–</w:t>
                </w:r>
              </w:p>
            </w:tc>
            <w:tc>
              <w:tcPr>
                <w:tcW w:w="746" w:type="pct"/>
                <w:tcBorders>
                  <w:top w:val="single" w:sz="4" w:space="0" w:color="auto"/>
                  <w:left w:val="single" w:sz="4" w:space="0" w:color="auto"/>
                  <w:bottom w:val="single" w:sz="4" w:space="0" w:color="auto"/>
                  <w:right w:val="single" w:sz="4" w:space="0" w:color="auto"/>
                </w:tcBorders>
              </w:tcPr>
              <w:p>
                <w:pPr>
                  <w:shd w:val="clear" w:color="000000" w:fill="auto"/>
                  <w:jc w:val="center"/>
                  <w:rPr>
                    <w:szCs w:val="24"/>
                    <w:lang w:eastAsia="lt-LT"/>
                  </w:rPr>
                </w:pPr>
                <w:r>
                  <w:rPr>
                    <w:szCs w:val="24"/>
                    <w:lang w:eastAsia="lt-LT"/>
                  </w:rPr>
                  <w:t>109 Eur</w:t>
                </w:r>
              </w:p>
            </w:tc>
          </w:tr>
        </w:tbl>
        <w:p>
          <w:pPr>
            <w:shd w:val="clear" w:color="000000" w:fill="auto"/>
            <w:spacing w:line="360" w:lineRule="auto"/>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2-1 pr."/>
        <w:tag w:val="part_1a122d5476dd4bee9533197b09ed740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bCs/>
              <w:sz w:val="22"/>
              <w:szCs w:val="22"/>
            </w:rPr>
          </w:pPr>
          <w:r>
            <w:rPr>
              <w:bCs/>
              <w:sz w:val="22"/>
              <w:szCs w:val="22"/>
            </w:rPr>
            <w:t>Lietuvos Respublikos</w:t>
          </w:r>
        </w:p>
        <w:p>
          <w:pPr>
            <w:ind w:right="-1" w:firstLine="6480"/>
            <w:jc w:val="both"/>
            <w:rPr>
              <w:bCs/>
              <w:sz w:val="22"/>
              <w:szCs w:val="22"/>
            </w:rPr>
          </w:pPr>
          <w:r>
            <w:rPr>
              <w:bCs/>
              <w:sz w:val="22"/>
              <w:szCs w:val="22"/>
            </w:rPr>
            <w:t>Lietuvos banko įstatymo</w:t>
          </w:r>
        </w:p>
        <w:p>
          <w:pPr>
            <w:ind w:right="-1" w:firstLine="6480"/>
            <w:jc w:val="both"/>
            <w:rPr>
              <w:bCs/>
              <w:sz w:val="22"/>
              <w:szCs w:val="22"/>
            </w:rPr>
          </w:pPr>
          <w:sdt>
            <w:sdtPr>
              <w:alias w:val="Numeris"/>
              <w:tag w:val="nr_1a122d5476dd4bee9533197b09ed7407"/>
              <w:lock w:val="sdtLocked"/>
              <w:richText/>
            </w:sdtPr>
            <w:sdtContent>
              <w:r>
                <w:rPr>
                  <w:bCs/>
                  <w:sz w:val="22"/>
                  <w:szCs w:val="22"/>
                </w:rPr>
                <w:t>2</w:t>
              </w:r>
              <w:r>
                <w:rPr>
                  <w:bCs/>
                  <w:sz w:val="22"/>
                  <w:szCs w:val="22"/>
                  <w:vertAlign w:val="superscript"/>
                </w:rPr>
                <w:t>1</w:t>
              </w:r>
            </w:sdtContent>
          </w:sdt>
          <w:r>
            <w:rPr>
              <w:bCs/>
              <w:sz w:val="22"/>
              <w:szCs w:val="22"/>
            </w:rPr>
            <w:t xml:space="preserve"> priedas</w:t>
          </w:r>
        </w:p>
        <w:p>
          <w:pPr>
            <w:jc w:val="both"/>
            <w:rPr>
              <w:sz w:val="22"/>
              <w:szCs w:val="22"/>
            </w:rPr>
          </w:pPr>
        </w:p>
        <w:p>
          <w:pPr>
            <w:jc w:val="center"/>
            <w:rPr>
              <w:b/>
              <w:sz w:val="22"/>
              <w:szCs w:val="22"/>
            </w:rPr>
          </w:pPr>
          <w:sdt>
            <w:sdtPr>
              <w:alias w:val="Pavadinimas"/>
              <w:tag w:val="title_1a122d5476dd4bee9533197b09ed7407"/>
              <w:lock w:val="sdtLocked"/>
              <w:richText/>
            </w:sdtPr>
            <w:sdtContent>
              <w:r>
                <w:rPr>
                  <w:b/>
                  <w:sz w:val="22"/>
                  <w:szCs w:val="22"/>
                </w:rPr>
                <w:t>FINANSŲ RINKOS DALYVIAI, MOKANTYS ĮMOKAS PAGRINDINIŲ SANDORIO ŠALIŲ PERTVARKYMO INSTITUCIJOS IŠLAIDOMS PADENGTI, IR MAKSIMALŪS ĮMOKŲ DYDŽIAI</w:t>
              </w:r>
            </w:sdtContent>
          </w:sdt>
        </w:p>
        <w:p>
          <w:pPr>
            <w:jc w:val="both"/>
            <w:rPr>
              <w:b/>
              <w:sz w:val="22"/>
              <w:szCs w:val="22"/>
            </w:rPr>
          </w:pPr>
        </w:p>
        <w:tbl>
          <w:tblPr>
            <w:tblW w:w="4851"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87"/>
            <w:gridCol w:w="5417"/>
            <w:gridCol w:w="2982"/>
          </w:tblGrid>
          <w:tr>
            <w:tc>
              <w:tcPr>
                <w:tcW w:w="378"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Eil. Nr.</w:t>
                </w:r>
              </w:p>
            </w:tc>
            <w:tc>
              <w:tcPr>
                <w:tcW w:w="298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Rinkos dalyviai</w:t>
                </w:r>
              </w:p>
            </w:tc>
            <w:tc>
              <w:tcPr>
                <w:tcW w:w="1641" w:type="pct"/>
                <w:tcBorders>
                  <w:top w:val="single" w:sz="4" w:space="0" w:color="auto"/>
                  <w:left w:val="single" w:sz="4" w:space="0" w:color="auto"/>
                  <w:bottom w:val="single" w:sz="4" w:space="0" w:color="auto"/>
                  <w:right w:val="single" w:sz="4" w:space="0" w:color="auto"/>
                </w:tcBorders>
                <w:vAlign w:val="center"/>
                <w:hideMark/>
              </w:tcPr>
              <w:p>
                <w:pPr>
                  <w:jc w:val="center"/>
                  <w:rPr>
                    <w:bCs/>
                    <w:sz w:val="22"/>
                    <w:szCs w:val="22"/>
                    <w:lang w:eastAsia="lt-LT"/>
                  </w:rPr>
                </w:pPr>
                <w:r>
                  <w:rPr>
                    <w:bCs/>
                    <w:sz w:val="22"/>
                    <w:szCs w:val="22"/>
                    <w:lang w:eastAsia="lt-LT"/>
                  </w:rPr>
                  <w:t>Maksimalus įmokų dydis</w:t>
                </w:r>
              </w:p>
            </w:tc>
          </w:tr>
          <w:tr>
            <w:tc>
              <w:tcPr>
                <w:tcW w:w="378"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1.</w:t>
                </w:r>
              </w:p>
            </w:tc>
            <w:tc>
              <w:tcPr>
                <w:tcW w:w="2981" w:type="pct"/>
                <w:tcBorders>
                  <w:top w:val="single" w:sz="4" w:space="0" w:color="auto"/>
                  <w:left w:val="single" w:sz="4" w:space="0" w:color="auto"/>
                  <w:bottom w:val="single" w:sz="4" w:space="0" w:color="auto"/>
                  <w:right w:val="single" w:sz="4" w:space="0" w:color="auto"/>
                </w:tcBorders>
                <w:hideMark/>
              </w:tcPr>
              <w:p>
                <w:pPr>
                  <w:ind w:left="159"/>
                  <w:rPr>
                    <w:bCs/>
                    <w:sz w:val="22"/>
                    <w:szCs w:val="22"/>
                    <w:lang w:eastAsia="lt-LT"/>
                  </w:rPr>
                </w:pPr>
                <w:r>
                  <w:rPr>
                    <w:bCs/>
                    <w:sz w:val="22"/>
                    <w:szCs w:val="22"/>
                    <w:lang w:eastAsia="lt-LT"/>
                  </w:rPr>
                  <w:t>Lietuvos Respublikoje licencijuotos pagrindinės sandorio šalys</w:t>
                </w:r>
              </w:p>
            </w:tc>
            <w:tc>
              <w:tcPr>
                <w:tcW w:w="1641" w:type="pct"/>
                <w:tcBorders>
                  <w:top w:val="single" w:sz="4" w:space="0" w:color="auto"/>
                  <w:left w:val="single" w:sz="4" w:space="0" w:color="auto"/>
                  <w:bottom w:val="single" w:sz="4" w:space="0" w:color="auto"/>
                  <w:right w:val="single" w:sz="4" w:space="0" w:color="auto"/>
                </w:tcBorders>
                <w:hideMark/>
              </w:tcPr>
              <w:p>
                <w:pPr>
                  <w:jc w:val="center"/>
                  <w:rPr>
                    <w:bCs/>
                    <w:sz w:val="22"/>
                    <w:szCs w:val="22"/>
                    <w:lang w:eastAsia="lt-LT"/>
                  </w:rPr>
                </w:pPr>
                <w:r>
                  <w:rPr>
                    <w:bCs/>
                    <w:sz w:val="22"/>
                    <w:szCs w:val="22"/>
                    <w:lang w:eastAsia="lt-LT"/>
                  </w:rPr>
                  <w:t>25 000 Eur</w:t>
                </w:r>
              </w:p>
            </w:tc>
          </w:tr>
        </w:tbl>
        <w:p>
          <w:pPr>
            <w:tabs>
              <w:tab w:val="left" w:pos="993"/>
            </w:tabs>
            <w:ind w:firstLine="720"/>
            <w:jc w:val="both"/>
            <w:rPr>
              <w:b/>
              <w:bCs/>
              <w:sz w:val="22"/>
              <w:szCs w:val="22"/>
              <w:lang w:eastAsia="lt-LT"/>
            </w:rPr>
          </w:pPr>
        </w:p>
        <w:sdt>
          <w:sdtPr>
            <w:alias w:val="pabaiga"/>
            <w:tag w:val="part_caec2ef904c94769a360cd17d79a1d1e"/>
            <w:lock w:val="sdtLocked"/>
            <w:richText/>
          </w:sdtPr>
          <w:sdtContent>
            <w:p>
              <w:pPr>
                <w:tabs>
                  <w:tab w:val="left" w:pos="993"/>
                </w:tabs>
                <w:jc w:val="center"/>
                <w:rPr>
                  <w:bCs/>
                  <w:sz w:val="22"/>
                  <w:szCs w:val="22"/>
                  <w:lang w:eastAsia="lt-LT"/>
                </w:rPr>
              </w:pPr>
              <w:r>
                <w:rPr>
                  <w:bCs/>
                  <w:sz w:val="22"/>
                  <w:szCs w:val="22"/>
                  <w:lang w:eastAsia="lt-LT"/>
                </w:rPr>
                <w:t>–––––––––––––––––––––––––––––––</w:t>
              </w:r>
            </w:p>
            <w:p>
              <w:pPr>
                <w:tabs>
                  <w:tab w:val="left" w:pos="993"/>
                </w:tabs>
                <w:jc w:val="both"/>
              </w:pPr>
              <w:r>
                <w:rPr>
                  <w:b/>
                  <w:i/>
                  <w:sz w:val="20"/>
                </w:rPr>
                <w:t xml:space="preserve">TAR pastaba. Įstatymo papildymas </w:t>
              </w:r>
              <w:r>
                <w:rPr>
                  <w:b/>
                  <w:i/>
                  <w:sz w:val="20"/>
                  <w:lang w:eastAsia="lt-LT"/>
                </w:rPr>
                <w:t>2</w:t>
              </w:r>
              <w:r>
                <w:rPr>
                  <w:b/>
                  <w:i/>
                  <w:sz w:val="20"/>
                  <w:vertAlign w:val="superscript"/>
                  <w:lang w:eastAsia="lt-LT"/>
                </w:rPr>
                <w:t>1</w:t>
              </w:r>
              <w:r>
                <w:rPr>
                  <w:b/>
                  <w:sz w:val="22"/>
                  <w:szCs w:val="22"/>
                  <w:vertAlign w:val="superscript"/>
                  <w:lang w:eastAsia="lt-LT"/>
                </w:rPr>
                <w:t xml:space="preserve"> </w:t>
              </w:r>
              <w:r>
                <w:rPr>
                  <w:b/>
                  <w:i/>
                  <w:sz w:val="20"/>
                </w:rPr>
                <w:t>priedu įsigalioja kitą darbo dieną po to, kai Lietuvos bankas apie pirmąjį Lietuvos banko pagrindinei sandorio šaliai išduotą veiklos leidimą praneša Teisės aktų registro tvarkytojui.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w:tag w:val="part_55fc40a85bc3467f821af67c3027e100"/>
        <w:lock w:val="sdtLocked"/>
        <w:richText/>
      </w:sdtPr>
      <w:sdtContent>
        <w:p>
          <w:pPr>
            <w:ind w:firstLine="6804"/>
            <w:sectPr>
              <w:pgSz w:w="11907" w:h="16840" w:code="9"/>
              <w:pgMar w:top="1134" w:right="851" w:bottom="1134" w:left="1701" w:header="709" w:footer="709" w:gutter="0"/>
              <w:pgNumType w:start="1"/>
              <w:cols w:space="1296"/>
              <w:titlePg/>
            </w:sectPr>
          </w:pPr>
        </w:p>
        <w:p>
          <w:pPr>
            <w:ind w:firstLine="6804"/>
            <w:rPr>
              <w:rFonts w:eastAsia="Calibri"/>
              <w:bCs/>
              <w:sz w:val="22"/>
              <w:szCs w:val="22"/>
            </w:rPr>
          </w:pPr>
          <w:r>
            <w:rPr>
              <w:rFonts w:eastAsia="Calibri"/>
              <w:bCs/>
              <w:sz w:val="22"/>
              <w:szCs w:val="22"/>
            </w:rPr>
            <w:t>Lietuvos Respublikos</w:t>
          </w:r>
        </w:p>
        <w:p>
          <w:pPr>
            <w:ind w:firstLine="6804"/>
            <w:rPr>
              <w:rFonts w:eastAsia="Calibri"/>
              <w:bCs/>
              <w:sz w:val="22"/>
              <w:szCs w:val="22"/>
            </w:rPr>
          </w:pPr>
          <w:r>
            <w:rPr>
              <w:rFonts w:eastAsia="Calibri"/>
              <w:bCs/>
              <w:sz w:val="22"/>
              <w:szCs w:val="22"/>
            </w:rPr>
            <w:t>Lietuvos banko įstatymo</w:t>
          </w:r>
        </w:p>
        <w:p>
          <w:pPr>
            <w:ind w:firstLine="6804"/>
            <w:rPr>
              <w:rFonts w:eastAsia="Calibri"/>
              <w:bCs/>
              <w:sz w:val="22"/>
              <w:szCs w:val="22"/>
            </w:rPr>
          </w:pPr>
          <w:sdt>
            <w:sdtPr>
              <w:alias w:val="Numeris"/>
              <w:tag w:val="nr_55fc40a85bc3467f821af67c3027e100"/>
              <w:lock w:val="sdtLocked"/>
              <w:richText/>
            </w:sdtPr>
            <w:sdtContent>
              <w:r>
                <w:rPr>
                  <w:rFonts w:eastAsia="Calibri"/>
                  <w:bCs/>
                  <w:sz w:val="22"/>
                  <w:szCs w:val="22"/>
                </w:rPr>
                <w:t>3</w:t>
              </w:r>
            </w:sdtContent>
          </w:sdt>
          <w:r>
            <w:rPr>
              <w:rFonts w:eastAsia="Calibri"/>
              <w:bCs/>
              <w:sz w:val="22"/>
              <w:szCs w:val="22"/>
            </w:rPr>
            <w:t xml:space="preserve"> priedas</w:t>
          </w:r>
        </w:p>
        <w:p>
          <w:pPr>
            <w:ind w:firstLine="720"/>
            <w:jc w:val="both"/>
            <w:rPr>
              <w:rFonts w:eastAsia="Calibri"/>
              <w:bCs/>
              <w:sz w:val="22"/>
              <w:szCs w:val="22"/>
            </w:rPr>
          </w:pPr>
        </w:p>
        <w:p>
          <w:pPr>
            <w:jc w:val="center"/>
            <w:rPr>
              <w:rFonts w:eastAsia="Calibri"/>
              <w:b/>
              <w:bCs/>
              <w:sz w:val="22"/>
              <w:szCs w:val="22"/>
            </w:rPr>
          </w:pPr>
          <w:sdt>
            <w:sdtPr>
              <w:alias w:val="Pavadinimas"/>
              <w:tag w:val="title_55fc40a85bc3467f821af67c3027e100"/>
              <w:lock w:val="sdtLocked"/>
              <w:richText/>
            </w:sdtPr>
            <w:sdtContent>
              <w:r>
                <w:rPr>
                  <w:rFonts w:eastAsia="Calibri"/>
                  <w:b/>
                  <w:bCs/>
                  <w:sz w:val="22"/>
                  <w:szCs w:val="22"/>
                </w:rPr>
                <w:t>ĮGYVENDINAMI EUROPOS SĄJUNGOS TEISĖS AKTAI</w:t>
              </w:r>
            </w:sdtContent>
          </w:sdt>
        </w:p>
        <w:p>
          <w:pPr>
            <w:ind w:firstLine="720"/>
            <w:jc w:val="both"/>
            <w:rPr>
              <w:rFonts w:eastAsia="Calibri"/>
              <w:bCs/>
              <w:sz w:val="22"/>
              <w:szCs w:val="22"/>
            </w:rPr>
          </w:pPr>
        </w:p>
        <w:sdt>
          <w:sdtPr>
            <w:alias w:val="3 pr. 1 p."/>
            <w:tag w:val="part_70987c694c624ee9ac94c9ccd66fcbf9"/>
            <w:lock w:val="sdtLocked"/>
            <w:richText/>
          </w:sdtPr>
          <w:sdtContent>
            <w:p>
              <w:pPr>
                <w:ind w:firstLine="720"/>
                <w:jc w:val="both"/>
                <w:rPr>
                  <w:rFonts w:eastAsia="Calibri"/>
                  <w:sz w:val="22"/>
                  <w:szCs w:val="22"/>
                </w:rPr>
              </w:pPr>
              <w:sdt>
                <w:sdtPr>
                  <w:alias w:val="Numeris"/>
                  <w:tag w:val="nr_70987c694c624ee9ac94c9ccd66fcbf9"/>
                  <w:lock w:val="sdtLocked"/>
                  <w:richText/>
                </w:sdtPr>
                <w:sdtContent>
                  <w:r>
                    <w:rPr>
                      <w:rFonts w:eastAsia="Calibri"/>
                      <w:sz w:val="22"/>
                      <w:szCs w:val="22"/>
                    </w:rPr>
                    <w:t>1</w:t>
                  </w:r>
                </w:sdtContent>
              </w:sdt>
              <w:r>
                <w:rPr>
                  <w:rFonts w:eastAsia="Calibri"/>
                  <w:sz w:val="22"/>
                  <w:szCs w:val="22"/>
                </w:rPr>
                <w:t>. 1957 m. kovo 25 d. Europos Bendrijos steigimo sutartis su paskutiniais pakeitimais, padarytais 2007 m. gruodžio 17 d. Lisabonos sutartimi.</w:t>
              </w:r>
            </w:p>
          </w:sdtContent>
        </w:sdt>
        <w:sdt>
          <w:sdtPr>
            <w:alias w:val="3 pr. 2 p."/>
            <w:tag w:val="part_36d3702d224045e282a731450f64c30c"/>
            <w:lock w:val="sdtLocked"/>
            <w:richText/>
          </w:sdtPr>
          <w:sdtContent>
            <w:p>
              <w:pPr>
                <w:ind w:firstLine="720"/>
                <w:jc w:val="both"/>
                <w:rPr>
                  <w:rFonts w:eastAsia="Calibri"/>
                  <w:sz w:val="22"/>
                  <w:szCs w:val="22"/>
                </w:rPr>
              </w:pPr>
              <w:sdt>
                <w:sdtPr>
                  <w:alias w:val="Numeris"/>
                  <w:tag w:val="nr_36d3702d224045e282a731450f64c30c"/>
                  <w:lock w:val="sdtLocked"/>
                  <w:richText/>
                </w:sdtPr>
                <w:sdtContent>
                  <w:r>
                    <w:rPr>
                      <w:rFonts w:eastAsia="Calibri"/>
                      <w:sz w:val="22"/>
                      <w:szCs w:val="22"/>
                    </w:rPr>
                    <w:t>2</w:t>
                  </w:r>
                </w:sdtContent>
              </w:sdt>
              <w:r>
                <w:rPr>
                  <w:rFonts w:eastAsia="Calibri"/>
                  <w:sz w:val="22"/>
                  <w:szCs w:val="22"/>
                </w:rPr>
                <w:t>. 1992 m. vasario 7 d. Europos Bendrijos steigimo sutarties Protokolas Nr. 18 dėl Europos centrinių bankų sistemos ir Europos centrinio banko statuto su paskutiniais pakeitimais, padarytais 2007 m. gruodžio 17 d. Lisabonos sutartimi.</w:t>
              </w:r>
            </w:p>
          </w:sdtContent>
        </w:sdt>
        <w:sdt>
          <w:sdtPr>
            <w:alias w:val="3 pr. 3 p."/>
            <w:tag w:val="part_5b3f11652adc4e4989c84502ec4d182d"/>
            <w:lock w:val="sdtLocked"/>
            <w:richText/>
          </w:sdtPr>
          <w:sdtContent>
            <w:p>
              <w:pPr>
                <w:ind w:firstLine="720"/>
                <w:jc w:val="both"/>
                <w:rPr>
                  <w:rFonts w:eastAsia="Calibri"/>
                  <w:sz w:val="22"/>
                  <w:szCs w:val="22"/>
                </w:rPr>
              </w:pPr>
              <w:sdt>
                <w:sdtPr>
                  <w:alias w:val="Numeris"/>
                  <w:tag w:val="nr_5b3f11652adc4e4989c84502ec4d182d"/>
                  <w:lock w:val="sdtLocked"/>
                  <w:richText/>
                </w:sdtPr>
                <w:sdtContent>
                  <w:r>
                    <w:rPr>
                      <w:rFonts w:eastAsia="Calibri"/>
                      <w:sz w:val="22"/>
                      <w:szCs w:val="22"/>
                    </w:rPr>
                    <w:t>3</w:t>
                  </w:r>
                </w:sdtContent>
              </w:sdt>
              <w:r>
                <w:rPr>
                  <w:rFonts w:eastAsia="Calibri"/>
                  <w:sz w:val="22"/>
                  <w:szCs w:val="22"/>
                </w:rPr>
                <w:t>. 1993 m. gruodžio 13 d. Tarybos reglamentas (EB) Nr. 3603/93, nustatantis apibrėžimus, susijusius su Sutarties 104 ir 104b (1) straipsniuose numatytų uždraudimų taikymu.</w:t>
              </w:r>
            </w:p>
          </w:sdtContent>
        </w:sdt>
        <w:sdt>
          <w:sdtPr>
            <w:alias w:val="3 pr. 4 p."/>
            <w:tag w:val="part_0818cc62e5e74edab29d17f422ecb8ce"/>
            <w:lock w:val="sdtLocked"/>
            <w:richText/>
          </w:sdtPr>
          <w:sdtContent>
            <w:p>
              <w:pPr>
                <w:ind w:firstLine="720"/>
                <w:jc w:val="both"/>
                <w:rPr>
                  <w:rFonts w:eastAsia="Calibri"/>
                  <w:sz w:val="22"/>
                  <w:szCs w:val="22"/>
                </w:rPr>
              </w:pPr>
              <w:sdt>
                <w:sdtPr>
                  <w:alias w:val="Numeris"/>
                  <w:tag w:val="nr_0818cc62e5e74edab29d17f422ecb8ce"/>
                  <w:lock w:val="sdtLocked"/>
                  <w:richText/>
                </w:sdtPr>
                <w:sdtContent>
                  <w:r>
                    <w:rPr>
                      <w:rFonts w:eastAsia="Calibri"/>
                      <w:sz w:val="22"/>
                      <w:szCs w:val="22"/>
                    </w:rPr>
                    <w:t>4</w:t>
                  </w:r>
                </w:sdtContent>
              </w:sdt>
              <w:r>
                <w:rPr>
                  <w:rFonts w:eastAsia="Calibri"/>
                  <w:sz w:val="22"/>
                  <w:szCs w:val="22"/>
                </w:rPr>
                <w:t>. 1993 m. gruodžio 13 d. Tarybos reglamentas (EB) Nr. 3604/93, nustatantis apibrėžimus, susijusius su Sutarties 104a straipsnyje numatytos privilegijos naudotis finansų įstaigomis uždraudimo taikymu.</w:t>
              </w:r>
            </w:p>
          </w:sdtContent>
        </w:sdt>
        <w:sdt>
          <w:sdtPr>
            <w:alias w:val="3 pr. 5 p."/>
            <w:tag w:val="part_2ab6f2508efc46b191e69921ff6dc348"/>
            <w:lock w:val="sdtLocked"/>
            <w:richText/>
          </w:sdtPr>
          <w:sdtContent>
            <w:p>
              <w:pPr>
                <w:ind w:firstLine="720"/>
                <w:jc w:val="both"/>
                <w:rPr>
                  <w:rFonts w:eastAsia="Calibri"/>
                  <w:sz w:val="22"/>
                  <w:szCs w:val="22"/>
                </w:rPr>
              </w:pPr>
              <w:sdt>
                <w:sdtPr>
                  <w:alias w:val="Numeris"/>
                  <w:tag w:val="nr_2ab6f2508efc46b191e69921ff6dc348"/>
                  <w:lock w:val="sdtLocked"/>
                  <w:richText/>
                </w:sdtPr>
                <w:sdtContent>
                  <w:r>
                    <w:rPr>
                      <w:rFonts w:eastAsia="Calibri"/>
                      <w:sz w:val="22"/>
                      <w:szCs w:val="22"/>
                    </w:rPr>
                    <w:t>5</w:t>
                  </w:r>
                </w:sdtContent>
              </w:sdt>
              <w:r>
                <w:rPr>
                  <w:rFonts w:eastAsia="Calibri"/>
                  <w:sz w:val="22"/>
                  <w:szCs w:val="22"/>
                </w:rPr>
                <w:t>. 2001 m. birželio 28 d. Tarybos reglamentas (EB) Nr. 1338/2001, nustatantis priemones, būtinas euro apsaugai nuo padirbinėjimo, su paskutiniais pakeitimais, padarytais 2008 m. gruodžio 18 d. Tarybos reglamentu (EB) Nr. 44/2009.</w:t>
              </w:r>
            </w:p>
          </w:sdtContent>
        </w:sdt>
        <w:sdt>
          <w:sdtPr>
            <w:alias w:val="3 pr. 6 p."/>
            <w:tag w:val="part_37bae73f121f4b2c99b9e985bd6bb963"/>
            <w:lock w:val="sdtLocked"/>
            <w:richText/>
          </w:sdtPr>
          <w:sdtContent>
            <w:p>
              <w:pPr>
                <w:ind w:firstLine="720"/>
                <w:jc w:val="both"/>
                <w:rPr>
                  <w:rFonts w:eastAsia="Calibri"/>
                  <w:sz w:val="22"/>
                  <w:szCs w:val="22"/>
                </w:rPr>
              </w:pPr>
              <w:sdt>
                <w:sdtPr>
                  <w:alias w:val="Numeris"/>
                  <w:tag w:val="nr_37bae73f121f4b2c99b9e985bd6bb963"/>
                  <w:lock w:val="sdtLocked"/>
                  <w:richText/>
                </w:sdtPr>
                <w:sdtContent>
                  <w:r>
                    <w:rPr>
                      <w:rFonts w:eastAsia="Calibri"/>
                      <w:sz w:val="22"/>
                      <w:szCs w:val="22"/>
                    </w:rPr>
                    <w:t>6</w:t>
                  </w:r>
                </w:sdtContent>
              </w:sdt>
              <w:r>
                <w:rPr>
                  <w:rFonts w:eastAsia="Calibri"/>
                  <w:sz w:val="22"/>
                  <w:szCs w:val="22"/>
                </w:rPr>
                <w:t>. 2001 m. birželio 28 d. Tarybos reglamentas (EB) Nr. 1339/2001, išplečiantis Reglamento (EB) Nr. 1338/2001, nustatančio priemones, būtinas euro apsaugai nuo padirbinėjimo, veikimą toms valstybėms narėms, kurios nėra priėmusios euro kaip savo bendros valiutos, su paskutiniais pakeitimais, padarytais 2008 m. gruodžio 18 d. Tarybos reglamentu (EB) Nr. 45/2009.</w:t>
              </w:r>
            </w:p>
          </w:sdtContent>
        </w:sdt>
        <w:sdt>
          <w:sdtPr>
            <w:alias w:val="3 pr. 7 p."/>
            <w:tag w:val="part_c65b95d7ce40424095d9a3fb21027861"/>
            <w:lock w:val="sdtLocked"/>
            <w:richText/>
          </w:sdtPr>
          <w:sdtContent>
            <w:p>
              <w:pPr>
                <w:ind w:firstLine="720"/>
                <w:jc w:val="both"/>
                <w:rPr>
                  <w:rFonts w:eastAsia="Calibri"/>
                  <w:sz w:val="22"/>
                  <w:szCs w:val="22"/>
                </w:rPr>
              </w:pPr>
              <w:sdt>
                <w:sdtPr>
                  <w:alias w:val="Numeris"/>
                  <w:tag w:val="nr_c65b95d7ce40424095d9a3fb21027861"/>
                  <w:lock w:val="sdtLocked"/>
                  <w:richText/>
                </w:sdtPr>
                <w:sdtContent>
                  <w:r>
                    <w:rPr>
                      <w:rFonts w:eastAsia="Calibri"/>
                      <w:sz w:val="22"/>
                      <w:szCs w:val="22"/>
                    </w:rPr>
                    <w:t>7</w:t>
                  </w:r>
                </w:sdtContent>
              </w:sdt>
              <w:r>
                <w:rPr>
                  <w:rFonts w:eastAsia="Calibri"/>
                  <w:sz w:val="22"/>
                  <w:szCs w:val="22"/>
                </w:rPr>
                <w:t>. 2002 m. birželio 6 d. Europos Parlamento ir Tarybos direktyva 2002/47/EB dėl susitarimų dėl finansinio įkaito su paskutiniais pakeitimais, padarytais 2014 m. gegužės 15 d. Europos Parlamento ir Tarybos direktyva 2014/59/ES.</w:t>
              </w:r>
            </w:p>
          </w:sdtContent>
        </w:sdt>
        <w:sdt>
          <w:sdtPr>
            <w:alias w:val="3 pr. 8 p."/>
            <w:tag w:val="part_fd88f81f375a495d8f7b92cbe943dbc1"/>
            <w:lock w:val="sdtLocked"/>
            <w:richText/>
          </w:sdtPr>
          <w:sdtContent>
            <w:p>
              <w:pPr>
                <w:ind w:firstLine="720"/>
                <w:jc w:val="both"/>
                <w:rPr>
                  <w:rFonts w:eastAsia="Calibri"/>
                  <w:sz w:val="22"/>
                  <w:szCs w:val="22"/>
                </w:rPr>
              </w:pPr>
              <w:sdt>
                <w:sdtPr>
                  <w:alias w:val="Numeris"/>
                  <w:tag w:val="nr_fd88f81f375a495d8f7b92cbe943dbc1"/>
                  <w:lock w:val="sdtLocked"/>
                  <w:richText/>
                </w:sdtPr>
                <w:sdtContent>
                  <w:r>
                    <w:rPr>
                      <w:rFonts w:eastAsia="Calibri"/>
                      <w:sz w:val="22"/>
                      <w:szCs w:val="22"/>
                    </w:rPr>
                    <w:t>8</w:t>
                  </w:r>
                </w:sdtContent>
              </w:sdt>
              <w:r>
                <w:rPr>
                  <w:rFonts w:eastAsia="Calibri"/>
                  <w:sz w:val="22"/>
                  <w:szCs w:val="22"/>
                </w:rPr>
                <w:t xml:space="preserve">. 2009 m. rugsėjo 16 d. Europos Parlamento ir Tarybos reglamentas (EB) Nr. 1060/2009 dėl kredito reitingų agentūrų su paskutiniais pakeitimais, padarytais 2017 m. gruodžio 12 d. Europos Parlamento ir Tarybos reglamentu (ES) 2017/2402. </w:t>
              </w:r>
            </w:p>
          </w:sdtContent>
        </w:sdt>
        <w:sdt>
          <w:sdtPr>
            <w:alias w:val="3 pr. 9 p."/>
            <w:tag w:val="part_3fbb60b8d4e64e5f9171a94e00c00f88"/>
            <w:lock w:val="sdtLocked"/>
            <w:richText/>
          </w:sdtPr>
          <w:sdtContent>
            <w:p>
              <w:pPr>
                <w:ind w:firstLine="720"/>
                <w:jc w:val="both"/>
                <w:rPr>
                  <w:rFonts w:eastAsia="Calibri"/>
                  <w:sz w:val="22"/>
                  <w:szCs w:val="22"/>
                </w:rPr>
              </w:pPr>
              <w:sdt>
                <w:sdtPr>
                  <w:alias w:val="Numeris"/>
                  <w:tag w:val="nr_3fbb60b8d4e64e5f9171a94e00c00f88"/>
                  <w:lock w:val="sdtLocked"/>
                  <w:richText/>
                </w:sdtPr>
                <w:sdtContent>
                  <w:r>
                    <w:rPr>
                      <w:rFonts w:eastAsia="Calibri"/>
                      <w:sz w:val="22"/>
                      <w:szCs w:val="22"/>
                    </w:rPr>
                    <w:t>9</w:t>
                  </w:r>
                </w:sdtContent>
              </w:sdt>
              <w:r>
                <w:rPr>
                  <w:rFonts w:eastAsia="Calibri"/>
                  <w:sz w:val="22"/>
                  <w:szCs w:val="22"/>
                </w:rPr>
                <w:t>. 2010 m. rugsėjo 16 d. Europos Centrinio Banko sprendimas ECB/2010/14 dėl eurų banknotų autentiškumo ir tinkamumo apyvartai tikrinimo bei pakartotinio išleidimo į apyvartą su paskutiniais pakeitimais, padarytais 2019 m. gruodžio 5 d. Europos Centrinio Banko sprendimu (ES) 2019/2195.</w:t>
              </w:r>
            </w:p>
          </w:sdtContent>
        </w:sdt>
        <w:sdt>
          <w:sdtPr>
            <w:alias w:val="3 pr. 10 p."/>
            <w:tag w:val="part_1c827cd8db7a4be785f2cdf127e0b6de"/>
            <w:lock w:val="sdtLocked"/>
            <w:richText/>
          </w:sdtPr>
          <w:sdtContent>
            <w:p>
              <w:pPr>
                <w:ind w:firstLine="720"/>
                <w:jc w:val="both"/>
                <w:rPr>
                  <w:rFonts w:eastAsia="Calibri"/>
                  <w:sz w:val="22"/>
                  <w:szCs w:val="22"/>
                </w:rPr>
              </w:pPr>
              <w:sdt>
                <w:sdtPr>
                  <w:alias w:val="Numeris"/>
                  <w:tag w:val="nr_1c827cd8db7a4be785f2cdf127e0b6de"/>
                  <w:lock w:val="sdtLocked"/>
                  <w:richText/>
                </w:sdtPr>
                <w:sdtContent>
                  <w:r>
                    <w:rPr>
                      <w:rFonts w:eastAsia="Calibri"/>
                      <w:sz w:val="22"/>
                      <w:szCs w:val="22"/>
                    </w:rPr>
                    <w:t>10</w:t>
                  </w:r>
                </w:sdtContent>
              </w:sdt>
              <w:r>
                <w:rPr>
                  <w:rFonts w:eastAsia="Calibri"/>
                  <w:sz w:val="22"/>
                  <w:szCs w:val="22"/>
                </w:rPr>
                <w:t>. 2010 m. gruodžio 15 d. Europos Parlamento ir Tarybos reglamentas (ES) Nr. 1210/2010 dėl euro monetų autentiškumo tikrinimo ir apyvartai netinkamų euro monetų tvarkymo.</w:t>
              </w:r>
            </w:p>
          </w:sdtContent>
        </w:sdt>
        <w:sdt>
          <w:sdtPr>
            <w:alias w:val="3 pr. 11 p."/>
            <w:tag w:val="part_ce03f78e8037424485d0da48b93f89bf"/>
            <w:lock w:val="sdtLocked"/>
            <w:richText/>
          </w:sdtPr>
          <w:sdtContent>
            <w:p>
              <w:pPr>
                <w:ind w:firstLine="720"/>
                <w:jc w:val="both"/>
                <w:rPr>
                  <w:rFonts w:eastAsia="Calibri"/>
                  <w:sz w:val="22"/>
                  <w:szCs w:val="22"/>
                </w:rPr>
              </w:pPr>
              <w:sdt>
                <w:sdtPr>
                  <w:alias w:val="Numeris"/>
                  <w:tag w:val="nr_ce03f78e8037424485d0da48b93f89bf"/>
                  <w:lock w:val="sdtLocked"/>
                  <w:richText/>
                </w:sdtPr>
                <w:sdtContent>
                  <w:r>
                    <w:rPr>
                      <w:rFonts w:eastAsia="Calibri"/>
                      <w:sz w:val="22"/>
                      <w:szCs w:val="22"/>
                    </w:rPr>
                    <w:t>11</w:t>
                  </w:r>
                </w:sdtContent>
              </w:sdt>
              <w:r>
                <w:rPr>
                  <w:rFonts w:eastAsia="Calibri"/>
                  <w:sz w:val="22"/>
                  <w:szCs w:val="22"/>
                </w:rPr>
                <w:t xml:space="preserve">. 2011 m. gruodžio 22 d. Europos sisteminės rizikos valdybos rekomendacija ESRV/2011/3 dėl nacionalinių institucijų įgaliojimų makrolygio rizikos ribojimo srityje. </w:t>
              </w:r>
            </w:p>
          </w:sdtContent>
        </w:sdt>
        <w:sdt>
          <w:sdtPr>
            <w:alias w:val="3 pr. 12 p."/>
            <w:tag w:val="part_861738b7eb7a47cd82ce912bef48a4f8"/>
            <w:lock w:val="sdtLocked"/>
            <w:richText/>
          </w:sdtPr>
          <w:sdtContent>
            <w:p>
              <w:pPr>
                <w:tabs>
                  <w:tab w:val="left" w:pos="13608"/>
                </w:tabs>
                <w:ind w:firstLine="720"/>
                <w:jc w:val="both"/>
                <w:rPr>
                  <w:rFonts w:eastAsia="Calibri"/>
                  <w:sz w:val="22"/>
                  <w:szCs w:val="22"/>
                </w:rPr>
              </w:pPr>
              <w:sdt>
                <w:sdtPr>
                  <w:alias w:val="Numeris"/>
                  <w:tag w:val="nr_861738b7eb7a47cd82ce912bef48a4f8"/>
                  <w:lock w:val="sdtLocked"/>
                  <w:richText/>
                </w:sdtPr>
                <w:sdtContent>
                  <w:r>
                    <w:rPr>
                      <w:sz w:val="22"/>
                      <w:szCs w:val="22"/>
                    </w:rPr>
                    <w:t>12</w:t>
                  </w:r>
                </w:sdtContent>
              </w:sdt>
              <w:r>
                <w:rPr>
                  <w:sz w:val="22"/>
                  <w:szCs w:val="22"/>
                </w:rPr>
                <w:t xml:space="preserve">. 2013 m. birželio 26 d. Europos Parlamento ir Tarybos direktyva </w:t>
              </w:r>
              <w:hyperlink r:id="rId164" w:tgtFrame="_blank" w:history="1">
                <w:r>
                  <w:rPr>
                    <w:color w:val="0000FF" w:themeColor="hyperlink"/>
                    <w:sz w:val="22"/>
                    <w:szCs w:val="22"/>
                    <w:u w:val="single"/>
                  </w:rPr>
                  <w:t>2013/36/ES</w:t>
                </w:r>
              </w:hyperlink>
              <w:r>
                <w:rPr>
                  <w:sz w:val="22"/>
                  <w:szCs w:val="22"/>
                </w:rPr>
                <w:t xml:space="preserve"> dėl galimybės verstis kredito įstaigų veikla ir dėl riziką ribojančios kredito įstaigų ir investicinių įmonių priežiūros, kuria iš dalies keičiama Direktyva </w:t>
              </w:r>
              <w:hyperlink r:id="rId165" w:tgtFrame="_blank" w:history="1">
                <w:r>
                  <w:rPr>
                    <w:color w:val="0000FF" w:themeColor="hyperlink"/>
                    <w:sz w:val="22"/>
                    <w:szCs w:val="22"/>
                    <w:u w:val="single"/>
                  </w:rPr>
                  <w:t>2002/87/EB</w:t>
                </w:r>
              </w:hyperlink>
              <w:r>
                <w:rPr>
                  <w:sz w:val="22"/>
                  <w:szCs w:val="22"/>
                </w:rPr>
                <w:t xml:space="preserve"> ir panaikinamos direktyvos </w:t>
              </w:r>
              <w:hyperlink r:id="rId166" w:tgtFrame="_blank" w:history="1">
                <w:r>
                  <w:rPr>
                    <w:color w:val="0000FF" w:themeColor="hyperlink"/>
                    <w:sz w:val="22"/>
                    <w:szCs w:val="22"/>
                    <w:u w:val="single"/>
                  </w:rPr>
                  <w:t>2006/48/EB</w:t>
                </w:r>
              </w:hyperlink>
              <w:r>
                <w:rPr>
                  <w:sz w:val="22"/>
                  <w:szCs w:val="22"/>
                </w:rPr>
                <w:t xml:space="preserve"> bei </w:t>
              </w:r>
              <w:hyperlink r:id="rId167" w:tgtFrame="_blank" w:history="1">
                <w:r>
                  <w:rPr>
                    <w:color w:val="0000FF" w:themeColor="hyperlink"/>
                    <w:sz w:val="22"/>
                    <w:szCs w:val="22"/>
                    <w:u w:val="single"/>
                  </w:rPr>
                  <w:t>2006/49/EB</w:t>
                </w:r>
              </w:hyperlink>
              <w:r>
                <w:rPr>
                  <w:sz w:val="22"/>
                  <w:szCs w:val="22"/>
                </w:rPr>
                <w:t xml:space="preserve">, su paskutiniais pakeitimais, padarytais 2023 m. gegužės 31 d. Europos Parlamento ir Tarybos reglamentu </w:t>
              </w:r>
              <w:hyperlink r:id="rId168" w:tgtFrame="_blank" w:history="1">
                <w:r>
                  <w:rPr>
                    <w:color w:val="0000FF" w:themeColor="hyperlink"/>
                    <w:sz w:val="22"/>
                    <w:szCs w:val="22"/>
                    <w:u w:val="single"/>
                  </w:rPr>
                  <w:t>(ES) 2023/1114</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13 p."/>
            <w:tag w:val="part_594f0486d22e4695b90cbfa18f4ad5c3"/>
            <w:lock w:val="sdtLocked"/>
            <w:richText/>
          </w:sdtPr>
          <w:sdtContent>
            <w:p>
              <w:pPr>
                <w:ind w:firstLine="720"/>
                <w:jc w:val="both"/>
                <w:rPr>
                  <w:rFonts w:eastAsia="Calibri"/>
                  <w:sz w:val="22"/>
                  <w:szCs w:val="22"/>
                </w:rPr>
              </w:pPr>
              <w:sdt>
                <w:sdtPr>
                  <w:alias w:val="Numeris"/>
                  <w:tag w:val="nr_594f0486d22e4695b90cbfa18f4ad5c3"/>
                  <w:lock w:val="sdtLocked"/>
                  <w:richText/>
                </w:sdtPr>
                <w:sdtContent>
                  <w:r>
                    <w:rPr>
                      <w:rFonts w:eastAsia="Calibri"/>
                      <w:sz w:val="22"/>
                      <w:szCs w:val="22"/>
                    </w:rPr>
                    <w:t>1</w:t>
                  </w:r>
                  <w:r>
                    <w:rPr>
                      <w:rFonts w:eastAsia="Calibri"/>
                      <w:bCs/>
                      <w:sz w:val="22"/>
                      <w:szCs w:val="22"/>
                    </w:rPr>
                    <w:t>3</w:t>
                  </w:r>
                </w:sdtContent>
              </w:sdt>
              <w:r>
                <w:rPr>
                  <w:rFonts w:eastAsia="Calibri"/>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su paskutiniais pakeitimais, padarytais 2019 m. gegužės 20 d. Europos Parlamento ir Tarybos direktyva (ES) 2019/879.</w:t>
              </w:r>
            </w:p>
          </w:sdtContent>
        </w:sdt>
        <w:sdt>
          <w:sdtPr>
            <w:alias w:val="3 pr. 14 p."/>
            <w:tag w:val="part_7091d0a9a5e34355b887b6a0c39d13b2"/>
            <w:lock w:val="sdtLocked"/>
            <w:richText/>
          </w:sdtPr>
          <w:sdtContent>
            <w:p>
              <w:pPr>
                <w:ind w:firstLine="720"/>
                <w:jc w:val="both"/>
                <w:rPr>
                  <w:rFonts w:eastAsia="Calibri"/>
                  <w:sz w:val="22"/>
                  <w:szCs w:val="22"/>
                </w:rPr>
              </w:pPr>
              <w:sdt>
                <w:sdtPr>
                  <w:alias w:val="Numeris"/>
                  <w:tag w:val="nr_7091d0a9a5e34355b887b6a0c39d13b2"/>
                  <w:lock w:val="sdtLocked"/>
                  <w:richText/>
                </w:sdtPr>
                <w:sdtContent>
                  <w:r>
                    <w:rPr>
                      <w:rFonts w:eastAsia="Calibri"/>
                      <w:sz w:val="22"/>
                      <w:szCs w:val="22"/>
                    </w:rPr>
                    <w:t>1</w:t>
                  </w:r>
                  <w:r>
                    <w:rPr>
                      <w:rFonts w:eastAsia="Calibri"/>
                      <w:bCs/>
                      <w:sz w:val="22"/>
                      <w:szCs w:val="22"/>
                    </w:rPr>
                    <w:t>4</w:t>
                  </w:r>
                </w:sdtContent>
              </w:sdt>
              <w:r>
                <w:rPr>
                  <w:rFonts w:eastAsia="Calibri"/>
                  <w:sz w:val="22"/>
                  <w:szCs w:val="22"/>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3 pr. 15 p."/>
            <w:tag w:val="part_754abe21ccb8446da646986875408689"/>
            <w:lock w:val="sdtLocked"/>
            <w:richText/>
          </w:sdtPr>
          <w:sdtContent>
            <w:p>
              <w:pPr>
                <w:ind w:firstLine="720"/>
                <w:jc w:val="both"/>
                <w:rPr>
                  <w:rFonts w:eastAsia="Calibri"/>
                  <w:sz w:val="22"/>
                  <w:szCs w:val="22"/>
                </w:rPr>
              </w:pPr>
              <w:sdt>
                <w:sdtPr>
                  <w:alias w:val="Numeris"/>
                  <w:tag w:val="nr_754abe21ccb8446da646986875408689"/>
                  <w:lock w:val="sdtLocked"/>
                  <w:richText/>
                </w:sdtPr>
                <w:sdtContent>
                  <w:r>
                    <w:rPr>
                      <w:rFonts w:eastAsia="Calibri"/>
                      <w:sz w:val="22"/>
                      <w:szCs w:val="22"/>
                    </w:rPr>
                    <w:t>1</w:t>
                  </w:r>
                  <w:r>
                    <w:rPr>
                      <w:rFonts w:eastAsia="Calibri"/>
                      <w:bCs/>
                      <w:sz w:val="22"/>
                      <w:szCs w:val="22"/>
                    </w:rPr>
                    <w:t>5</w:t>
                  </w:r>
                </w:sdtContent>
              </w:sdt>
              <w:r>
                <w:rPr>
                  <w:rFonts w:eastAsia="Calibri"/>
                  <w:sz w:val="22"/>
                  <w:szCs w:val="22"/>
                </w:rPr>
                <w:t>. 2017 m. birželio 14 d. Europos Parlamento ir Tarybos reglamentas (ES) 2017/1129 dėl prospekto, kuris turi būti skelbiamas, kai vertybiniai popieriai siūlomi viešai arba įtraukiami į prekybos reguliuojamoje rinkoje sąrašą, ir kuriuo panaikinama Direktyva 2003/71/EB, su paskutiniais pakeitimais, padarytais 2021 m. vasario 16 d. Europos Parlamento ir Tarybos reglamentu (ES) 2021/337.</w:t>
              </w:r>
            </w:p>
          </w:sdtContent>
        </w:sdt>
        <w:sdt>
          <w:sdtPr>
            <w:alias w:val="3 pr. 16 p."/>
            <w:tag w:val="part_467b34dc44bf438d87ea0e13f1c61779"/>
            <w:lock w:val="sdtLocked"/>
            <w:richText/>
          </w:sdtPr>
          <w:sdtContent>
            <w:p>
              <w:pPr>
                <w:ind w:firstLine="720"/>
                <w:jc w:val="both"/>
                <w:rPr>
                  <w:rFonts w:eastAsia="Calibri"/>
                  <w:sz w:val="22"/>
                  <w:szCs w:val="22"/>
                </w:rPr>
              </w:pPr>
              <w:sdt>
                <w:sdtPr>
                  <w:alias w:val="Numeris"/>
                  <w:tag w:val="nr_467b34dc44bf438d87ea0e13f1c61779"/>
                  <w:lock w:val="sdtLocked"/>
                  <w:richText/>
                </w:sdtPr>
                <w:sdtContent>
                  <w:r>
                    <w:rPr>
                      <w:rFonts w:eastAsia="Calibri"/>
                      <w:sz w:val="22"/>
                      <w:szCs w:val="22"/>
                    </w:rPr>
                    <w:t>1</w:t>
                  </w:r>
                  <w:r>
                    <w:rPr>
                      <w:rFonts w:eastAsia="Calibri"/>
                      <w:bCs/>
                      <w:sz w:val="22"/>
                      <w:szCs w:val="22"/>
                    </w:rPr>
                    <w:t>6</w:t>
                  </w:r>
                </w:sdtContent>
              </w:sdt>
              <w:r>
                <w:rPr>
                  <w:rFonts w:eastAsia="Calibri"/>
                  <w:sz w:val="22"/>
                  <w:szCs w:val="22"/>
                </w:rPr>
                <w:t>. 2017 m. birželio 14 d. Europos Parlamento ir Tarybos reglamentas (ES) 2017/1131 dėl pinigų rinkos fondų.</w:t>
              </w:r>
            </w:p>
          </w:sdtContent>
        </w:sdt>
        <w:sdt>
          <w:sdtPr>
            <w:alias w:val="3 pr. 17 p."/>
            <w:tag w:val="part_e9ac311220264c669a630f2b67de19aa"/>
            <w:lock w:val="sdtLocked"/>
            <w:richText/>
          </w:sdtPr>
          <w:sdtContent>
            <w:p>
              <w:pPr>
                <w:ind w:firstLine="720"/>
                <w:jc w:val="both"/>
                <w:rPr>
                  <w:rFonts w:eastAsia="Calibri"/>
                  <w:sz w:val="22"/>
                  <w:szCs w:val="22"/>
                </w:rPr>
              </w:pPr>
              <w:sdt>
                <w:sdtPr>
                  <w:alias w:val="Numeris"/>
                  <w:tag w:val="nr_e9ac311220264c669a630f2b67de19aa"/>
                  <w:lock w:val="sdtLocked"/>
                  <w:richText/>
                </w:sdtPr>
                <w:sdtContent>
                  <w:r>
                    <w:rPr>
                      <w:rFonts w:eastAsia="Calibri"/>
                      <w:sz w:val="22"/>
                      <w:szCs w:val="22"/>
                    </w:rPr>
                    <w:t>17</w:t>
                  </w:r>
                </w:sdtContent>
              </w:sdt>
              <w:r>
                <w:rPr>
                  <w:rFonts w:eastAsia="Calibri"/>
                  <w:sz w:val="22"/>
                  <w:szCs w:val="22"/>
                </w:rPr>
                <w:t xml:space="preserve">. 2017 m. gruodžio 12 d. Europos Parlamento ir Tarybos reglamentas (ES) 2017/2394 dėl nacionalinių institucijų, atsakingų už vartotojų apsaugos teisės aktų vykdymo užtikrinimą, bendradarbiavimo, kuriuo panaikinamas Reglamentas (EB) Nr. 2006/2004, su paskutiniais pakeitimais, padarytais 2019 m. gegužės 20 d. Europos Parlamento ir Tarybos direktyva (ES) 2019/771. </w:t>
              </w:r>
            </w:p>
          </w:sdtContent>
        </w:sdt>
        <w:sdt>
          <w:sdtPr>
            <w:alias w:val="18 p."/>
            <w:tag w:val="part_e6dfc9f996ed4ef4b652787820f364d2"/>
            <w:lock w:val="sdtLocked"/>
            <w:richText/>
          </w:sdtPr>
          <w:sdtContent>
            <w:p>
              <w:pPr>
                <w:ind w:firstLine="720"/>
                <w:jc w:val="both"/>
                <w:rPr>
                  <w:rFonts w:eastAsia="Calibri"/>
                  <w:sz w:val="22"/>
                  <w:szCs w:val="22"/>
                </w:rPr>
              </w:pPr>
              <w:sdt>
                <w:sdtPr>
                  <w:alias w:val="Numeris"/>
                  <w:tag w:val="nr_e6dfc9f996ed4ef4b652787820f364d2"/>
                  <w:lock w:val="sdtLocked"/>
                  <w:richText/>
                </w:sdtPr>
                <w:sdtContent>
                  <w:r>
                    <w:rPr>
                      <w:bCs/>
                      <w:sz w:val="22"/>
                      <w:szCs w:val="22"/>
                    </w:rPr>
                    <w:t>18</w:t>
                  </w:r>
                </w:sdtContent>
              </w:sdt>
              <w:r>
                <w:rPr>
                  <w:bCs/>
                  <w:sz w:val="22"/>
                  <w:szCs w:val="22"/>
                </w:rPr>
                <w:t>.</w:t>
              </w:r>
              <w:r>
                <w:rPr>
                  <w:sz w:val="22"/>
                  <w:szCs w:val="22"/>
                </w:rPr>
                <w:t xml:space="preserve"> 2017 m. gruodžio 12 d. Europos Parlamento ir Tarybos reglamentas (ES) 2017/2402, kuriuo nustatoma bendroji pakeitimo vertybiniais popieriais sistema ir sukuriama specialioji paprasto, skaidraus ir standartizuoto pakeitimo vertybiniais popieriais sistema ir iš dalies keičiamos direktyvos 2009/65/EB, 2009/138/EB ir 2011/61/ES bei reglamentai (EB) Nr. 1060/2009 ir (ES) Nr. 648/2012, </w:t>
              </w:r>
              <w:r>
                <w:rPr>
                  <w:bCs/>
                  <w:sz w:val="22"/>
                  <w:szCs w:val="22"/>
                </w:rPr>
                <w:t>su paskutiniais pakeitimais, padarytais 2021 m. kovo 21 d. Europos Parlamento ir Tarybos reglamentu (ES) 2021/557.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3 pr. 19 p."/>
            <w:tag w:val="part_33a7abc0a5f04f29bf5cd1b1cd97d4a6"/>
            <w:lock w:val="sdtLocked"/>
            <w:richText/>
          </w:sdtPr>
          <w:sdtContent>
            <w:p>
              <w:pPr>
                <w:ind w:firstLine="720"/>
                <w:jc w:val="both"/>
                <w:rPr>
                  <w:i/>
                  <w:sz w:val="22"/>
                  <w:szCs w:val="22"/>
                </w:rPr>
              </w:pPr>
              <w:sdt>
                <w:sdtPr>
                  <w:alias w:val="Numeris"/>
                  <w:tag w:val="nr_33a7abc0a5f04f29bf5cd1b1cd97d4a6"/>
                  <w:lock w:val="sdtLocked"/>
                  <w:richText/>
                </w:sdtPr>
                <w:sdtContent>
                  <w:r>
                    <w:rPr>
                      <w:rFonts w:eastAsia="Calibri"/>
                      <w:sz w:val="22"/>
                      <w:szCs w:val="22"/>
                    </w:rPr>
                    <w:t>19</w:t>
                  </w:r>
                </w:sdtContent>
              </w:sdt>
              <w:r>
                <w:rPr>
                  <w:rFonts w:eastAsia="Calibri"/>
                  <w:sz w:val="22"/>
                  <w:szCs w:val="22"/>
                </w:rPr>
                <w:t>. 2018 m. gegužės 30 d. Europos Parlamento ir Tarybos direktyva (ES) 2018/843, kuria iš dalies keičiama Direktyva (ES) 2015/849 dėl finansų sistemos naudojimo pinigų plovimui ar teroristų finansavimui prevencijos ir iš dalies keičiamos direktyvos 2009/138/EB ir 2013/36/ES.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sdtContent>
        </w:sdt>
        <w:sdt>
          <w:sdtPr>
            <w:alias w:val="20 p."/>
            <w:tag w:val="part_c6d01a0c314b4c29a4c10e1858a6b04f"/>
            <w:lock w:val="sdtLocked"/>
            <w:richText/>
          </w:sdtPr>
          <w:sdtContent>
            <w:p>
              <w:pPr>
                <w:ind w:firstLine="720"/>
                <w:jc w:val="both"/>
                <w:rPr>
                  <w:i/>
                  <w:sz w:val="22"/>
                  <w:szCs w:val="22"/>
                </w:rPr>
              </w:pPr>
              <w:sdt>
                <w:sdtPr>
                  <w:alias w:val="Numeris"/>
                  <w:tag w:val="nr_c6d01a0c314b4c29a4c10e1858a6b04f"/>
                  <w:lock w:val="sdtLocked"/>
                  <w:richText/>
                </w:sdtPr>
                <w:sdtContent>
                  <w:r>
                    <w:rPr>
                      <w:bCs/>
                      <w:sz w:val="22"/>
                      <w:szCs w:val="22"/>
                      <w:lang w:eastAsia="lt-LT"/>
                    </w:rPr>
                    <w:t>20</w:t>
                  </w:r>
                </w:sdtContent>
              </w:sdt>
              <w:r>
                <w:rPr>
                  <w:bCs/>
                  <w:sz w:val="22"/>
                  <w:szCs w:val="22"/>
                  <w:lang w:eastAsia="lt-LT"/>
                </w:rPr>
                <w:t>. 2019 m. birželio 20 d. Europos Parlamento ir Tarybos reglamentas (ES) 2019/1238 dėl visos Europos asmeninės pensijos produkto (PEPP).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3 pr. 21 p."/>
            <w:tag w:val="part_23ad60893d464393a7510e0cea99ddf8"/>
            <w:lock w:val="sdtLocked"/>
            <w:richText/>
          </w:sdtPr>
          <w:sdtContent>
            <w:p>
              <w:pPr>
                <w:ind w:firstLine="720"/>
                <w:jc w:val="both"/>
              </w:pPr>
              <w:sdt>
                <w:sdtPr>
                  <w:alias w:val="Numeris"/>
                  <w:tag w:val="nr_23ad60893d464393a7510e0cea99ddf8"/>
                  <w:lock w:val="sdtLocked"/>
                  <w:richText/>
                </w:sdtPr>
                <w:sdtContent>
                  <w:r>
                    <w:rPr>
                      <w:bCs/>
                      <w:sz w:val="22"/>
                      <w:szCs w:val="22"/>
                    </w:rPr>
                    <w:t>21</w:t>
                  </w:r>
                </w:sdtContent>
              </w:sdt>
              <w:r>
                <w:rPr>
                  <w:bCs/>
                  <w:sz w:val="22"/>
                  <w:szCs w:val="22"/>
                </w:rPr>
                <w:t>. 2020 m. spalio 7 d. Europos Parlamento ir Tarybos reglamentas (ES) 2020/1503 dėl Europos sutelktinio finansavimo paslaugų verslui teikėjų, kuriuo iš dalies keičiamas Reglamentas (ES) 2017/1129 ir Direktyva (ES) 2019/1937, su paskutiniais pakeitimais, padarytais 2022 m. liepos 12 d. Komisijos deleguotuoju reglamentu (ES) 2022/1988.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47e240696e11eca9ac839120d251c4">
                <w:r w:rsidRPr="00532B9F">
                  <w:rPr>
                    <w:rFonts w:ascii="Times New Roman" w:eastAsia="MS Mincho" w:hAnsi="Times New Roman"/>
                    <w:sz w:val="20"/>
                    <w:i/>
                    <w:iCs/>
                    <w:color w:val="0000FF" w:themeColor="hyperlink"/>
                    <w:u w:val="single"/>
                  </w:rPr>
                  <w:t>XIV-822</w:t>
                </w:r>
              </w:fldSimple>
              <w:r>
                <w:rPr>
                  <w:rFonts w:ascii="Times New Roman" w:eastAsia="MS Mincho" w:hAnsi="Times New Roman"/>
                  <w:sz w:val="20"/>
                  <w:i/>
                  <w:iCs/>
                </w:rPr>
                <w:t>,
2021-12-23,
paskelbta TAR 2021-12-30, i. k. 2021-27713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036740603f11edbc04912defe897d1">
                <w:r w:rsidRPr="00532B9F">
                  <w:rPr>
                    <w:rFonts w:ascii="Times New Roman" w:eastAsia="MS Mincho" w:hAnsi="Times New Roman"/>
                    <w:sz w:val="20"/>
                    <w:i/>
                    <w:iCs/>
                    <w:color w:val="0000FF" w:themeColor="hyperlink"/>
                    <w:u w:val="single"/>
                  </w:rPr>
                  <w:t>XIV-1494</w:t>
                </w:r>
              </w:fldSimple>
              <w:r>
                <w:rPr>
                  <w:rFonts w:ascii="Times New Roman" w:eastAsia="MS Mincho" w:hAnsi="Times New Roman"/>
                  <w:sz w:val="20"/>
                  <w:i/>
                  <w:iCs/>
                </w:rPr>
                <w:t>,
2022-11-08,
paskelbta TAR 2022-11-09, i. k. 2022-22682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7a131002b111edb32c9f9d8ba206f8">
                <w:r w:rsidRPr="00532B9F">
                  <w:rPr>
                    <w:rFonts w:ascii="Times New Roman" w:eastAsia="MS Mincho" w:hAnsi="Times New Roman"/>
                    <w:sz w:val="20"/>
                    <w:i/>
                    <w:iCs/>
                    <w:color w:val="0000FF" w:themeColor="hyperlink"/>
                    <w:u w:val="single"/>
                  </w:rPr>
                  <w:t>XIV-1337</w:t>
                </w:r>
              </w:fldSimple>
              <w:r>
                <w:rPr>
                  <w:rFonts w:ascii="Times New Roman" w:eastAsia="MS Mincho" w:hAnsi="Times New Roman"/>
                  <w:sz w:val="20"/>
                  <w:i/>
                  <w:iCs/>
                </w:rPr>
                <w:t>,
2022-06-30,
paskelbta TAR 2022-07-13, i. k. 2022-15402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2 p."/>
            <w:tag w:val="part_1437f65e0b6a4fa59666bee6a2c28c23"/>
            <w:lock w:val="sdtLocked"/>
            <w:richText/>
          </w:sdtPr>
          <w:sdtContent>
            <w:p>
              <w:pPr>
                <w:ind w:firstLine="720"/>
                <w:jc w:val="both"/>
                <w:rPr>
                  <w:bCs/>
                  <w:sz w:val="22"/>
                  <w:szCs w:val="22"/>
                </w:rPr>
              </w:pPr>
              <w:sdt>
                <w:sdtPr>
                  <w:alias w:val="Numeris"/>
                  <w:tag w:val="nr_1437f65e0b6a4fa59666bee6a2c28c23"/>
                  <w:lock w:val="sdtLocked"/>
                  <w:richText/>
                </w:sdtPr>
                <w:sdtContent>
                  <w:r>
                    <w:rPr>
                      <w:bCs/>
                      <w:sz w:val="22"/>
                      <w:szCs w:val="22"/>
                      <w:lang w:eastAsia="lt-LT"/>
                    </w:rPr>
                    <w:t>22</w:t>
                  </w:r>
                </w:sdtContent>
              </w:sdt>
              <w:r>
                <w:rPr>
                  <w:bCs/>
                  <w:sz w:val="22"/>
                  <w:szCs w:val="22"/>
                  <w:lang w:eastAsia="lt-LT"/>
                </w:rPr>
                <w:t xml:space="preserve">. </w:t>
              </w:r>
              <w:r>
                <w:rPr>
                  <w:sz w:val="22"/>
                  <w:szCs w:val="22"/>
                  <w:lang w:eastAsia="lt-LT"/>
                </w:rPr>
                <w:t>2020 m. gruodžio 16 d. Europos Parlamento ir Tarybos reglamentas (ES) 2021/23 dėl pagrindinių sandorio šalių gaivinimo ir pertvarkymo sistemos, kuriuo iš dalies keičiami reglamentai (ES) Nr. 1095/2010, (ES) Nr. 648/2012, (ES) Nr. 600/2014, (ES) Nr. 806/2014 ir (ES) 2015/2365 ir direktyvos 2002/47/EB, 2004/25/EB, 2007/36/EB, 2014/59/ES ir (ES) 2017/1132.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abea05ea711edbc04912defe897d1">
                <w:r w:rsidRPr="00532B9F">
                  <w:rPr>
                    <w:rFonts w:ascii="Times New Roman" w:eastAsia="MS Mincho" w:hAnsi="Times New Roman"/>
                    <w:sz w:val="20"/>
                    <w:i/>
                    <w:iCs/>
                    <w:color w:val="0000FF" w:themeColor="hyperlink"/>
                    <w:u w:val="single"/>
                  </w:rPr>
                  <w:t>XIV-1452</w:t>
                </w:r>
              </w:fldSimple>
              <w:r>
                <w:rPr>
                  <w:rFonts w:ascii="Times New Roman" w:eastAsia="MS Mincho" w:hAnsi="Times New Roman"/>
                  <w:sz w:val="20"/>
                  <w:i/>
                  <w:iCs/>
                </w:rPr>
                <w:t>,
2022-10-27,
paskelbta TAR 2022-11-07, i. k. 2022-22563        </w:t>
              </w:r>
            </w:p>
            <w:p/>
          </w:sdtContent>
        </w:sdt>
        <w:sdt>
          <w:sdtPr>
            <w:alias w:val="23 d."/>
            <w:tag w:val="part_7510214f268e4864a5c1176cd5820c77"/>
            <w:lock w:val="sdtLocked"/>
            <w:richText/>
          </w:sdtPr>
          <w:sdtContent>
            <w:p>
              <w:pPr>
                <w:tabs>
                  <w:tab w:val="left" w:pos="13608"/>
                </w:tabs>
                <w:ind w:firstLine="720"/>
                <w:jc w:val="both"/>
                <w:rPr>
                  <w:bCs/>
                  <w:sz w:val="22"/>
                  <w:szCs w:val="22"/>
                </w:rPr>
              </w:pPr>
              <w:sdt>
                <w:sdtPr>
                  <w:alias w:val="Numeris"/>
                  <w:tag w:val="nr_7510214f268e4864a5c1176cd5820c77"/>
                  <w:lock w:val="sdtLocked"/>
                  <w:richText/>
                </w:sdtPr>
                <w:sdtContent>
                  <w:r>
                    <w:rPr>
                      <w:sz w:val="22"/>
                      <w:szCs w:val="22"/>
                    </w:rPr>
                    <w:t>23</w:t>
                  </w:r>
                </w:sdtContent>
              </w:sdt>
              <w:r>
                <w:rPr>
                  <w:sz w:val="22"/>
                  <w:szCs w:val="22"/>
                </w:rPr>
                <w:t xml:space="preserve">. 2021 m. lapkričio 24 d. Europos Parlamento ir Tarybos direktyva </w:t>
              </w:r>
              <w:hyperlink r:id="rId188" w:tgtFrame="_blank" w:history="1">
                <w:r>
                  <w:rPr>
                    <w:color w:val="0000FF" w:themeColor="hyperlink"/>
                    <w:sz w:val="22"/>
                    <w:szCs w:val="22"/>
                    <w:u w:val="single"/>
                  </w:rPr>
                  <w:t>(ES) 2021/2167</w:t>
                </w:r>
              </w:hyperlink>
              <w:r>
                <w:rPr>
                  <w:sz w:val="22"/>
                  <w:szCs w:val="22"/>
                </w:rPr>
                <w:t xml:space="preserve"> dėl kredito administratorių ir kredito pirkėjų, kuria iš dalies keičiamos direktyvos </w:t>
              </w:r>
              <w:hyperlink r:id="rId189" w:tgtFrame="_blank" w:history="1">
                <w:r>
                  <w:rPr>
                    <w:color w:val="0000FF" w:themeColor="hyperlink"/>
                    <w:sz w:val="22"/>
                    <w:szCs w:val="22"/>
                    <w:u w:val="single"/>
                  </w:rPr>
                  <w:t>2008/48/EB</w:t>
                </w:r>
              </w:hyperlink>
              <w:r>
                <w:rPr>
                  <w:sz w:val="22"/>
                  <w:szCs w:val="22"/>
                </w:rPr>
                <w:t xml:space="preserve"> ir </w:t>
              </w:r>
              <w:hyperlink r:id="rId190" w:tgtFrame="_blank" w:history="1">
                <w:r>
                  <w:rPr>
                    <w:color w:val="0000FF" w:themeColor="hyperlink"/>
                    <w:sz w:val="22"/>
                    <w:szCs w:val="22"/>
                    <w:u w:val="single"/>
                  </w:rPr>
                  <w:t>2014/17/ES</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sdt>
          <w:sdtPr>
            <w:alias w:val="3 pr. 24 d."/>
            <w:tag w:val="part_b598b9e9427447fda64bde6b2f8b468a"/>
            <w:lock w:val="sdtLocked"/>
            <w:richText/>
          </w:sdtPr>
          <w:sdtContent>
            <w:p>
              <w:pPr>
                <w:tabs>
                  <w:tab w:val="left" w:pos="13608"/>
                </w:tabs>
                <w:ind w:firstLine="720"/>
                <w:jc w:val="both"/>
                <w:rPr>
                  <w:bCs/>
                  <w:sz w:val="22"/>
                  <w:szCs w:val="22"/>
                </w:rPr>
              </w:pPr>
              <w:sdt>
                <w:sdtPr>
                  <w:alias w:val="Numeris"/>
                  <w:tag w:val="nr_b598b9e9427447fda64bde6b2f8b468a"/>
                  <w:lock w:val="sdtLocked"/>
                  <w:richText/>
                </w:sdtPr>
                <w:sdtContent>
                  <w:r>
                    <w:rPr>
                      <w:sz w:val="22"/>
                      <w:szCs w:val="22"/>
                    </w:rPr>
                    <w:t>24</w:t>
                  </w:r>
                </w:sdtContent>
              </w:sdt>
              <w:r>
                <w:rPr>
                  <w:sz w:val="22"/>
                  <w:szCs w:val="22"/>
                </w:rPr>
                <w:t xml:space="preserve">. 2023 m. gegužės 31 d. Europos Parlamento ir Tarybos reglamentas </w:t>
              </w:r>
              <w:hyperlink r:id="rId182" w:tgtFrame="_blank" w:history="1">
                <w:r>
                  <w:rPr>
                    <w:color w:val="0000FF" w:themeColor="hyperlink"/>
                    <w:sz w:val="22"/>
                    <w:szCs w:val="22"/>
                    <w:u w:val="single"/>
                  </w:rPr>
                  <w:t>(ES) 2023/1114</w:t>
                </w:r>
              </w:hyperlink>
              <w:r>
                <w:rPr>
                  <w:sz w:val="22"/>
                  <w:szCs w:val="22"/>
                </w:rPr>
                <w:t xml:space="preserve"> dėl kriptoturto rinkų, kuriuo iš dalies keičiami reglamentai </w:t>
              </w:r>
              <w:hyperlink r:id="rId183" w:tgtFrame="_blank" w:history="1">
                <w:r>
                  <w:rPr>
                    <w:color w:val="0000FF" w:themeColor="hyperlink"/>
                    <w:sz w:val="22"/>
                    <w:szCs w:val="22"/>
                    <w:u w:val="single"/>
                  </w:rPr>
                  <w:t>(ES) Nr. 1093/2010</w:t>
                </w:r>
              </w:hyperlink>
              <w:r>
                <w:rPr>
                  <w:sz w:val="22"/>
                  <w:szCs w:val="22"/>
                </w:rPr>
                <w:t xml:space="preserve"> bei </w:t>
              </w:r>
              <w:hyperlink r:id="rId184" w:tgtFrame="_blank" w:history="1">
                <w:r>
                  <w:rPr>
                    <w:color w:val="0000FF" w:themeColor="hyperlink"/>
                    <w:sz w:val="22"/>
                    <w:szCs w:val="22"/>
                    <w:u w:val="single"/>
                  </w:rPr>
                  <w:t>(ES) Nr. 1095/2010</w:t>
                </w:r>
              </w:hyperlink>
              <w:r>
                <w:rPr>
                  <w:sz w:val="22"/>
                  <w:szCs w:val="22"/>
                </w:rPr>
                <w:t xml:space="preserve"> ir direktyvos </w:t>
              </w:r>
              <w:hyperlink r:id="rId185" w:tgtFrame="_blank" w:history="1">
                <w:r>
                  <w:rPr>
                    <w:color w:val="0000FF" w:themeColor="hyperlink"/>
                    <w:sz w:val="22"/>
                    <w:szCs w:val="22"/>
                    <w:u w:val="single"/>
                  </w:rPr>
                  <w:t>2013/36/ES</w:t>
                </w:r>
              </w:hyperlink>
              <w:r>
                <w:rPr>
                  <w:sz w:val="22"/>
                  <w:szCs w:val="22"/>
                </w:rPr>
                <w:t xml:space="preserve"> bei </w:t>
              </w:r>
              <w:hyperlink r:id="rId186" w:tgtFrame="_blank" w:history="1">
                <w:r>
                  <w:rPr>
                    <w:color w:val="0000FF" w:themeColor="hyperlink"/>
                    <w:sz w:val="22"/>
                    <w:szCs w:val="22"/>
                    <w:u w:val="single"/>
                  </w:rPr>
                  <w:t>(ES) 2019/1937</w:t>
                </w:r>
              </w:hyperlink>
              <w:r>
                <w:rPr>
                  <w:sz w:val="22"/>
                  <w:szCs w:val="22"/>
                </w:rPr>
                <w:t xml:space="preserve">, su pakeitimais, padarytais 2023 m. gruodžio 13 d. Europos Parlamento ir Tarybos reglamentu </w:t>
              </w:r>
              <w:hyperlink r:id="rId187" w:tgtFrame="_blank" w:history="1">
                <w:r>
                  <w:rPr>
                    <w:color w:val="0000FF" w:themeColor="hyperlink"/>
                    <w:sz w:val="22"/>
                    <w:szCs w:val="22"/>
                    <w:u w:val="single"/>
                  </w:rPr>
                  <w:t>(ES) 2023/2869</w:t>
                </w:r>
              </w:hyperlink>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06f40499d11efbdaea558de59136c">
                <w:r w:rsidRPr="00532B9F">
                  <w:rPr>
                    <w:rFonts w:ascii="Times New Roman" w:eastAsia="MS Mincho" w:hAnsi="Times New Roman"/>
                    <w:sz w:val="20"/>
                    <w:i/>
                    <w:iCs/>
                    <w:color w:val="0000FF" w:themeColor="hyperlink"/>
                    <w:u w:val="single"/>
                  </w:rPr>
                  <w:t>XIV-2880</w:t>
                </w:r>
              </w:fldSimple>
              <w:r>
                <w:rPr>
                  <w:rFonts w:ascii="Times New Roman" w:eastAsia="MS Mincho" w:hAnsi="Times New Roman"/>
                  <w:sz w:val="20"/>
                  <w:i/>
                  <w:iCs/>
                </w:rPr>
                <w:t>,
2024-07-11,
paskelbta TAR 2024-07-24, i. k. 2024-13490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1b4e0640411eca9ac839120d251c4">
            <w:r w:rsidRPr="00532B9F">
              <w:rPr>
                <w:rFonts w:ascii="Times New Roman" w:eastAsia="MS Mincho" w:hAnsi="Times New Roman"/>
                <w:sz w:val="20"/>
                <w:i/>
                <w:iCs/>
                <w:color w:val="0000FF" w:themeColor="hyperlink"/>
                <w:u w:val="single"/>
              </w:rPr>
              <w:t>XIV-771</w:t>
            </w:r>
          </w:fldSimple>
          <w:r>
            <w:rPr>
              <w:rFonts w:ascii="Times New Roman" w:eastAsia="MS Mincho" w:hAnsi="Times New Roman"/>
              <w:sz w:val="20"/>
              <w:i/>
              <w:iCs/>
            </w:rPr>
            <w:t>,
2021-12-14,
paskelbta TAR 2021-12-23, i. k. 2021-26900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4"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5"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7"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9"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0" w:history="1">
            <w:r>
              <w:rPr>
                <w:rStyle w:val="Hipersaitas"/>
                <w:sz w:val="20"/>
              </w:rPr>
              <w:t>89-2741</w:t>
            </w:r>
          </w:hyperlink>
          <w:r>
            <w:rPr>
              <w:sz w:val="20"/>
            </w:rPr>
            <w:t xml:space="preserve">) ir Lietuvos Respublikos baudžiamojo proceso kodeksu (Žin., 2002, Nr. </w:t>
          </w:r>
          <w:hyperlink r:id="rId131"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2"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3"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4"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38"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39"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0"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1"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6"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48"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9"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325d30aa2411e9964cdd77475976b0">
            <w:r w:rsidRPr="00532B9F">
              <w:rPr>
                <w:rFonts w:ascii="Times New Roman" w:eastAsia="MS Mincho" w:hAnsi="Times New Roman"/>
                <w:sz w:val="20"/>
                <w:iCs/>
                <w:color w:val="0000FF" w:themeColor="hyperlink"/>
                <w:u w:val="single"/>
              </w:rPr>
              <w:t>XIII-2364</w:t>
            </w:r>
          </w:fldSimple>
          <w:r>
            <w:rPr>
              <w:rFonts w:ascii="Times New Roman" w:eastAsia="MS Mincho" w:hAnsi="Times New Roman"/>
              <w:sz w:val="20"/>
              <w:iCs/>
            </w:rPr>
            <w:t>,
2019-07-16,
paskelbta TAR 2019-07-19, i. k. 2019-11986                </w:t>
          </w:r>
        </w:p>
        <w:p>
          <w:pPr>
            <w:jc w:val="both"/>
            <w:rPr>
              <w:rFonts w:ascii="Times New Roman" w:hAnsi="Times New Roman"/>
            </w:rPr>
          </w:pPr>
          <w:r>
            <w:rPr>
              <w:rFonts w:ascii="Times New Roman" w:hAnsi="Times New Roman"/>
              <w:sz w:val="20"/>
            </w:rPr>
            <w:t>Lietuvos Respublikos Lietuvos banko įstatymo Nr. I-678 43-7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04a980105111ea9d279ea27696ab7b">
            <w:r w:rsidRPr="00532B9F">
              <w:rPr>
                <w:rFonts w:ascii="Times New Roman" w:eastAsia="MS Mincho" w:hAnsi="Times New Roman"/>
                <w:sz w:val="20"/>
                <w:iCs/>
                <w:color w:val="0000FF" w:themeColor="hyperlink"/>
                <w:u w:val="single"/>
              </w:rPr>
              <w:t>XIII-2517</w:t>
            </w:r>
          </w:fldSimple>
          <w:r>
            <w:rPr>
              <w:rFonts w:ascii="Times New Roman" w:eastAsia="MS Mincho" w:hAnsi="Times New Roman"/>
              <w:sz w:val="20"/>
              <w:iCs/>
            </w:rPr>
            <w:t>,
2019-11-14,
paskelbta TAR 2019-11-26, i. k. 2019-18821                </w:t>
          </w:r>
        </w:p>
        <w:p>
          <w:pPr>
            <w:jc w:val="both"/>
            <w:rPr>
              <w:rFonts w:ascii="Times New Roman" w:hAnsi="Times New Roman"/>
            </w:rPr>
          </w:pPr>
          <w:r>
            <w:rPr>
              <w:rFonts w:ascii="Times New Roman" w:hAnsi="Times New Roman"/>
              <w:sz w:val="20"/>
            </w:rPr>
            <w:t>Lietuvos Respublikos Lietuvos banko įstatymo Nr. I-678 42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5cd0222a11eabe008ea93139d588">
            <w:r w:rsidRPr="00532B9F">
              <w:rPr>
                <w:rFonts w:ascii="Times New Roman" w:eastAsia="MS Mincho" w:hAnsi="Times New Roman"/>
                <w:sz w:val="20"/>
                <w:iCs/>
                <w:color w:val="0000FF" w:themeColor="hyperlink"/>
                <w:u w:val="single"/>
              </w:rPr>
              <w:t>XIII-2585</w:t>
            </w:r>
          </w:fldSimple>
          <w:r>
            <w:rPr>
              <w:rFonts w:ascii="Times New Roman" w:eastAsia="MS Mincho" w:hAnsi="Times New Roman"/>
              <w:sz w:val="20"/>
              <w:iCs/>
            </w:rPr>
            <w:t>,
2019-12-03,
paskelbta TAR 2019-12-19, i. k. 2019-20553                </w:t>
          </w:r>
        </w:p>
        <w:p>
          <w:pPr>
            <w:jc w:val="both"/>
            <w:rPr>
              <w:rFonts w:ascii="Times New Roman" w:hAnsi="Times New Roman"/>
            </w:rPr>
          </w:pPr>
          <w:r>
            <w:rPr>
              <w:rFonts w:ascii="Times New Roman" w:hAnsi="Times New Roman"/>
              <w:sz w:val="20"/>
            </w:rPr>
            <w:t>Lietuvos Respublikos Lietuvos banko įstatymo Nr. I-678 43 straipsnio ir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4708a0756a11eabee4a336e7e6fdab">
            <w:r w:rsidRPr="00532B9F">
              <w:rPr>
                <w:rFonts w:ascii="Times New Roman" w:eastAsia="MS Mincho" w:hAnsi="Times New Roman"/>
                <w:sz w:val="20"/>
                <w:iCs/>
                <w:color w:val="0000FF" w:themeColor="hyperlink"/>
                <w:u w:val="single"/>
              </w:rPr>
              <w:t>XIII-2836</w:t>
            </w:r>
          </w:fldSimple>
          <w:r>
            <w:rPr>
              <w:rFonts w:ascii="Times New Roman" w:eastAsia="MS Mincho" w:hAnsi="Times New Roman"/>
              <w:sz w:val="20"/>
              <w:iCs/>
            </w:rPr>
            <w:t>,
2020-03-31,
paskelbta TAR 2020-04-03, i. k. 2020-06995                </w:t>
          </w:r>
        </w:p>
        <w:p>
          <w:pPr>
            <w:jc w:val="both"/>
            <w:rPr>
              <w:rFonts w:ascii="Times New Roman" w:hAnsi="Times New Roman"/>
            </w:rPr>
          </w:pPr>
          <w:r>
            <w:rPr>
              <w:rFonts w:ascii="Times New Roman" w:hAnsi="Times New Roman"/>
              <w:sz w:val="20"/>
            </w:rPr>
            <w:t>Lietuvos Respublikos Lietuvos banko įstatymo Nr. I-678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4d27f089d611eab005936df725feed">
            <w:r w:rsidRPr="00532B9F">
              <w:rPr>
                <w:rFonts w:ascii="Times New Roman" w:eastAsia="MS Mincho" w:hAnsi="Times New Roman"/>
                <w:sz w:val="20"/>
                <w:iCs/>
                <w:color w:val="0000FF" w:themeColor="hyperlink"/>
                <w:u w:val="single"/>
              </w:rPr>
              <w:t>XIII-2852</w:t>
            </w:r>
          </w:fldSimple>
          <w:r>
            <w:rPr>
              <w:rFonts w:ascii="Times New Roman" w:eastAsia="MS Mincho" w:hAnsi="Times New Roman"/>
              <w:sz w:val="20"/>
              <w:iCs/>
            </w:rPr>
            <w:t>,
2020-04-21,
paskelbta TAR 2020-04-29, i. k. 2020-08966                </w:t>
          </w:r>
        </w:p>
        <w:p>
          <w:pPr>
            <w:jc w:val="both"/>
            <w:rPr>
              <w:rFonts w:ascii="Times New Roman" w:hAnsi="Times New Roman"/>
            </w:rPr>
          </w:pPr>
          <w:r>
            <w:rPr>
              <w:rFonts w:ascii="Times New Roman" w:hAnsi="Times New Roman"/>
              <w:sz w:val="20"/>
            </w:rPr>
            <w:t>Lietuvos Respublikos Lietuvos banko įstatymo Nr. I-678 42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004030c27211ea9815f635b9c0dcef">
            <w:r w:rsidRPr="00532B9F">
              <w:rPr>
                <w:rFonts w:ascii="Times New Roman" w:eastAsia="MS Mincho" w:hAnsi="Times New Roman"/>
                <w:sz w:val="20"/>
                <w:iCs/>
                <w:color w:val="0000FF" w:themeColor="hyperlink"/>
                <w:u w:val="single"/>
              </w:rPr>
              <w:t>XIII-3189</w:t>
            </w:r>
          </w:fldSimple>
          <w:r>
            <w:rPr>
              <w:rFonts w:ascii="Times New Roman" w:eastAsia="MS Mincho" w:hAnsi="Times New Roman"/>
              <w:sz w:val="20"/>
              <w:iCs/>
            </w:rPr>
            <w:t>,
2020-06-26,
paskelbta TAR 2020-07-10, i. k. 2020-15512                </w:t>
          </w:r>
        </w:p>
        <w:p>
          <w:pPr>
            <w:jc w:val="both"/>
            <w:rPr>
              <w:rFonts w:ascii="Times New Roman" w:hAnsi="Times New Roman"/>
            </w:rPr>
          </w:pPr>
          <w:r>
            <w:rPr>
              <w:rFonts w:ascii="Times New Roman" w:hAnsi="Times New Roman"/>
              <w:sz w:val="20"/>
            </w:rPr>
            <w:t>Lietuvos Respublikos Lietuvos banko įstatymo Nr. I-678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a76ab049e411eb8d9fe110e148c770">
            <w:r w:rsidRPr="00532B9F">
              <w:rPr>
                <w:rFonts w:ascii="Times New Roman" w:eastAsia="MS Mincho" w:hAnsi="Times New Roman"/>
                <w:sz w:val="20"/>
                <w:iCs/>
                <w:color w:val="0000FF" w:themeColor="hyperlink"/>
                <w:u w:val="single"/>
              </w:rPr>
              <w:t>XIV-111</w:t>
            </w:r>
          </w:fldSimple>
          <w:r>
            <w:rPr>
              <w:rFonts w:ascii="Times New Roman" w:eastAsia="MS Mincho" w:hAnsi="Times New Roman"/>
              <w:sz w:val="20"/>
              <w:iCs/>
            </w:rPr>
            <w:t>,
2020-12-22,
paskelbta TAR 2020-12-29, i. k. 2020-28967                </w:t>
          </w:r>
        </w:p>
        <w:p>
          <w:pPr>
            <w:jc w:val="both"/>
            <w:rPr>
              <w:rFonts w:ascii="Times New Roman" w:hAnsi="Times New Roman"/>
            </w:rPr>
          </w:pPr>
          <w:r>
            <w:rPr>
              <w:rFonts w:ascii="Times New Roman" w:hAnsi="Times New Roman"/>
              <w:sz w:val="20"/>
            </w:rPr>
            <w:t>Lietuvos Respublikos Lietuvos banko įstatymo Nr. I-678 8, 38 straipsnių ir šeštojo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41b4e0640411eca9ac839120d251c4">
            <w:r w:rsidRPr="00532B9F">
              <w:rPr>
                <w:rFonts w:ascii="Times New Roman" w:eastAsia="MS Mincho" w:hAnsi="Times New Roman"/>
                <w:sz w:val="20"/>
                <w:iCs/>
                <w:color w:val="0000FF" w:themeColor="hyperlink"/>
                <w:u w:val="single"/>
              </w:rPr>
              <w:t>XIV-771</w:t>
            </w:r>
          </w:fldSimple>
          <w:r>
            <w:rPr>
              <w:rFonts w:ascii="Times New Roman" w:eastAsia="MS Mincho" w:hAnsi="Times New Roman"/>
              <w:sz w:val="20"/>
              <w:iCs/>
            </w:rPr>
            <w:t>,
2021-12-14,
paskelbta TAR 2021-12-23, i. k. 2021-26900                </w:t>
          </w:r>
        </w:p>
        <w:p>
          <w:pPr>
            <w:jc w:val="both"/>
            <w:rPr>
              <w:rFonts w:ascii="Times New Roman" w:hAnsi="Times New Roman"/>
            </w:rPr>
          </w:pPr>
          <w:r>
            <w:rPr>
              <w:rFonts w:ascii="Times New Roman" w:hAnsi="Times New Roman"/>
              <w:sz w:val="20"/>
            </w:rPr>
            <w:t>Lietuvos Respublikos Lietuvos banko įstatymo Nr. I-678 8, 11, 42, 43, 43-2 straipsnių ir 1, 2,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47e240696e11eca9ac839120d251c4">
            <w:r w:rsidRPr="00532B9F">
              <w:rPr>
                <w:rFonts w:ascii="Times New Roman" w:eastAsia="MS Mincho" w:hAnsi="Times New Roman"/>
                <w:sz w:val="20"/>
                <w:iCs/>
                <w:color w:val="0000FF" w:themeColor="hyperlink"/>
                <w:u w:val="single"/>
              </w:rPr>
              <w:t>XIV-822</w:t>
            </w:r>
          </w:fldSimple>
          <w:r>
            <w:rPr>
              <w:rFonts w:ascii="Times New Roman" w:eastAsia="MS Mincho" w:hAnsi="Times New Roman"/>
              <w:sz w:val="20"/>
              <w:iCs/>
            </w:rPr>
            <w:t>,
2021-12-23,
paskelbta TAR 2021-12-30, i. k. 2021-27713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7a131002b111edb32c9f9d8ba206f8">
            <w:r w:rsidRPr="00532B9F">
              <w:rPr>
                <w:rFonts w:ascii="Times New Roman" w:eastAsia="MS Mincho" w:hAnsi="Times New Roman"/>
                <w:sz w:val="20"/>
                <w:iCs/>
                <w:color w:val="0000FF" w:themeColor="hyperlink"/>
                <w:u w:val="single"/>
              </w:rPr>
              <w:t>XIV-1337</w:t>
            </w:r>
          </w:fldSimple>
          <w:r>
            <w:rPr>
              <w:rFonts w:ascii="Times New Roman" w:eastAsia="MS Mincho" w:hAnsi="Times New Roman"/>
              <w:sz w:val="20"/>
              <w:iCs/>
            </w:rPr>
            <w:t>,
2022-06-30,
paskelbta TAR 2022-07-13, i. k. 2022-15402                </w:t>
          </w:r>
        </w:p>
        <w:p>
          <w:pPr>
            <w:jc w:val="both"/>
            <w:rPr>
              <w:rFonts w:ascii="Times New Roman" w:hAnsi="Times New Roman"/>
            </w:rPr>
          </w:pPr>
          <w:r>
            <w:rPr>
              <w:rFonts w:ascii="Times New Roman" w:hAnsi="Times New Roman"/>
              <w:sz w:val="20"/>
            </w:rPr>
            <w:t>Lietuvos Respublikos Lietuvos banko įstatymo Nr. I-678 42, 43-3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6b1d90603f11edbc04912defe897d1">
            <w:r w:rsidRPr="00532B9F">
              <w:rPr>
                <w:rFonts w:ascii="Times New Roman" w:eastAsia="MS Mincho" w:hAnsi="Times New Roman"/>
                <w:sz w:val="20"/>
                <w:iCs/>
                <w:color w:val="0000FF" w:themeColor="hyperlink"/>
                <w:u w:val="single"/>
              </w:rPr>
              <w:t>XIV-1493</w:t>
            </w:r>
          </w:fldSimple>
          <w:r>
            <w:rPr>
              <w:rFonts w:ascii="Times New Roman" w:eastAsia="MS Mincho" w:hAnsi="Times New Roman"/>
              <w:sz w:val="20"/>
              <w:iCs/>
            </w:rPr>
            <w:t>,
2022-11-08,
paskelbta TAR 2022-11-09, i. k. 2022-22681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036740603f11edbc04912defe897d1">
            <w:r w:rsidRPr="00532B9F">
              <w:rPr>
                <w:rFonts w:ascii="Times New Roman" w:eastAsia="MS Mincho" w:hAnsi="Times New Roman"/>
                <w:sz w:val="20"/>
                <w:iCs/>
                <w:color w:val="0000FF" w:themeColor="hyperlink"/>
                <w:u w:val="single"/>
              </w:rPr>
              <w:t>XIV-1494</w:t>
            </w:r>
          </w:fldSimple>
          <w:r>
            <w:rPr>
              <w:rFonts w:ascii="Times New Roman" w:eastAsia="MS Mincho" w:hAnsi="Times New Roman"/>
              <w:sz w:val="20"/>
              <w:iCs/>
            </w:rPr>
            <w:t>,
2022-11-08,
paskelbta TAR 2022-11-09, i. k. 2022-22682                </w:t>
          </w:r>
        </w:p>
        <w:p>
          <w:pPr>
            <w:jc w:val="both"/>
            <w:rPr>
              <w:rFonts w:ascii="Times New Roman" w:hAnsi="Times New Roman"/>
            </w:rPr>
          </w:pPr>
          <w:r>
            <w:rPr>
              <w:rFonts w:ascii="Times New Roman" w:hAnsi="Times New Roman"/>
              <w:sz w:val="20"/>
            </w:rPr>
            <w:t>Lietuvos Respublikos Lietuvos banko įstatymo Nr. I-678 3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abea05ea711edbc04912defe897d1">
            <w:r w:rsidRPr="00532B9F">
              <w:rPr>
                <w:rFonts w:ascii="Times New Roman" w:eastAsia="MS Mincho" w:hAnsi="Times New Roman"/>
                <w:sz w:val="20"/>
                <w:iCs/>
                <w:color w:val="0000FF" w:themeColor="hyperlink"/>
                <w:u w:val="single"/>
              </w:rPr>
              <w:t>XIV-1452</w:t>
            </w:r>
          </w:fldSimple>
          <w:r>
            <w:rPr>
              <w:rFonts w:ascii="Times New Roman" w:eastAsia="MS Mincho" w:hAnsi="Times New Roman"/>
              <w:sz w:val="20"/>
              <w:iCs/>
            </w:rPr>
            <w:t>,
2022-10-27,
paskelbta TAR 2022-11-07, i. k. 2022-22563                </w:t>
          </w:r>
        </w:p>
        <w:p>
          <w:pPr>
            <w:jc w:val="both"/>
            <w:rPr>
              <w:rFonts w:ascii="Times New Roman" w:hAnsi="Times New Roman"/>
            </w:rPr>
          </w:pPr>
          <w:r>
            <w:rPr>
              <w:rFonts w:ascii="Times New Roman" w:hAnsi="Times New Roman"/>
              <w:sz w:val="20"/>
            </w:rPr>
            <w:t>Lietuvos Respublikos Lietuvos banko įstatymo Nr. I-678 8, 11, 21-1, 42 straipsnių, 1, 3 priedų pakeitimo ir Įstatymo papildymo 2-1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edfd0202b111edb32c9f9d8ba206f8">
            <w:r w:rsidRPr="00532B9F">
              <w:rPr>
                <w:rFonts w:ascii="Times New Roman" w:eastAsia="MS Mincho" w:hAnsi="Times New Roman"/>
                <w:sz w:val="20"/>
                <w:iCs/>
                <w:color w:val="0000FF" w:themeColor="hyperlink"/>
                <w:u w:val="single"/>
              </w:rPr>
              <w:t>XIV-1338</w:t>
            </w:r>
          </w:fldSimple>
          <w:r>
            <w:rPr>
              <w:rFonts w:ascii="Times New Roman" w:eastAsia="MS Mincho" w:hAnsi="Times New Roman"/>
              <w:sz w:val="20"/>
              <w:iCs/>
            </w:rPr>
            <w:t>,
2022-06-30,
paskelbta TAR 2022-07-13, i. k. 2022-15403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6d46505ea911edbc04912defe897d1">
            <w:r w:rsidRPr="00532B9F">
              <w:rPr>
                <w:rFonts w:ascii="Times New Roman" w:eastAsia="MS Mincho" w:hAnsi="Times New Roman"/>
                <w:sz w:val="20"/>
                <w:iCs/>
                <w:color w:val="0000FF" w:themeColor="hyperlink"/>
                <w:u w:val="single"/>
              </w:rPr>
              <w:t>XIV-1461</w:t>
            </w:r>
          </w:fldSimple>
          <w:r>
            <w:rPr>
              <w:rFonts w:ascii="Times New Roman" w:eastAsia="MS Mincho" w:hAnsi="Times New Roman"/>
              <w:sz w:val="20"/>
              <w:iCs/>
            </w:rPr>
            <w:t>,
2022-10-27,
paskelbta TAR 2022-11-07, i. k. 2022-22572                </w:t>
          </w:r>
        </w:p>
        <w:p>
          <w:pPr>
            <w:jc w:val="both"/>
            <w:rPr>
              <w:rFonts w:ascii="Times New Roman" w:hAnsi="Times New Roman"/>
            </w:rPr>
          </w:pPr>
          <w:r>
            <w:rPr>
              <w:rFonts w:ascii="Times New Roman" w:hAnsi="Times New Roman"/>
              <w:sz w:val="20"/>
            </w:rPr>
            <w:t>Lietuvos Respublikos Lietuvos banko įstatymo Nr. I-678 11, 42, 43, 43-1, 43-2, 43-3, 43-7 straipsnių ir 1, 3 priedų pakeitimo įstatymo Nr. XIV-822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9a6ae0778f11edbc04912defe897d1">
            <w:r w:rsidRPr="00532B9F">
              <w:rPr>
                <w:rFonts w:ascii="Times New Roman" w:eastAsia="MS Mincho" w:hAnsi="Times New Roman"/>
                <w:sz w:val="20"/>
                <w:iCs/>
                <w:color w:val="0000FF" w:themeColor="hyperlink"/>
                <w:u w:val="single"/>
              </w:rPr>
              <w:t>XIV-1597</w:t>
            </w:r>
          </w:fldSimple>
          <w:r>
            <w:rPr>
              <w:rFonts w:ascii="Times New Roman" w:eastAsia="MS Mincho" w:hAnsi="Times New Roman"/>
              <w:sz w:val="20"/>
              <w:iCs/>
            </w:rPr>
            <w:t>,
2022-11-24,
paskelbta TAR 2022-12-09, i. k. 2022-25171                </w:t>
          </w:r>
        </w:p>
        <w:p>
          <w:pPr>
            <w:jc w:val="both"/>
            <w:rPr>
              <w:rFonts w:ascii="Times New Roman" w:hAnsi="Times New Roman"/>
            </w:rPr>
          </w:pPr>
          <w:r>
            <w:rPr>
              <w:rFonts w:ascii="Times New Roman" w:hAnsi="Times New Roman"/>
              <w:sz w:val="20"/>
            </w:rPr>
            <w:t>Lietuvos Respublikos Lietuvos banko įstatymo Nr. I-678 42 ir 42-1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16a3c01b3a11eeb233e8b04dc9bb3d">
            <w:r w:rsidRPr="00532B9F">
              <w:rPr>
                <w:rFonts w:ascii="Times New Roman" w:eastAsia="MS Mincho" w:hAnsi="Times New Roman"/>
                <w:sz w:val="20"/>
                <w:iCs/>
                <w:color w:val="0000FF" w:themeColor="hyperlink"/>
                <w:u w:val="single"/>
              </w:rPr>
              <w:t>XIV-2143</w:t>
            </w:r>
          </w:fldSimple>
          <w:r>
            <w:rPr>
              <w:rFonts w:ascii="Times New Roman" w:eastAsia="MS Mincho" w:hAnsi="Times New Roman"/>
              <w:sz w:val="20"/>
              <w:iCs/>
            </w:rPr>
            <w:t>,
2023-06-29,
paskelbta TAR 2023-07-05, i. k. 2023-14039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06f40499d11efbdaea558de59136c">
            <w:r w:rsidRPr="00532B9F">
              <w:rPr>
                <w:rFonts w:ascii="Times New Roman" w:eastAsia="MS Mincho" w:hAnsi="Times New Roman"/>
                <w:sz w:val="20"/>
                <w:iCs/>
                <w:color w:val="0000FF" w:themeColor="hyperlink"/>
                <w:u w:val="single"/>
              </w:rPr>
              <w:t>XIV-2880</w:t>
            </w:r>
          </w:fldSimple>
          <w:r>
            <w:rPr>
              <w:rFonts w:ascii="Times New Roman" w:eastAsia="MS Mincho" w:hAnsi="Times New Roman"/>
              <w:sz w:val="20"/>
              <w:iCs/>
            </w:rPr>
            <w:t>,
2024-07-11,
paskelbta TAR 2024-07-24, i. k. 2024-13490                </w:t>
          </w:r>
        </w:p>
        <w:p>
          <w:pPr>
            <w:jc w:val="both"/>
            <w:rPr>
              <w:rFonts w:ascii="Times New Roman" w:hAnsi="Times New Roman"/>
            </w:rPr>
          </w:pPr>
          <w:r>
            <w:rPr>
              <w:rFonts w:ascii="Times New Roman" w:hAnsi="Times New Roman"/>
              <w:sz w:val="20"/>
            </w:rPr>
            <w:t>Lietuvos Respublikos Lietuvos banko įstatymo Nr. I-678 42, 43-7, 47 straipsnių ir 1, 3 priedų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0998302ed411efbdaea558de59136c">
            <w:r w:rsidRPr="00532B9F">
              <w:rPr>
                <w:rFonts w:ascii="Times New Roman" w:eastAsia="MS Mincho" w:hAnsi="Times New Roman"/>
                <w:sz w:val="20"/>
                <w:iCs/>
                <w:color w:val="0000FF" w:themeColor="hyperlink"/>
                <w:u w:val="single"/>
              </w:rPr>
              <w:t>XIV-2717</w:t>
            </w:r>
          </w:fldSimple>
          <w:r>
            <w:rPr>
              <w:rFonts w:ascii="Times New Roman" w:eastAsia="MS Mincho" w:hAnsi="Times New Roman"/>
              <w:sz w:val="20"/>
              <w:iCs/>
            </w:rPr>
            <w:t>,
2024-06-13,
paskelbta TAR 2024-06-20, i. k. 2024-11240                </w:t>
          </w:r>
        </w:p>
        <w:p>
          <w:pPr>
            <w:jc w:val="both"/>
            <w:rPr>
              <w:rFonts w:ascii="Times New Roman" w:hAnsi="Times New Roman"/>
            </w:rPr>
          </w:pPr>
          <w:r>
            <w:rPr>
              <w:rFonts w:ascii="Times New Roman" w:hAnsi="Times New Roman"/>
              <w:sz w:val="20"/>
            </w:rPr>
            <w:t>Lietuvos Respublikos Lietuvos banko įstatymo Nr. I-678 43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a077d02ed511efbdaea558de59136c">
            <w:r w:rsidRPr="00532B9F">
              <w:rPr>
                <w:rFonts w:ascii="Times New Roman" w:eastAsia="MS Mincho" w:hAnsi="Times New Roman"/>
                <w:sz w:val="20"/>
                <w:iCs/>
                <w:color w:val="0000FF" w:themeColor="hyperlink"/>
                <w:u w:val="single"/>
              </w:rPr>
              <w:t>XIV-2721</w:t>
            </w:r>
          </w:fldSimple>
          <w:r>
            <w:rPr>
              <w:rFonts w:ascii="Times New Roman" w:eastAsia="MS Mincho" w:hAnsi="Times New Roman"/>
              <w:sz w:val="20"/>
              <w:iCs/>
            </w:rPr>
            <w:t>,
2024-06-13,
paskelbta TAR 2024-06-20, i. k. 2024-11244                </w:t>
          </w:r>
        </w:p>
        <w:p>
          <w:pPr>
            <w:jc w:val="both"/>
            <w:rPr>
              <w:rFonts w:ascii="Times New Roman" w:hAnsi="Times New Roman"/>
            </w:rPr>
          </w:pPr>
          <w:r>
            <w:rPr>
              <w:rFonts w:ascii="Times New Roman" w:hAnsi="Times New Roman"/>
              <w:sz w:val="20"/>
            </w:rPr>
            <w:t>Lietuvos Respublikos Lietuvos banko įstatymo Nr. I-678 43-3, 43-6, 43-7, 47-7 straipsnių pakeitimo ir Įstatymo papildymo 43-4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4532016c011f08fdabd4950271e2c">
            <w:r w:rsidRPr="00532B9F">
              <w:rPr>
                <w:rFonts w:ascii="Times New Roman" w:eastAsia="MS Mincho" w:hAnsi="Times New Roman"/>
                <w:sz w:val="20"/>
                <w:iCs/>
                <w:color w:val="0000FF" w:themeColor="hyperlink"/>
                <w:u w:val="single"/>
              </w:rPr>
              <w:t>XV-153</w:t>
            </w:r>
          </w:fldSimple>
          <w:r>
            <w:rPr>
              <w:rFonts w:ascii="Times New Roman" w:eastAsia="MS Mincho" w:hAnsi="Times New Roman"/>
              <w:sz w:val="20"/>
              <w:iCs/>
            </w:rPr>
            <w:t>,
2025-04-10,
paskelbta TAR 2025-04-11, i. k. 2025-06427                </w:t>
          </w:r>
        </w:p>
        <w:p>
          <w:pPr>
            <w:jc w:val="both"/>
            <w:rPr>
              <w:rFonts w:ascii="Times New Roman" w:hAnsi="Times New Roman"/>
            </w:rPr>
          </w:pPr>
          <w:r>
            <w:rPr>
              <w:rFonts w:ascii="Times New Roman" w:hAnsi="Times New Roman"/>
              <w:sz w:val="20"/>
            </w:rPr>
            <w:t>Lietuvos Respublikos Lietuvos banko įstatymo Nr. I-678 23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93EB93"/>
  <w15:docId w15:val="{6D80CECD-B552-413D-B09B-0DED8E6B39D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2"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00" Type="http://schemas.openxmlformats.org/officeDocument/2006/relationships/hyperlink" TargetMode="External" Target="http://www3.lrs.lt/cgi-bin/preps2?a=412373&amp;b="/>
  <Relationship Id="rId101" Type="http://schemas.openxmlformats.org/officeDocument/2006/relationships/hyperlink" TargetMode="External" Target="http://www3.lrs.lt/cgi-bin/preps2?a=227304&amp;b="/>
  <Relationship Id="rId102" Type="http://schemas.openxmlformats.org/officeDocument/2006/relationships/hyperlink" TargetMode="External" Target="http://www3.lrs.lt/cgi-bin/preps2?a=274804&amp;b="/>
  <Relationship Id="rId103" Type="http://schemas.openxmlformats.org/officeDocument/2006/relationships/hyperlink" TargetMode="External" Target="http://www3.lrs.lt/cgi-bin/preps2?a=396599&amp;b="/>
  <Relationship Id="rId104" Type="http://schemas.openxmlformats.org/officeDocument/2006/relationships/hyperlink" TargetMode="External" Target="http://www3.lrs.lt/cgi-bin/preps2?a=396597&amp;b="/>
  <Relationship Id="rId105" Type="http://schemas.openxmlformats.org/officeDocument/2006/relationships/hyperlink" TargetMode="External" Target="http://www3.lrs.lt/cgi-bin/preps2?a=227304&amp;b="/>
  <Relationship Id="rId106" Type="http://schemas.openxmlformats.org/officeDocument/2006/relationships/hyperlink" TargetMode="External" Target="http://www3.lrs.lt/cgi-bin/preps2?a=274804&amp;b="/>
  <Relationship Id="rId107" Type="http://schemas.openxmlformats.org/officeDocument/2006/relationships/hyperlink" TargetMode="External" Target="http://www3.lrs.lt/cgi-bin/preps2?a=396599&amp;b="/>
  <Relationship Id="rId108" Type="http://schemas.openxmlformats.org/officeDocument/2006/relationships/hyperlink" TargetMode="External" Target="http://www3.lrs.lt/cgi-bin/preps2?a=396597&amp;b="/>
  <Relationship Id="rId109" Type="http://schemas.openxmlformats.org/officeDocument/2006/relationships/hyperlink" TargetMode="External" Target="http://www3.lrs.lt/cgi-bin/preps2?a=412373&amp;b="/>
  <Relationship Id="rId11" Type="http://schemas.openxmlformats.org/officeDocument/2006/relationships/theme" Target="theme/theme1.xml"/>
  <Relationship Id="rId110" Type="http://schemas.openxmlformats.org/officeDocument/2006/relationships/hyperlink" TargetMode="External" Target="http://www3.lrs.lt/cgi-bin/preps2?a=213881&amp;b="/>
  <Relationship Id="rId111" Type="http://schemas.openxmlformats.org/officeDocument/2006/relationships/hyperlink" TargetMode="External" Target="http://www3.lrs.lt/cgi-bin/preps2?a=231828&amp;b="/>
  <Relationship Id="rId112" Type="http://schemas.openxmlformats.org/officeDocument/2006/relationships/hyperlink" TargetMode="External" Target="http://www3.lrs.lt/cgi-bin/preps2?a=274804&amp;b="/>
  <Relationship Id="rId113" Type="http://schemas.openxmlformats.org/officeDocument/2006/relationships/hyperlink" TargetMode="External" Target="http://www3.lrs.lt/cgi-bin/preps2?a=274804&amp;b="/>
  <Relationship Id="rId114" Type="http://schemas.openxmlformats.org/officeDocument/2006/relationships/hyperlink" TargetMode="External" Target="http://www3.lrs.lt/cgi-bin/preps2?a=469641&amp;b="/>
  <Relationship Id="rId115" Type="http://schemas.openxmlformats.org/officeDocument/2006/relationships/hyperlink" TargetMode="External" Target="http://www3.lrs.lt/cgi-bin/preps2?a=227304&amp;b="/>
  <Relationship Id="rId116" Type="http://schemas.openxmlformats.org/officeDocument/2006/relationships/hyperlink" TargetMode="External" Target="http://www3.lrs.lt/cgi-bin/preps2?a=274804&amp;b="/>
  <Relationship Id="rId117" Type="http://schemas.openxmlformats.org/officeDocument/2006/relationships/hyperlink" TargetMode="External" Target="http://www3.lrs.lt/cgi-bin/preps2?a=231829&amp;b="/>
  <Relationship Id="rId118" Type="http://schemas.openxmlformats.org/officeDocument/2006/relationships/header" Target="header70.xml"/>
  <Relationship Id="rId119" Type="http://schemas.openxmlformats.org/officeDocument/2006/relationships/header" Target="header71.xml"/>
  <Relationship Id="rId12" Type="http://schemas.openxmlformats.org/officeDocument/2006/relationships/webSettings" Target="webSettings.xml"/>
  <Relationship Id="rId120" Type="http://schemas.openxmlformats.org/officeDocument/2006/relationships/footer" Target="footer70.xml"/>
  <Relationship Id="rId121" Type="http://schemas.openxmlformats.org/officeDocument/2006/relationships/footer" Target="footer71.xml"/>
  <Relationship Id="rId122" Type="http://schemas.openxmlformats.org/officeDocument/2006/relationships/header" Target="header72.xml"/>
  <Relationship Id="rId123" Type="http://schemas.openxmlformats.org/officeDocument/2006/relationships/footer" Target="footer72.xml"/>
  <Relationship Id="rId124" Type="http://schemas.openxmlformats.org/officeDocument/2006/relationships/hyperlink" TargetMode="External" Target="http://www3.lrs.lt/cgi-bin/preps2?Condition1=26025&amp;Condition2="/>
  <Relationship Id="rId125" Type="http://schemas.openxmlformats.org/officeDocument/2006/relationships/hyperlink" TargetMode="External" Target="http://www3.lrs.lt/cgi-bin/preps2?Condition1=37819&amp;Condition2="/>
  <Relationship Id="rId126" Type="http://schemas.openxmlformats.org/officeDocument/2006/relationships/hyperlink" TargetMode="External" Target="http://www3.lrs.lt/cgi-bin/preps2?Condition1=41676&amp;Condition2="/>
  <Relationship Id="rId127" Type="http://schemas.openxmlformats.org/officeDocument/2006/relationships/hyperlink" TargetMode="External" Target="http://www3.lrs.lt/cgi-bin/preps2?Condition1=128873&amp;Condition2="/>
  <Relationship Id="rId128" Type="http://schemas.openxmlformats.org/officeDocument/2006/relationships/hyperlink" TargetMode="External" Target="http://www3.lrs.lt/cgi-bin/preps2?a=206757&amp;b="/>
  <Relationship Id="rId129" Type="http://schemas.openxmlformats.org/officeDocument/2006/relationships/hyperlink" TargetMode="External" Target="http://www3.lrs.lt/cgi-bin/preps2?a=209663&amp;b="/>
  <Relationship Id="rId13" Type="http://schemas.openxmlformats.org/officeDocument/2006/relationships/hyperlink" TargetMode="External" Target="http://www3.lrs.lt/cgi-bin/preps2?Condition1=128873&amp;Condition2="/>
  <Relationship Id="rId130" Type="http://schemas.openxmlformats.org/officeDocument/2006/relationships/hyperlink" TargetMode="External" Target="http://www3.lrs.lt/cgi-bin/preps2?a=111555&amp;b="/>
  <Relationship Id="rId131" Type="http://schemas.openxmlformats.org/officeDocument/2006/relationships/hyperlink" TargetMode="External" Target="http://www3.lrs.lt/cgi-bin/preps2?a=163482&amp;b="/>
  <Relationship Id="rId132" Type="http://schemas.openxmlformats.org/officeDocument/2006/relationships/hyperlink" TargetMode="External" Target="http://www3.lrs.lt/cgi-bin/preps2?a=213881&amp;b="/>
  <Relationship Id="rId133" Type="http://schemas.openxmlformats.org/officeDocument/2006/relationships/hyperlink" TargetMode="External" Target="http://www3.lrs.lt/cgi-bin/preps2?a=227304&amp;b="/>
  <Relationship Id="rId134" Type="http://schemas.openxmlformats.org/officeDocument/2006/relationships/hyperlink" TargetMode="External" Target="http://www3.lrs.lt/cgi-bin/preps2?a=230454&amp;b="/>
  <Relationship Id="rId135" Type="http://schemas.openxmlformats.org/officeDocument/2006/relationships/hyperlink" TargetMode="External" Target="http://www3.lrs.lt/cgi-bin/preps2?a=231828&amp;b="/>
  <Relationship Id="rId136" Type="http://schemas.openxmlformats.org/officeDocument/2006/relationships/hyperlink" TargetMode="External" Target="http://www3.lrs.lt/cgi-bin/preps2?a=231829&amp;b="/>
  <Relationship Id="rId137" Type="http://schemas.openxmlformats.org/officeDocument/2006/relationships/hyperlink" TargetMode="External" Target="http://www3.lrs.lt/cgi-bin/preps2?a=274804&amp;b="/>
  <Relationship Id="rId138" Type="http://schemas.openxmlformats.org/officeDocument/2006/relationships/hyperlink" TargetMode="External" Target="http://www3.lrs.lt/cgi-bin/preps2?a=361205&amp;b="/>
  <Relationship Id="rId139" Type="http://schemas.openxmlformats.org/officeDocument/2006/relationships/hyperlink" TargetMode="External" Target="http://www3.lrs.lt/cgi-bin/preps2?a=396599&amp;b="/>
  <Relationship Id="rId14" Type="http://schemas.openxmlformats.org/officeDocument/2006/relationships/hyperlink" TargetMode="External" Target="http://www3.lrs.lt/cgi-bin/preps2?a=227304&amp;b="/>
  <Relationship Id="rId140" Type="http://schemas.openxmlformats.org/officeDocument/2006/relationships/hyperlink" TargetMode="External" Target="http://www3.lrs.lt/cgi-bin/preps2?a=412356&amp;b="/>
  <Relationship Id="rId141" Type="http://schemas.openxmlformats.org/officeDocument/2006/relationships/hyperlink" TargetMode="External" Target="http://www3.lrs.lt/cgi-bin/preps2?a=464959&amp;b="/>
  <Relationship Id="rId142" Type="http://schemas.openxmlformats.org/officeDocument/2006/relationships/hyperlink" TargetMode="External" Target="http://www3.lrs.lt/cgi-bin/preps2?a=469641&amp;b="/>
  <Relationship Id="rId143" Type="http://schemas.openxmlformats.org/officeDocument/2006/relationships/hyperlink" TargetMode="External" Target="http://www3.lrs.lt/cgi-bin/preps2?a=478702&amp;b="/>
  <Relationship Id="rId144" Type="http://schemas.openxmlformats.org/officeDocument/2006/relationships/hyperlink" TargetMode="External" Target="http://www3.lrs.lt/cgi-bin/preps2?a=340369&amp;b="/>
  <Relationship Id="rId145" Type="http://schemas.openxmlformats.org/officeDocument/2006/relationships/hyperlink" TargetMode="External" Target="http://www3.lrs.lt/cgi-bin/preps2?a=359889&amp;b="/>
  <Relationship Id="rId146" Type="http://schemas.openxmlformats.org/officeDocument/2006/relationships/hyperlink" TargetMode="External" Target="http://www3.lrs.lt/cgi-bin/preps2?a=361206&amp;b="/>
  <Relationship Id="rId147" Type="http://schemas.openxmlformats.org/officeDocument/2006/relationships/hyperlink" TargetMode="External" Target="http://www3.lrs.lt/cgi-bin/preps2?a=386459&amp;b="/>
  <Relationship Id="rId148" Type="http://schemas.openxmlformats.org/officeDocument/2006/relationships/hyperlink" TargetMode="External" Target="http://www3.lrs.lt/cgi-bin/preps2?a=396597&amp;b="/>
  <Relationship Id="rId149" Type="http://schemas.openxmlformats.org/officeDocument/2006/relationships/hyperlink" TargetMode="External" Target="http://www3.lrs.lt/cgi-bin/preps2?a=412373&amp;b="/>
  <Relationship Id="rId15" Type="http://schemas.openxmlformats.org/officeDocument/2006/relationships/hyperlink" TargetMode="External" Target="http://www3.lrs.lt/cgi-bin/preps2?a=274804&amp;b="/>
  <Relationship Id="rId150" Type="http://schemas.openxmlformats.org/officeDocument/2006/relationships/hyperlink" TargetMode="External" Target="http://www3.lrs.lt/cgi-bin/preps2?a=415118&amp;b="/>
  <Relationship Id="rId151" Type="http://schemas.openxmlformats.org/officeDocument/2006/relationships/hyperlink" TargetMode="External" Target="http://www3.lrs.lt/cgi-bin/preps2?a=464957&amp;b="/>
  <Relationship Id="rId152" Type="http://schemas.openxmlformats.org/officeDocument/2006/relationships/hyperlink" TargetMode="External" Target="http://www3.lrs.lt/cgi-bin/preps2?a=478691&amp;b="/>
  <Relationship Id="rId153" Type="http://schemas.openxmlformats.org/officeDocument/2006/relationships/hyperlink" TargetMode="External" Target="http://www3.lrs.lt/cgi-bin/preps2?a=412373&amp;b="/>
  <Relationship Id="rId154" Type="http://schemas.openxmlformats.org/officeDocument/2006/relationships/hyperlink" TargetMode="External" Target="http://www3.lrs.lt/cgi-bin/preps2?a=274804&amp;b="/>
  <Relationship Id="rId155" Type="http://schemas.openxmlformats.org/officeDocument/2006/relationships/hyperlink" TargetMode="External" Target="http://www3.lrs.lt/cgi-bin/preps2?a=478702&amp;b="/>
  <Relationship Id="rId156" Type="http://schemas.openxmlformats.org/officeDocument/2006/relationships/hyperlink" TargetMode="External" Target="http://www3.lrs.lt/cgi-bin/preps2?a=230454&amp;b="/>
  <Relationship Id="rId157" Type="http://schemas.openxmlformats.org/officeDocument/2006/relationships/hyperlink" TargetMode="External" Target="http://www3.lrs.lt/cgi-bin/preps2?a=361206&amp;b="/>
  <Relationship Id="rId158" Type="http://schemas.openxmlformats.org/officeDocument/2006/relationships/hyperlink" TargetMode="External" Target="http://www3.lrs.lt/cgi-bin/preps2?a=412373&amp;b="/>
  <Relationship Id="rId159" Type="http://schemas.openxmlformats.org/officeDocument/2006/relationships/hyperlink" TargetMode="External" Target="http://www3.lrs.lt/cgi-bin/preps2?a=478691&amp;b="/>
  <Relationship Id="rId16" Type="http://schemas.openxmlformats.org/officeDocument/2006/relationships/hyperlink" TargetMode="External" Target="http://www3.lrs.lt/cgi-bin/preps2?a=464959&amp;b="/>
  <Relationship Id="rId160" Type="http://schemas.openxmlformats.org/officeDocument/2006/relationships/hyperlink" TargetMode="External" Target="http://www3.lrs.lt/cgi-bin/preps2?a=230454&amp;b="/>
  <Relationship Id="rId161" Type="http://schemas.openxmlformats.org/officeDocument/2006/relationships/hyperlink" TargetMode="External" Target="http://www3.lrs.lt/cgi-bin/preps2?a=361206&amp;b="/>
  <Relationship Id="rId162" Type="http://schemas.openxmlformats.org/officeDocument/2006/relationships/hyperlink" TargetMode="External" Target="http://www3.lrs.lt/cgi-bin/preps2?a=412373&amp;b="/>
  <Relationship Id="rId163" Type="http://schemas.openxmlformats.org/officeDocument/2006/relationships/hyperlink" TargetMode="External" Target="http://www3.lrs.lt/cgi-bin/preps2?a=274804&amp;b="/>
  <Relationship Id="rId164" Type="http://schemas.openxmlformats.org/officeDocument/2006/relationships/hyperlink" TargetMode="External" Target="http://eur-lex.europa.eu/legal-content/LIT/TXT/?uri=CELEX:32013L0036&amp;locale=lt"/>
  <Relationship Id="rId165" Type="http://schemas.openxmlformats.org/officeDocument/2006/relationships/hyperlink" TargetMode="External" Target="http://eur-lex.europa.eu/legal-content/LIT/TXT/?uri=CELEX:32002L0087&amp;locale=lt"/>
  <Relationship Id="rId166" Type="http://schemas.openxmlformats.org/officeDocument/2006/relationships/hyperlink" TargetMode="External" Target="http://eur-lex.europa.eu/legal-content/LIT/TXT/?uri=CELEX:32006L0048&amp;locale=lt"/>
  <Relationship Id="rId167" Type="http://schemas.openxmlformats.org/officeDocument/2006/relationships/hyperlink" TargetMode="External" Target="http://eur-lex.europa.eu/legal-content/LIT/TXT/?uri=CELEX:32006L0049&amp;locale=lt"/>
  <Relationship Id="rId168" Type="http://schemas.openxmlformats.org/officeDocument/2006/relationships/hyperlink" TargetMode="External" Target="http://eur-lex.europa.eu/legal-content/LIT/TXT/?uri=CELEX:32023R1114&amp;locale=lt"/>
  <Relationship Id="rId169" Type="http://schemas.openxmlformats.org/officeDocument/2006/relationships/hyperlink" TargetMode="External" Target="http://eur-lex.europa.eu/legal-content/LIT/TXT/?uri=CELEX:32013R0575&amp;locale=lt"/>
  <Relationship Id="rId17" Type="http://schemas.openxmlformats.org/officeDocument/2006/relationships/hyperlink" TargetMode="External" Target="http://www3.lrs.lt/cgi-bin/preps2?a=464957&amp;b="/>
  <Relationship Id="rId170" Type="http://schemas.openxmlformats.org/officeDocument/2006/relationships/hyperlink" TargetMode="External" Target="http://eur-lex.europa.eu/legal-content/LIT/TXT/?uri=CELEX:32014R0600&amp;locale=lt"/>
  <Relationship Id="rId171" Type="http://schemas.openxmlformats.org/officeDocument/2006/relationships/hyperlink" TargetMode="External" Target="http://eur-lex.europa.eu/legal-content/LIT/TXT/?uri=CELEX:32014R0909&amp;locale=lt"/>
  <Relationship Id="rId172" Type="http://schemas.openxmlformats.org/officeDocument/2006/relationships/hyperlink" TargetMode="External" Target="http://eur-lex.europa.eu/legal-content/LIT/TXT/?uri=CELEX:32014R0596&amp;locale=lt"/>
  <Relationship Id="rId173" Type="http://schemas.openxmlformats.org/officeDocument/2006/relationships/hyperlink" TargetMode="External" Target="http://eur-lex.europa.eu/legal-content/LIT/TXT/?uri=CELEX:32014R1286&amp;locale=lt"/>
  <Relationship Id="rId174" Type="http://schemas.openxmlformats.org/officeDocument/2006/relationships/hyperlink" TargetMode="External" Target="http://eur-lex.europa.eu/legal-content/LIT/TXT/?uri=CELEX:32017R1129&amp;locale=lt"/>
  <Relationship Id="rId175" Type="http://schemas.openxmlformats.org/officeDocument/2006/relationships/hyperlink" TargetMode="External" Target="http://eur-lex.europa.eu/legal-content/LIT/TXT/?uri=CELEX:32019R2033&amp;locale=lt"/>
  <Relationship Id="rId176" Type="http://schemas.openxmlformats.org/officeDocument/2006/relationships/hyperlink" TargetMode="External" Target="http://eur-lex.europa.eu/legal-content/LIT/TXT/?uri=CELEX:32010R1093&amp;locale=lt"/>
  <Relationship Id="rId177" Type="http://schemas.openxmlformats.org/officeDocument/2006/relationships/hyperlink" TargetMode="External" Target="http://eur-lex.europa.eu/legal-content/LIT/TXT/?uri=CELEX:32013R0575&amp;locale=lt"/>
  <Relationship Id="rId178" Type="http://schemas.openxmlformats.org/officeDocument/2006/relationships/hyperlink" TargetMode="External" Target="http://eur-lex.europa.eu/legal-content/LIT/TXT/?uri=CELEX:32014R0600&amp;locale=lt"/>
  <Relationship Id="rId179" Type="http://schemas.openxmlformats.org/officeDocument/2006/relationships/hyperlink" TargetMode="External" Target="http://eur-lex.europa.eu/legal-content/LIT/TXT/?uri=CELEX:32014R0806&amp;locale=lt"/>
  <Relationship Id="rId18" Type="http://schemas.openxmlformats.org/officeDocument/2006/relationships/hyperlink" TargetMode="External" Target="http://www3.lrs.lt/cgi-bin/preps2?a=227304&amp;b="/>
  <Relationship Id="rId180" Type="http://schemas.openxmlformats.org/officeDocument/2006/relationships/hyperlink" TargetMode="External" Target="http://eur-lex.europa.eu/legal-content/LIT/TXT/?uri=CELEX:32023R1114&amp;locale=lt"/>
  <Relationship Id="rId181" Type="http://schemas.openxmlformats.org/officeDocument/2006/relationships/hyperlink" TargetMode="External" Target="http://eur-lex.europa.eu/legal-content/LIT/TXT/?uri=CELEX:32023R1114&amp;locale=lt"/>
  <Relationship Id="rId182" Type="http://schemas.openxmlformats.org/officeDocument/2006/relationships/hyperlink" TargetMode="External" Target="http://eur-lex.europa.eu/legal-content/LIT/TXT/?uri=CELEX:32023R1114&amp;locale=lt"/>
  <Relationship Id="rId183" Type="http://schemas.openxmlformats.org/officeDocument/2006/relationships/hyperlink" TargetMode="External" Target="http://eur-lex.europa.eu/legal-content/LIT/TXT/?uri=CELEX:32010R1093&amp;locale=lt"/>
  <Relationship Id="rId184" Type="http://schemas.openxmlformats.org/officeDocument/2006/relationships/hyperlink" TargetMode="External" Target="http://eur-lex.europa.eu/legal-content/LIT/TXT/?uri=CELEX:32010R1095&amp;locale=lt"/>
  <Relationship Id="rId185" Type="http://schemas.openxmlformats.org/officeDocument/2006/relationships/hyperlink" TargetMode="External" Target="http://eur-lex.europa.eu/legal-content/LIT/TXT/?uri=CELEX:32013L0036&amp;locale=lt"/>
  <Relationship Id="rId186" Type="http://schemas.openxmlformats.org/officeDocument/2006/relationships/hyperlink" TargetMode="External" Target="http://eur-lex.europa.eu/legal-content/LIT/TXT/?uri=CELEX:32019L1937&amp;locale=lt"/>
  <Relationship Id="rId187" Type="http://schemas.openxmlformats.org/officeDocument/2006/relationships/hyperlink" TargetMode="External" Target="http://eur-lex.europa.eu/legal-content/LIT/TXT/?uri=CELEX:32023R2869&amp;locale=lt"/>
  <Relationship Id="rId188" Type="http://schemas.openxmlformats.org/officeDocument/2006/relationships/hyperlink" TargetMode="External" Target="http://eur-lex.europa.eu/legal-content/LIT/TXT/?uri=CELEX:32021L2167&amp;locale=lt"/>
  <Relationship Id="rId189" Type="http://schemas.openxmlformats.org/officeDocument/2006/relationships/hyperlink" TargetMode="External" Target="http://eur-lex.europa.eu/legal-content/LIT/TXT/?uri=CELEX:32008L0048&amp;locale=lt"/>
  <Relationship Id="rId19" Type="http://schemas.openxmlformats.org/officeDocument/2006/relationships/hyperlink" TargetMode="External" Target="http://www3.lrs.lt/cgi-bin/preps2?a=412373&amp;b="/>
  <Relationship Id="rId190" Type="http://schemas.openxmlformats.org/officeDocument/2006/relationships/hyperlink" TargetMode="External" Target="http://eur-lex.europa.eu/legal-content/LIT/TXT/?uri=CELEX:32014L0017&amp;locale=lt"/>
  <Relationship Id="rId191" Type="http://schemas.openxmlformats.org/officeDocument/2006/relationships/hyperlink" TargetMode="External" Target="http://eur-lex.europa.eu/legal-content/LIT/TXT/?uri=CELEX:32023R1114&amp;locale=lt"/>
  <Relationship Id="rId192" Type="http://schemas.openxmlformats.org/officeDocument/2006/relationships/hyperlink" TargetMode="External" Target="http://eur-lex.europa.eu/legal-content/LIT/TXT/?uri=CELEX:32023R1114&amp;locale=lt"/>
  <Relationship Id="rId193" Type="http://schemas.openxmlformats.org/officeDocument/2006/relationships/customXml" Target="../customXml/item1.xml"/>
  <Relationship Id="rId2" Type="http://schemas.openxmlformats.org/officeDocument/2006/relationships/endnotes" Target="endnotes.xml"/>
  <Relationship Id="rId20" Type="http://schemas.openxmlformats.org/officeDocument/2006/relationships/hyperlink" TargetMode="External" Target="http://www3.lrs.lt/cgi-bin/preps2?a=227304&amp;b="/>
  <Relationship Id="rId21" Type="http://schemas.openxmlformats.org/officeDocument/2006/relationships/hyperlink" TargetMode="External" Target="http://www3.lrs.lt/cgi-bin/preps2?a=274804&amp;b="/>
  <Relationship Id="rId22" Type="http://schemas.openxmlformats.org/officeDocument/2006/relationships/hyperlink" TargetMode="External" Target="http://www3.lrs.lt/cgi-bin/preps2?a=412356&amp;b="/>
  <Relationship Id="rId23" Type="http://schemas.openxmlformats.org/officeDocument/2006/relationships/hyperlink" TargetMode="External" Target="http://www3.lrs.lt/cgi-bin/preps2?a=412373&amp;b="/>
  <Relationship Id="rId24" Type="http://schemas.openxmlformats.org/officeDocument/2006/relationships/hyperlink" TargetMode="External" Target="http://www3.lrs.lt/cgi-bin/preps2?a=227304&amp;b="/>
  <Relationship Id="rId25" Type="http://schemas.openxmlformats.org/officeDocument/2006/relationships/hyperlink" TargetMode="External" Target="http://www3.lrs.lt/cgi-bin/preps2?a=274804&amp;b="/>
  <Relationship Id="rId26" Type="http://schemas.openxmlformats.org/officeDocument/2006/relationships/hyperlink" TargetMode="External" Target="http://www3.lrs.lt/cgi-bin/preps2?a=412356&amp;b="/>
  <Relationship Id="rId27" Type="http://schemas.openxmlformats.org/officeDocument/2006/relationships/hyperlink" TargetMode="External" Target="http://www3.lrs.lt/cgi-bin/preps2?a=213881&amp;b="/>
  <Relationship Id="rId28" Type="http://schemas.openxmlformats.org/officeDocument/2006/relationships/hyperlink" TargetMode="External" Target="http://www3.lrs.lt/cgi-bin/preps2?a=230454&amp;b="/>
  <Relationship Id="rId29" Type="http://schemas.openxmlformats.org/officeDocument/2006/relationships/hyperlink" TargetMode="External" Target="http://www3.lrs.lt/cgi-bin/preps2?a=274804&amp;b="/>
  <Relationship Id="rId3" Type="http://schemas.openxmlformats.org/officeDocument/2006/relationships/fontTable" Target="fontTable.xml"/>
  <Relationship Id="rId30" Type="http://schemas.openxmlformats.org/officeDocument/2006/relationships/hyperlink" TargetMode="External" Target="http://www3.lrs.lt/cgi-bin/preps2?a=361205&amp;b="/>
  <Relationship Id="rId31" Type="http://schemas.openxmlformats.org/officeDocument/2006/relationships/hyperlink" TargetMode="External" Target="http://www3.lrs.lt/cgi-bin/preps2?a=412356&amp;b="/>
  <Relationship Id="rId32" Type="http://schemas.openxmlformats.org/officeDocument/2006/relationships/hyperlink" TargetMode="External" Target="http://www3.lrs.lt/cgi-bin/preps2?a=478702&amp;b="/>
  <Relationship Id="rId33" Type="http://schemas.openxmlformats.org/officeDocument/2006/relationships/hyperlink" TargetMode="External" Target="http://www3.lrs.lt/cgi-bin/preps2?a=361206&amp;b="/>
  <Relationship Id="rId34" Type="http://schemas.openxmlformats.org/officeDocument/2006/relationships/hyperlink" TargetMode="External" Target="http://www3.lrs.lt/cgi-bin/preps2?a=412373&amp;b="/>
  <Relationship Id="rId35" Type="http://schemas.openxmlformats.org/officeDocument/2006/relationships/hyperlink" TargetMode="External" Target="http://www3.lrs.lt/cgi-bin/preps2?a=227304&amp;b="/>
  <Relationship Id="rId36" Type="http://schemas.openxmlformats.org/officeDocument/2006/relationships/hyperlink" TargetMode="External" Target="http://www3.lrs.lt/cgi-bin/preps2?a=396597&amp;b="/>
  <Relationship Id="rId37" Type="http://schemas.openxmlformats.org/officeDocument/2006/relationships/hyperlink" TargetMode="External" Target="http://www3.lrs.lt/cgi-bin/preps2?a=396597&amp;b="/>
  <Relationship Id="rId38" Type="http://schemas.openxmlformats.org/officeDocument/2006/relationships/hyperlink" TargetMode="External" Target="http://www3.lrs.lt/cgi-bin/preps2?a=396597&amp;b="/>
  <Relationship Id="rId39" Type="http://schemas.openxmlformats.org/officeDocument/2006/relationships/hyperlink" TargetMode="External" Target="http://www3.lrs.lt/cgi-bin/preps2?a=227304&amp;b="/>
  <Relationship Id="rId4" Type="http://schemas.openxmlformats.org/officeDocument/2006/relationships/footnotes" Target="footnotes.xml"/>
  <Relationship Id="rId40" Type="http://schemas.openxmlformats.org/officeDocument/2006/relationships/hyperlink" TargetMode="External" Target="http://www3.lrs.lt/cgi-bin/preps2?a=230454&amp;b="/>
  <Relationship Id="rId41" Type="http://schemas.openxmlformats.org/officeDocument/2006/relationships/hyperlink" TargetMode="External" Target="http://www3.lrs.lt/cgi-bin/preps2?a=274804&amp;b="/>
  <Relationship Id="rId42" Type="http://schemas.openxmlformats.org/officeDocument/2006/relationships/hyperlink" TargetMode="External" Target="http://www3.lrs.lt/cgi-bin/preps2?a=396599&amp;b="/>
  <Relationship Id="rId43" Type="http://schemas.openxmlformats.org/officeDocument/2006/relationships/hyperlink" TargetMode="External" Target="http://www3.lrs.lt/cgi-bin/preps2?a=412356&amp;b="/>
  <Relationship Id="rId44" Type="http://schemas.openxmlformats.org/officeDocument/2006/relationships/hyperlink" TargetMode="External" Target="http://www3.lrs.lt/cgi-bin/preps2?a=478702&amp;b="/>
  <Relationship Id="rId45" Type="http://schemas.openxmlformats.org/officeDocument/2006/relationships/hyperlink" TargetMode="External" Target="http://www3.lrs.lt/cgi-bin/preps2?a=340369&amp;b="/>
  <Relationship Id="rId46" Type="http://schemas.openxmlformats.org/officeDocument/2006/relationships/hyperlink" TargetMode="External" Target="http://www3.lrs.lt/cgi-bin/preps2?a=361206&amp;b="/>
  <Relationship Id="rId47" Type="http://schemas.openxmlformats.org/officeDocument/2006/relationships/hyperlink" TargetMode="External" Target="http://www3.lrs.lt/cgi-bin/preps2?a=396597&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hyperlink" TargetMode="External" Target="http://www3.lrs.lt/cgi-bin/preps2?a=206757&amp;b="/>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412373&amp;b="/>
  <Relationship Id="rId52" Type="http://schemas.openxmlformats.org/officeDocument/2006/relationships/hyperlink" TargetMode="External" Target="http://www3.lrs.lt/cgi-bin/preps2?a=227304&amp;b="/>
  <Relationship Id="rId53" Type="http://schemas.openxmlformats.org/officeDocument/2006/relationships/hyperlink" TargetMode="External" Target="http://www3.lrs.lt/cgi-bin/preps2?a=274804&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96597&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227304&amp;b="/>
  <Relationship Id="rId58" Type="http://schemas.openxmlformats.org/officeDocument/2006/relationships/hyperlink" TargetMode="External" Target="http://www3.lrs.lt/cgi-bin/preps2?a=386459&amp;b="/>
  <Relationship Id="rId59" Type="http://schemas.openxmlformats.org/officeDocument/2006/relationships/hyperlink" TargetMode="External" Target="http://www3.lrs.lt/cgi-bin/preps2?a=396597&amp;b="/>
  <Relationship Id="rId6" Type="http://schemas.openxmlformats.org/officeDocument/2006/relationships/hyperlink" TargetMode="External" Target="http://www3.lrs.lt/cgi-bin/preps2?a=227304&amp;b="/>
  <Relationship Id="rId60" Type="http://schemas.openxmlformats.org/officeDocument/2006/relationships/hyperlink" TargetMode="External" Target="http://www3.lrs.lt/cgi-bin/preps2?a=396597&amp;b="/>
  <Relationship Id="rId61" Type="http://schemas.openxmlformats.org/officeDocument/2006/relationships/hyperlink" TargetMode="External" Target="http://www3.lrs.lt/cgi-bin/preps2?a=396597&amp;b="/>
  <Relationship Id="rId62" Type="http://schemas.openxmlformats.org/officeDocument/2006/relationships/hyperlink" TargetMode="External" Target="http://www3.lrs.lt/cgi-bin/preps2?a=2273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27304&amp;b="/>
  <Relationship Id="rId68" Type="http://schemas.openxmlformats.org/officeDocument/2006/relationships/hyperlink" TargetMode="External" Target="http://www3.lrs.lt/cgi-bin/preps2?a=274804&amp;b="/>
  <Relationship Id="rId69" Type="http://schemas.openxmlformats.org/officeDocument/2006/relationships/hyperlink" TargetMode="External" Target="http://www3.lrs.lt/cgi-bin/preps2?a=227304&amp;b="/>
  <Relationship Id="rId7" Type="http://schemas.openxmlformats.org/officeDocument/2006/relationships/hyperlink" TargetMode="External" Target="http://www3.lrs.lt/cgi-bin/preps2?a=359889&amp;b="/>
  <Relationship Id="rId70" Type="http://schemas.openxmlformats.org/officeDocument/2006/relationships/hyperlink" TargetMode="External" Target="http://www3.lrs.lt/cgi-bin/preps2?a=227304&amp;b="/>
  <Relationship Id="rId71" Type="http://schemas.openxmlformats.org/officeDocument/2006/relationships/hyperlink" TargetMode="External" Target="http://www3.lrs.lt/cgi-bin/preps2?a=2748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412356&amp;b="/>
  <Relationship Id="rId74" Type="http://schemas.openxmlformats.org/officeDocument/2006/relationships/hyperlink" TargetMode="External" Target="http://www3.lrs.lt/cgi-bin/preps2?a=274804&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hyperlink" TargetMode="External" Target="http://www3.lrs.lt/cgi-bin/preps2?a=415118&amp;b="/>
  <Relationship Id="rId80" Type="http://schemas.openxmlformats.org/officeDocument/2006/relationships/hyperlink" TargetMode="External" Target="http://www3.lrs.lt/cgi-bin/preps2?a=412356&amp;b="/>
  <Relationship Id="rId81" Type="http://schemas.openxmlformats.org/officeDocument/2006/relationships/hyperlink" TargetMode="External" Target="http://www3.lrs.lt/cgi-bin/preps2?a=274804&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396599&amp;b="/>
  <Relationship Id="rId84" Type="http://schemas.openxmlformats.org/officeDocument/2006/relationships/hyperlink" TargetMode="External" Target="http://www3.lrs.lt/cgi-bin/preps2?a=396597&amp;b="/>
  <Relationship Id="rId85" Type="http://schemas.openxmlformats.org/officeDocument/2006/relationships/hyperlink" TargetMode="External" Target="http://www3.lrs.lt/cgi-bin/preps2?a=274804&amp;b="/>
  <Relationship Id="rId86" Type="http://schemas.openxmlformats.org/officeDocument/2006/relationships/hyperlink" TargetMode="External" Target="http://www3.lrs.lt/cgi-bin/preps2?a=227304&amp;b="/>
  <Relationship Id="rId87" Type="http://schemas.openxmlformats.org/officeDocument/2006/relationships/hyperlink" TargetMode="External" Target="http://www3.lrs.lt/cgi-bin/preps2?a=274804&amp;b="/>
  <Relationship Id="rId88" Type="http://schemas.openxmlformats.org/officeDocument/2006/relationships/hyperlink" TargetMode="External" Target="http://www3.lrs.lt/cgi-bin/preps2?a=412373&amp;b="/>
  <Relationship Id="rId89" Type="http://schemas.openxmlformats.org/officeDocument/2006/relationships/hyperlink" TargetMode="External" Target="http://www3.lrs.lt/cgi-bin/preps2?a=361206&amp;b="/>
  <Relationship Id="rId9" Type="http://schemas.openxmlformats.org/officeDocument/2006/relationships/settings" Target="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230454&amp;b="/>
  <Relationship Id="rId92" Type="http://schemas.openxmlformats.org/officeDocument/2006/relationships/hyperlink" TargetMode="External" Target="http://www3.lrs.lt/cgi-bin/preps2?a=361206&amp;b="/>
  <Relationship Id="rId93" Type="http://schemas.openxmlformats.org/officeDocument/2006/relationships/hyperlink" TargetMode="External" Target="http://www3.lrs.lt/cgi-bin/preps2?a=412373&amp;b="/>
  <Relationship Id="rId94" Type="http://schemas.openxmlformats.org/officeDocument/2006/relationships/hyperlink" TargetMode="External" Target="http://www3.lrs.lt/cgi-bin/preps2?a=230454&amp;b="/>
  <Relationship Id="rId95" Type="http://schemas.openxmlformats.org/officeDocument/2006/relationships/hyperlink" TargetMode="External" Target="http://www3.lrs.lt/cgi-bin/preps2?a=361206&amp;b="/>
  <Relationship Id="rId96" Type="http://schemas.openxmlformats.org/officeDocument/2006/relationships/hyperlink" TargetMode="External" Target="http://www3.lrs.lt/cgi-bin/preps2?a=412373&amp;b="/>
  <Relationship Id="rId97" Type="http://schemas.openxmlformats.org/officeDocument/2006/relationships/hyperlink" TargetMode="External" Target="http://www3.lrs.lt/cgi-bin/preps2?a=22730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bd10776c89c14307b5e9d33125d66525">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52f59de694e74ee6b7c85c1983e1b524"/>
          <Part Type="strPunktas" Nr="2" Abbr="8 str. 2 d. 2 p." DocPartId="b3868047df464081881a9542ad80932f" PartId="3d348fd3ec4540b4a78d28a4348377e1"/>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938e214d018a4bd490d20e4529839cda"/>
          <Part Type="strPunktas" Nr="6" Abbr="8 str. 2 d. 6 p." DocPartId="6fd71c339d1644d2b2bb2f2060b379b3" PartId="3b7be7496eaf441688548c109e144c93"/>
          <Part Type="strPunktas" Nr="7" Abbr="8 str. 2 d. 7 p." DocPartId="e815d6e60ff7431da4aa1dc10ed383ab" PartId="7b21fcb1d0d0437c8e5187c6a945ebbc"/>
          <Part Type="strPunktas" Nr="8" Abbr="8 str. 2 d. 8 p." DocPartId="5eef174774064bdda7fb313d8253a46f" PartId="4f7be222dc6f4d1486528b0ceb3a3851"/>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48a92f9090ec4dc493e41fdfcdc2c935">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fb56c73ba1ea49829cce1759a294c0aa"/>
          <Part Type="strPunktas" Nr="14-1" Abbr="14-1 p." DocPartId="dd9d76045deb4b9cb517db4275bf0246" PartId="40eb95e6cb094c9092254e0e5a42be5f"/>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a6f2c0cb752b4af58314d4ff25ebbc90"/>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pareigos nusišalinti įgyvendinimas" DocPartId="56ce483e47484487b9c6fc274dd6554b" PartId="6af15f5bc3154d3eb875dc14d536236c">
        <Part Type="strDalis" Nr="1" Abbr="15 str. 1 d." DocPartId="2781c9b488f946ebb1bffc7c6386d2f6" PartId="ea6f6f14e6074a439fdcc7140f698d9b"/>
        <Part Type="strDalis" Nr="2" Abbr="15 str. 2 d." DocPartId="89533765744e4492a9d6e48ac5ec3e59" PartId="3b1a651ecbf745c9ae99a5317bf3d3fc"/>
        <Part Type="strDalis" Nr="3" Abbr="15 str. 3 d." DocPartId="834abf1026e5474e9fbd24e4393cecba" PartId="37b996bea1ba49098839aba790c8e38f"/>
        <Part Type="strDalis" Nr="4" Abbr="15 str. 4 d." DocPartId="37feb8fb02ca4f908a1d100ac7048d36" PartId="a9e1631ec5984c93b4c4210ce16f850e"/>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7ed965cb281f451fa96eae5896b172a1">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8bc6b8c1a2fe42cbb63088287c123f6a">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211 straipsnis. Finansų rinkos priežiūros, finansų sektoriaus subjektų pertvarkymo institucijos ir pagrindinių sandorio šalių pertvarkymo institucijos veiklos finansavimas“." DocPartId="f112f97013c2466797805abfdcc982cf" PartId="4956cde4e38c420790ca8e40e2ce2158">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Type="strDalis" Nr="7" Abbr="7 d." DocPartId="636ea5ccca7c4497a63ff6d26b480655" PartId="fd67b8837c494c89af8e7d1cef9bcbbb"/>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7487763b72b44790bde0a48d61f73af7">
        <Part Type="strDalis" Nr="1" Abbr="23 str. 1 d." DocPartId="21abd271e89b476abf2f1a36eca5e8aa" PartId="ebf7c04a01a44b7d8d865a38c4137945"/>
        <Part Type="strDalis" Nr="2" Abbr="23 str. 2 d." DocPartId="c0cc6662b5494b7ea9038bc306a48c82" PartId="67656bb77a754124a62aff07c36526b8"/>
        <Part Type="strDalis" Nr="3" Abbr="23 str. 3 d." DocPartId="e43d25422de643b1b548a5905105d7f7" PartId="93866160eba54ba3b13496549ff33f20">
          <Part Type="strPunktas" Nr="1" Abbr="23 str. 3 d. 1 p." DocPartId="754eea5bb8cd4f999c11d121446615f6" PartId="49ebc5a398f0401baaaf42e7b805e78b"/>
          <Part Type="strPunktas" Nr="2" Abbr="23 str. 3 d. 2 p." DocPartId="83c72dd3c2fa47c9b34c43b23ae5518e" PartId="84fad8ec0d9f4bc287c54152499a7023"/>
          <Part Type="strPunktas" Nr="3" Abbr="23 str. 3 d. 3 p." DocPartId="112c80cd82e0429590e594d73d17f869" PartId="9999958c0c08420194340d6073422472"/>
          <Part Type="strPunktas" Nr="4" Abbr="23 str. 3 d. 4 p." DocPartId="58ef79e31ebc4ff5a5c1dbaf399525c3" PartId="0246834eec45468288a510d127a1f9d3"/>
        </Part>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ŠEŠTASIS SKIRSNIS FISKALINIO AGENTO FUNKCIJOS“." DocPartId="9a3557c341ea44778070d3bf5564d9b3" PartId="b179321a49a64ac89c9b491e2aefb17c">
      <Part Type="straipsnis" Nr="37" Abbr="37 str." DocPartId="8105556de1b44784a2655f2efa7f8813" PartId="2dc899f9905a4422b892d9ad1772e314"/>
      <Part Type="straipsnis" Nr="38" Abbr="38 str." Title="Viešųjų subjektų sąskaitų tvarkymas ir finansinių operacijų viešiesiems subjektams atlikimas" DocPartId="8b9753400b964f5382d0871712bdee71" PartId="114542aac8744aa1bdc1d6766fd24779">
        <Part Type="strDalis" Nr="1" Abbr="38 str. 1 d." DocPartId="e8dc793d11d547ce9d75c864edd2abf3" PartId="e3e3a852192a4c5b86774dd085652bea"/>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96f1e3a076ab41daa162a4b17f030209"/>
        <Part Type="strDalis" Nr="2" Abbr="42 str. 2 d." DocPartId="c7009312ed4446af8963ebab66c916b0" PartId="31b1da8f8a8749419990128679c49e31">
          <Part Type="strPunktas" Nr="1" Abbr="42 str. 2 d. 1 p." DocPartId="95994358b18a4dc6a7ba4c7c9c75bf41" PartId="725a7997be744c26978fff2551e00032"/>
          <Part Type="strPunktas" Nr="2" Abbr="42 str. 2 d. 2 p." DocPartId="878c57960cae40b2af0c8f5de9211732" PartId="80726d0f3b4e4792babf25bdaea0c8dd"/>
          <Part Type="strPunktas" Nr="3" Abbr="42 str. 2 d. 3 p." DocPartId="77ebd4ca67d64668814cd2cc2afd3e64" PartId="7ebd56905eb9460596297b10271d3d26"/>
          <Part Type="strPunktas" Nr="4" Abbr="42 str. 2 d. 4 p." DocPartId="a111604f6d2a4eda8d78998806798303" PartId="752f170494f349e889d8bbbc5b26494e"/>
          <Part Type="strPunktas" Nr="5" Abbr="42 str. 2 d. 5 p." DocPartId="3e2e68e4cacf4fe9a7fe5cfa69369534" PartId="bac50210af524032a55123146f68646b"/>
          <Part Type="strPunktas" Nr="6" Abbr="42 str. 2 d. 6 p." DocPartId="a959a9b96b2c46faba7fc0446d32eba8" PartId="ccff1aa9e8a14ef0832337cb8013a308"/>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1c8a1250a5764bcc84ee69d03c03be76"/>
          <Part Type="strPunktas" Nr="11" Abbr="42 str. 2 d. 11 p." DocPartId="4b9fae06d6c747b0ac5736aa002a0b33" PartId="5022700965a44fe6a9c9d871c734ff65"/>
          <Part Type="strPunktas" Nr="12" Abbr="42 str. 2 d. 12 p." DocPartId="c3642e3a2030404c964127383e220e7b" PartId="11dfc26ad62c4ea9a85b9f48bd91bd06"/>
          <Part Type="strPunktas" Nr="13" Abbr="42 str. 2 d. 13 p." DocPartId="c94bb3385c894f52bc900fd12e7eb6d5" PartId="361217dad83f46fea7a2f8e2024d15ca"/>
          <Part Type="strPunktas" Nr="14" Abbr="14 p." DocPartId="e81603cbdaf04f63a4f91188360537d9" PartId="42635e529bb84a2eb87d568b6899a343"/>
          <Part Type="strPunktas" Nr="15" Abbr="15 p." DocPartId="e020fec210534a8f8bcf9db8cb739abd" PartId="1759d1d63f3b4a58be751181c688b3c1"/>
          <Part Type="strPunktas" Nr="16" Abbr="16 p." DocPartId="42f2fe54286b4ebb9d41e422aad4dbe7" PartId="bf918738a61e4a14a6407d76f68b80e9"/>
          <Part Type="strPunktas" Nr="17" Abbr="42 str. 2 d. 17 p." DocPartId="d34ae8cf3adb4f2cb83f4be185a41ce1" PartId="fa8636ea9763414da6fdcd96f2b9b2c7"/>
          <Part Type="strPunktas" Nr="18" Abbr="18 p." DocPartId="10c0805ed4154e1ba3ed431dd9812e1b" PartId="6fc52758489d4f73b3a3a99c2b46097c"/>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5c064b716e7e4345938c029362e2b516"/>
          <Part Type="strPunktas" Nr="6" Abbr="42 str. 4 d. 6 p." DocPartId="a15b224313014767b76bc7b9926c984e" PartId="90150f93cbad4422a4d79d027d063960"/>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e5a5cb9321054f579d2dfc5f929f720c"/>
        <Part Type="strDalis" Nr="8" Abbr="42 str. 8 d." DocPartId="c9459246896145c7ac09dfdaff59c157" PartId="ca3f8a6b6c2d43c5b8ce04b2681ec259"/>
        <Part Type="strDalis" Nr="9" Abbr="42 str. 9 d." DocPartId="8db5481a41414559b3321c813a5056e5" PartId="13ac469b5a5743bfae031b572a826cf1"/>
        <Part Type="strDalis" Nr="10" Abbr="42 str. 10 d." DocPartId="ee0a5d063daf41e59a1b80a2bbaf9eae" PartId="59932e97f76f43328c4a01cb56cb3fe1"/>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685f54f7cecb4885a6b80190564fe5f9"/>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491cb0e8c59d4940a1d5e5a39bf26ba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9432fd19d7454350acb574c3c8dc00e7"/>
          <Part Type="strPunktas" Nr="6" Abbr="43 str. 7 d. 6 p." DocPartId="4eec2bad58404ec8bb496b31ee2aa97f" PartId="894ef701bb6a4b7b99514da6d6a4d4a9"/>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25e904ae273749b5b621ae2ebfc7b85f"/>
          <Part Type="strPunktas" Nr="10" Abbr="43 str. 7 d. 10 p." DocPartId="e5a7df614c5f4ad7a7d4452d01fae5fa" PartId="3299448453c941c1afa24fb3bdab3e6e"/>
          <Part Type="strPunktas" Nr="11" Abbr="43 str. 7 d. 11 p." DocPartId="e6caa3313f41400b99ae0edce4309e49" PartId="4e1edf069d2b4408a2beb74173d394a7"/>
          <Part Type="strPunktas" Nr="12" Abbr="43 str. 7 d. 12 p." DocPartId="3c86e1067adc4b958dc91f8d94f8a757" PartId="eb5c94032d244b2fa63ec4f1b7cbb0ea"/>
          <Part Type="strPunktas" Nr="13" Abbr="43 str. 7 d. 13 p." DocPartId="0467e3a3b13d45ac82ad2afa7d54e84b" PartId="35ac06cfb47a406ca1b6131b224a9c9e"/>
          <Part Type="strPunktas" Nr="14" Abbr="43 str. 7 d. 14 p." DocPartId="9554602f88124e92a2fb079400d78e31" PartId="cfbd6e0be2e14ee993e7bdd781c3a12b"/>
          <Part Type="strPunktas" Nr="15" Abbr="43 str. 7 d. 15 p." DocPartId="eb6d1d5cde0840f89eaf22f9a4655917" PartId="d8a807398a3e4730978bb8b2e463074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647bf12006c9411ea3113bf650f34387"/>
          <Part Type="strPunktas" Nr="19" Abbr="19 p." DocPartId="9afefd0dbea84b1aa1cc90faefb658d1" PartId="64d499c34c7e4d0d9ae59520fff75d81"/>
          <Part Type="strPunktas" Nr="20" Abbr="20 p." DocPartId="448bfa64e47c4868bcecf054d6b9aba7" PartId="a9d855bda1ea44f4a7e8b91aa0d8d36a"/>
          <Part Type="strPunktas" Nr="21" Abbr="21 p." DocPartId="f4daaf2273cc45c6b565e046baf76406" PartId="c01aa4878dcb4307af7d82ad0ed2d8d7"/>
        </Part>
        <Part Type="strDalis" Nr="8" Abbr="43 str. 8 d." DocPartId="b49dfc8b8acb4b5fb8bbeda6b997c168" PartId="196e9a673d3c4558964ddedc060f2fd1"/>
        <Part Type="strDalis" Nr="9" Abbr="43 str. 9 d." DocPartId="594c8bc9c773407e9b6872393ad83ebb" PartId="eab021f58a134b4fb931b34c3acd754f"/>
        <Part Type="strDalis" Nr="10" Abbr="43 str. 10 d." DocPartId="fa887291729a4f16a41002535c1cbef1" PartId="0690a4d6e89042699aadb8326b916aad"/>
        <Part Type="strDalis" Nr="11" Abbr="43 str. 11 d." DocPartId="565ed592fc9841cda9ce54af3c0235ca" PartId="82c3dffeff12453ea9f04bbb42587502"/>
        <Part Type="strDalis" Nr="12" Abbr="43 str. 12 d." DocPartId="8155a234247a4fac98c0f6550d2203b9" PartId="960041c2c8a5458e89af9ab6bfdcda76"/>
        <Part Type="strDalis" Nr="13" Abbr="43 str. 13 d." DocPartId="4867d12541934e61a011bcdcf9b66f0a" PartId="664203525a774b3da1c5e0c28d854f29"/>
      </Part>
      <Part Type="straipsnis" Nr="43-1" Abbr="43-1 str." Title="Prašymų išduoti licenciją, leidimą, sutikimą arba atlikti kitus veiksmus nagrinėjimas ir Lietuvos banko sprendimai" DocPartId="4be1f2afb40a46a198913541c5c3e9e3" PartId="119580685823474bab378cbf5cc7a164">
        <Part Type="strDalis" Nr="1" Abbr="43-1 str. 1 d." DocPartId="1cca9380f370479583c7c9ae93d0436b" PartId="55b049e138d04af5bc6dfe4327cdde45"/>
        <Part Type="strDalis" Nr="2" Abbr="43-1 str. 2 d." DocPartId="70c862cda0a74701932c5652f3ec72a9" PartId="1247a26486a34bedacdc4a59089e9395"/>
        <Part Type="strDalis" Nr="3" Abbr="43-1 str. 3 d." DocPartId="a28186912527414bb43d873852d4d969" PartId="e3a2560976dc45e6a00c7774709b68c8"/>
        <Part Type="strDalis" Nr="4" Abbr="43-1 str. 4 d." DocPartId="e8e0e6faf1f04cbebd390df371e96867" PartId="689e975560734eae86abad0a9c253e75"/>
      </Part>
      <Part Type="straipsnis" Nr="43-2" Abbr="43-2 str." Title="Lietuvos banko duodami privalomi nurodymai" DocPartId="654fb9a34d2c4a4a83451e89bca0da06" PartId="a8402023f4f04a0f8a46b87dfa1facc3">
        <Part Type="strDalis" Nr="1" Abbr="43-2 str. 1 d." DocPartId="d3daaff2d95f443697dcaba3a6c5884c" PartId="c2f02ae572b44741acdee4507365c022"/>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5 d." DocPartId="4757f495979b47a380ed683ddbd5fa5d" PartId="0cd99273aaa04f5eb3278eb6d6c2676b"/>
        <Part Type="strDalis" Nr="6" Abbr="43-2 str. 6 d." DocPartId="707be677be07475e9bcb28e50bcdddba" PartId="ca0cada581794232bd424e539a3ecdd3"/>
        <Part Type="strDalis" Nr="7" Abbr="43-2 str. 7 d." DocPartId="204bc5a22cc949758197a81ebf3c9b83" PartId="5acf2c4615be4fe3854f70199e84459f"/>
        <Part Type="strDalis" Nr="8" Abbr="43-2 str. 8 d." DocPartId="a9bf5deb6ea9483cabed809c5c86ea14" PartId="a0873650ec5e4a8d9b4aa2d5bedb78be"/>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49a4fe506b364c83a34efbbb4d421f5c"/>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7f6da0f9ed434f89846ca9755f7cfc56"/>
        <Part Type="strDalis" Nr="15" Abbr="43-3 str. 15 d." DocPartId="a9dacea4fbb84ca0a3df64cad14bede8" PartId="8c47a56f06b7459da119b4e209d0e193"/>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Poveikio priemonių taikymas sudarant administracinį susitarimą" DocPartId="c6f09f17a6dc493fb61ab50a8b361c3c" PartId="28ca78114c714520a6de297319b4c852">
        <Part Type="strDalis" Nr="1" Abbr="43-4 str. 1 d." DocPartId="eb8652fdd28844668c8e2a60c806837c" PartId="0e47150ceec24efaace45de6f590dd42"/>
        <Part Type="strDalis" Nr="2" Abbr="43-4 str. 2 d." DocPartId="db2cae13217d4c7c874c8d2fcc55be13" PartId="3c7234997cc442119d973e7c622772b3"/>
        <Part Type="strDalis" Nr="3" Abbr="43-4 str. 3 d." DocPartId="54f405aad5044eecab4c4a540002e640" PartId="d089725faa7c460f8fffe6d567ca6d98"/>
        <Part Type="strDalis" Nr="4" Abbr="43-4 str. 4 d." DocPartId="69f9b9301c624365b526872ce967eab2" PartId="106a9b814ac4420d913c5249a347ca34">
          <Part Type="strPunktas" Nr="1" Abbr="43-4 str. 4 d. 1 p." DocPartId="a67370b323b04124b45fac69adb23333" PartId="7ecfd30c35a3412e98927c3b61c82003"/>
          <Part Type="strPunktas" Nr="2" Abbr="43-4 str. 4 d. 2 p." DocPartId="38e566c673db4d18943d95147bf33cdc" PartId="c22ecd9c72224f0eb69527c8629ab9b8"/>
          <Part Type="strPunktas" Nr="3" Abbr="43-4 str. 4 d. 3 p." DocPartId="0dbf711849fd447db67f9cd5fb54976a" PartId="4eadeb379c2b4e81bbecda00b0ee06e9"/>
          <Part Type="strPunktas" Nr="4" Abbr="43-4 str. 4 d. 4 p." DocPartId="d49229aa65b149e682f6e760e3aae8b2" PartId="94c19daacf51417e9565799ee5fc6efc"/>
          <Part Type="strPunktas" Nr="5" Abbr="43-4 str. 4 d. 5 p." DocPartId="549db48d4e2e4b8b93ceae5eb5a174fa" PartId="5882f0d4854349469e0fae4cebcc4602"/>
        </Part>
        <Part Type="strDalis" Nr="5" Abbr="43-4 str. 5 d." DocPartId="faadd2b0c6b24f0bb760d4b8b96f2c7e" PartId="f899efc6b4af4410bfc835153f7aca6e"/>
        <Part Type="strDalis" Nr="6" Abbr="43-4 str. 6 d." DocPartId="a94cf5d819344343b465084fb99b9bbb" PartId="63fa00884cb24b1f9884cb3015d7abc3"/>
        <Part Type="strDalis" Nr="7" Abbr="43-4 str. 7 d." DocPartId="933a709d1fdd4753ae5e537e678d0034" PartId="919feb146d6f4d9aaf704c526f9ebe68">
          <Part Type="strPunktas" Nr="1" Abbr="43-4 str. 7 d. 1 p." DocPartId="4d7d50d684e14c7eabd3a6ef19a48b47" PartId="a22fd399e87141239decd2dbbef3932f"/>
          <Part Type="strPunktas" Nr="2" Abbr="43-4 str. 7 d. 2 p." DocPartId="9faa692f504a43f0b02fe74bbdb90f7b" PartId="a114ac7f13cc4a6286056e0388068517"/>
          <Part Type="strPunktas" Nr="3" Abbr="43-4 str. 7 d. 3 p." DocPartId="492198cd11d84c75b67ac7f05fa5d9d5" PartId="7289086af03f4fa1bd76451e3facb0e8"/>
          <Part Type="strPunktas" Nr="4" Abbr="43-4 str. 7 d. 4 p." DocPartId="5154dc05a9f346c9b427ba41be755682" PartId="458b8cec2ef7411b9849f4bc349650ad"/>
        </Part>
        <Part Type="strDalis" Nr="8" Abbr="43-4 str. 8 d." DocPartId="9e1fca276338405e8727988edf72fad2" PartId="8ff8cabb13514ca2a38c0c46450978f2"/>
        <Part Type="strDalis" Nr="9" Abbr="43-4 str. 9 d." DocPartId="d4117f0851ae4a7dae80c7e8fef03fbe" PartId="69d54c55ddff44da9eda5d9ea0198221"/>
        <Part Type="strDalis" Nr="10" Abbr="43-4 str. 10 d." DocPartId="8d91cc13156f4f579a198d87a7001a04" PartId="044577978f4d49bd89ea9c5d842968e5"/>
        <Part Type="strDalis" Nr="11" Abbr="43-4 str. 11 d." DocPartId="9d9bb68b435e4ce4ad9bb2771193dd77" PartId="6c3a45ed952f47adb6d0e29486403257"/>
        <Part Type="strDalis" Nr="12" Abbr="43-4 str. 12 d." DocPartId="ff62480bf97a473780c9e2cb9bbb51e7" PartId="ccbe4bfba8c34a039a95ddac219099df"/>
        <Part Type="strDalis" Nr="13" Abbr="43-4 str. 13 d." DocPartId="9b489f8d04e544f7b539ad821e96aa84" PartId="27c3e72b3f4846eeb0a94cb78f03fae9"/>
      </Part>
      <Part Type="straipsnis" Nr="43-5" Abbr="43-5 str." Title="Lietuvos banko teisė netaikyti poveikio priemonių" DocPartId="7bbc144f027c43c987d2c06865edc26f" PartId="6c3ab8d20cd6494cbef53170ac960f81">
        <Part Type="strDalis" Nr="1" Abbr="43-4 str. 1 d." DocPartId="18083b43b4ed44728f502d4368b82b0c" PartId="1228daed62a14f77b70b9afbfb1272c8"/>
      </Part>
      <Part Type="straipsnis" Nr="43-6" Abbr="43-6 str." Title="Lietuvos banko sprendimų, veiksmų (neveikimo) apskundimas" DocPartId="2a36d770702044b28140ba3b2d15138e" PartId="b59f6532033a4ad49291a5ddbadd2911">
        <Part Type="strDalis" Nr="1" Abbr="43-6 str. 1 d." DocPartId="21c8b39f16dc4d1ea5e243db3408f82a" PartId="3b05c7cd41c64289a4c44573a11fc942"/>
        <Part Type="strDalis" Nr="2" Abbr="43-6 str. 2 d." DocPartId="e5ea595e2115451ebfcb8da4b07caebf" PartId="989d381455d241d89a5fe4cb7e94175c"/>
      </Part>
      <Part Type="straipsnis" Nr="43-7" Abbr="43-7 str." Title="Piniginių baudų išieškojimas" DocPartId="b88570af5e3449308f66d44429d5192f" PartId="1dcb1c74d16b497e902989a7b9e73673">
        <Part Type="strDalis" Nr="1" Abbr="43-7 str. 1 d." DocPartId="4ba221004c864b95bb76f71a989aae4a" PartId="6d70ce5bd5ae4442930fa691e4d08a4a"/>
        <Part Type="strDalis" Nr="2" Abbr="43-7 str. 2 d." DocPartId="9f8e63366e554c3893495ed51c60d5ad" PartId="8f60b54fe79f4103bda69623db0b2460"/>
        <Part Type="strDalis" Nr="3" Abbr="43-7 str. 3 d." DocPartId="ce0f8d9ddea84e81a982d8a9de21d464" PartId="6c3e3f8a866d4fbd868b88e80fa3c72a"/>
      </Part>
      <Part Type="straipsnis" Nr="43-8" Abbr="43-8 str." Title="Pranešimas apie pažeidimus" DocPartId="aba34f5a84514223aba65cf9c0369971" PartId="0ae7323ba9644127af3d4caccc979c28">
        <Part Type="strDalis" Nr="1" Abbr="43-7 str. 1 d." DocPartId="7f8e2351e77241ebb7675f4aa6437e0e" PartId="5c6093262db34612abd8a09e6702d93d">
          <Part Type="strPunktas" Nr="1" Abbr="43-7 str. 1 d. 1 p." DocPartId="1190d3342992459d876b94292e78df88" PartId="ad46b38553844d07ad4fff4624e5e0e3"/>
          <Part Type="strPunktas" Nr="2" Abbr="43-7 str. 1 d. 2 p." DocPartId="a42d7c8c61b5408d9481396f509e0a31" PartId="e426385f302343f68f3a43d523f2db9e"/>
          <Part Type="strPunktas" Nr="3" Abbr="43-7 str. 1 d. 3 p." DocPartId="7e2bce8d43994f5e898cef48d91ca53a" PartId="c3d1c8f894804101a3fc5a6cf18405a3"/>
          <Part Type="strPunktas" Nr="4" Abbr="43-7 str. 1 d. 4 p." DocPartId="3716873efe884d3098ca4b5cbb6deac7" PartId="e2c0095ee71e432d8e68d437c200f9e8"/>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5548a4518e714c25bbc4a3495c1d8101">
        <Part Type="strDalis" Nr="1" Abbr="47 str. 1 d." DocPartId="4bb7954c35934cd38d6de200176645bd" PartId="1976f3ae0dd74aa898aa4ffd6f36aa32">
          <Part Type="strPunktas" Nr="1" Abbr="47 str. 1 d. 1 p." DocPartId="3ef3f31c48c240a29b4f338f988795bd" PartId="b4e64a325a35429db2b79fc04a4df7ef"/>
          <Part Type="strPunktas" Nr="2" Abbr="47 str. 1 d. 2 p." DocPartId="baa28aab941d400796f6bf887ff7bb69" PartId="325674f22d7d4a09a7d31276f9218bf7"/>
          <Part Type="strPunktas" Nr="3" Abbr="47 str. 1 d. 3 p." DocPartId="e8bdfaf483974580b6bb186055351394" PartId="eed9db403e114622813ec2921c179f56"/>
        </Part>
        <Part Type="strDalis" Nr="2" Abbr="47 str. 2 d." DocPartId="8d53dcefcb00437bb9f7e6029b833cab" PartId="94c30a62eff244d59964de87296f41d9"/>
        <Part Type="strDalis" Nr="3" Abbr="47 str. 3 d." DocPartId="efcc6bb5e7084a0787e65f52ec3f3648" PartId="e30ac9b6856a47098236b9c58a8a0183">
          <Part Type="strPunktas" Nr="1" Abbr="47 str. 3 d. 1 p." DocPartId="38c29c0ca72849a4ae4df3f864a48e24" PartId="70b7837d85054c07af568bfc39617a73"/>
          <Part Type="strPunktas" Nr="2" Abbr="47 str. 3 d. 2 p." DocPartId="7fbc20820e194a5cabac087b6b02fc5b" PartId="57c8f99bfe484270826ca342ae19f43a"/>
          <Part Type="strPunktas" Nr="3" Abbr="47 str. 3 d. 3 p." DocPartId="310682a953b447b583b44d489332d3d8" PartId="3e8d1bb6bb2f4ecdaba2d30a40ea611d"/>
          <Part Type="strPunktas" Nr="4" Abbr="47 str. 3 d. 4 p." DocPartId="bb92eebfd8f840989a7dc8b15e5d5283" PartId="9459e84b49614060aa4a19754065a9a0"/>
          <Part Type="strPunktas" Nr="5" Abbr="47 str. 3 d. 5 p." DocPartId="f1569235f9eb496fbf23785a481cbf59" PartId="a6b03480db0c41d69e609cbec8def78d"/>
          <Part Type="strPunktas" Nr="6" Abbr="6 p." DocPartId="6e2ee453a4684de7bfab7b314742744a" PartId="dabb50b397064d5a8d88f0bbf48e2432"/>
        </Part>
        <Part Type="strDalis" Nr="4" Abbr="47 str. 4 d." DocPartId="2ddd0c9082cd4d168cbf0a2cfea59b64" PartId="665eeb7be16c473dbb7b6e2a30ace3ce"/>
        <Part Type="strDalis" Nr="5" Abbr="47 str. 5 d." DocPartId="911b2e2e77784135a1e0e15d53870907" PartId="257330a1c74640d7910b9ec59330b232">
          <Part Type="strPunktas" Nr="1" Abbr="47 str. 5 d. 1 p." DocPartId="755062121808440fae4f4beffe3b9e2f" PartId="8da3eebef8414b9699625c8707fd168e"/>
          <Part Type="strPunktas" Nr="2" Abbr="47 str. 5 d. 2 p." DocPartId="e8bb4f1581294f278a9845415ed5f3b4" PartId="1af2cf306f844c9e85371f3c8aaf2af8"/>
        </Part>
        <Part Type="strDalis" Nr="6" Abbr="47 str. 6 d." DocPartId="6f4df1fda2b740bab568400ee5156114" PartId="7edf148626294fcb9df5a300f14ed859"/>
        <Part Type="strDalis" Nr="7" Abbr="47 str. 7 d." DocPartId="fe3418459e0e4c068b06417d9c7126de" PartId="cac5f1f6a0ff47e38b2c9ffebfcd0f95"/>
        <Part Type="strDalis" Nr="8" Abbr="47 str. 8 d." DocPartId="e6c4c783a5534ea0bea8f7e192270e6f" PartId="b0d95ab4e9724770b6ca5453ac33f9d0"/>
        <Part Type="strDalis" Nr="9" Abbr="47 str. 9 d." DocPartId="a1a1fc56985e47369518cc9e624492bc" PartId="d8de2244b7fe49de8405657e348a9de3"/>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39d36b40626d4bd0bb12b9cc7c2e2c5d"/>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d21ea88268744775b146db2cb8bc0180">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e4830e8d64734b658f5c310645c201e0">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35bd7a7336694003bb1ac1cf6c295c3d"/>
  <Part Type="priedas" Nr="2" Abbr="2 pr." Title="FINANSŲ RINKOS DALYVIAI, MOKANTYS ĮMOKAS FINANSŲ SEKTORIAUS SUBJEKTŲ PERTVARKYMO INSTITUCIJOS IŠLAIDOMS PADENGTI, ĮMOKŲ BAZĖ IR MAKSIMALŪS ĮMOKŲ DYDŽIAI" DocPartId="bd114910dc7a4a569fe329090b2230cd" PartId="1036706cce1f45538785f7006b7f7bdc"/>
  <Part Type="priedas" Nr="2-1" Abbr="2-1 pr." Title="FINANSŲ RINKOS DALYVIAI, MOKANTYS ĮMOKAS PAGRINDINIŲ SANDORIO ŠALIŲ PERTVARKYMO INSTITUCIJOS IŠLAIDOMS PADENGTI, IR MAKSIMALŪS ĮMOKŲ DYDŽIAI" DocPartId="61eb1e4066cc4f62a2234887edf2c5d2" PartId="1a122d5476dd4bee9533197b09ed7407">
    <Part Type="pabaiga" DocPartId="e144e01f571441b9993f5a6dc1244e54" PartId="caec2ef904c94769a360cd17d79a1d1e"/>
  </Part>
  <Part Type="priedas" Nr="3" Abbr="3 pr." Title="ĮGYVENDINAMI EUROPOS SĄJUNGOS TEISĖS AKTAI" DocPartId="ad910aac343e4fd79e5b0dcd83308be3" PartId="55fc40a85bc3467f821af67c3027e100">
    <Part Type="punktas" Nr="1" Abbr="3 pr. 1 p." DocPartId="cf42cb4c3d2247f6b44459da7ebee02e" PartId="70987c694c624ee9ac94c9ccd66fcbf9"/>
    <Part Type="punktas" Nr="2" Abbr="3 pr. 2 p." DocPartId="0bb59b436cba4ec193fc3fdd3afcdbb7" PartId="36d3702d224045e282a731450f64c30c"/>
    <Part Type="punktas" Nr="3" Abbr="3 pr. 3 p." DocPartId="358f3c8ace5f4db0b86f5854bd618e5a" PartId="5b3f11652adc4e4989c84502ec4d182d"/>
    <Part Type="punktas" Nr="4" Abbr="3 pr. 4 p." DocPartId="7654cbec849c4372b47d43f6c17b664c" PartId="0818cc62e5e74edab29d17f422ecb8ce"/>
    <Part Type="punktas" Nr="5" Abbr="3 pr. 5 p." DocPartId="96731987afba46d0abb34fff963421b0" PartId="2ab6f2508efc46b191e69921ff6dc348"/>
    <Part Type="punktas" Nr="6" Abbr="3 pr. 6 p." DocPartId="8f3b212595124c8388f3da586e248dcf" PartId="37bae73f121f4b2c99b9e985bd6bb963"/>
    <Part Type="punktas" Nr="7" Abbr="3 pr. 7 p." DocPartId="b1171a117eb34d53b3d4a4ca02da2917" PartId="c65b95d7ce40424095d9a3fb21027861"/>
    <Part Type="punktas" Nr="8" Abbr="3 pr. 8 p." DocPartId="eb07e145472c400191fa6c544bb3d3a6" PartId="fd88f81f375a495d8f7b92cbe943dbc1"/>
    <Part Type="punktas" Nr="9" Abbr="3 pr. 9 p." DocPartId="1718542f80ca495c9379700e2e23a7d7" PartId="3fbb60b8d4e64e5f9171a94e00c00f88"/>
    <Part Type="punktas" Nr="10" Abbr="3 pr. 10 p." DocPartId="36c2803005e34c6184882eaeeb55a9db" PartId="1c827cd8db7a4be785f2cdf127e0b6de"/>
    <Part Type="punktas" Nr="11" Abbr="3 pr. 11 p." DocPartId="b4da429d2f7245e8a530ef9669ed0db1" PartId="ce03f78e8037424485d0da48b93f89bf"/>
    <Part Type="punktas" Nr="12" Abbr="3 pr. 12 p." DocPartId="f7a277d30d984ad884dc5a3e61ea5631" PartId="861738b7eb7a47cd82ce912bef48a4f8"/>
    <Part Type="punktas" Nr="13" Abbr="3 pr. 13 p." DocPartId="c61f2ccbf339409888f16df773b962eb" PartId="594f0486d22e4695b90cbfa18f4ad5c3"/>
    <Part Type="punktas" Nr="14" Abbr="3 pr. 14 p." DocPartId="59efda70931b41d5990ea0937d0e9eb3" PartId="7091d0a9a5e34355b887b6a0c39d13b2"/>
    <Part Type="punktas" Nr="15" Abbr="3 pr. 15 p." DocPartId="589e27361c194706b9f2e4f70aab9b8a" PartId="754abe21ccb8446da646986875408689"/>
    <Part Type="punktas" Nr="16" Abbr="3 pr. 16 p." DocPartId="8eb8ee211e3f49328158fa6de059e401" PartId="467b34dc44bf438d87ea0e13f1c61779"/>
    <Part Type="punktas" Nr="17" Abbr="3 pr. 17 p." DocPartId="6ad9ff07a8a94f92a507d95ebd3ad339" PartId="e9ac311220264c669a630f2b67de19aa"/>
    <Part Type="punktas" Nr="18" Abbr="18 p." DocPartId="405e7ef5d49045fba2f2eee9b0a40f08" PartId="e6dfc9f996ed4ef4b652787820f364d2"/>
    <Part Type="punktas" Nr="19" Abbr="3 pr. 19 p." DocPartId="1886804c1e7544ce82015b2d5225e95e" PartId="33a7abc0a5f04f29bf5cd1b1cd97d4a6"/>
    <Part Type="punktas" Nr="20" Abbr="20 p." DocPartId="26ff2807ee3e40bf97858c86e9ef0a35" PartId="c6d01a0c314b4c29a4c10e1858a6b04f"/>
    <Part Type="punktas" Nr="21" Abbr="3 pr. 21 p." DocPartId="e83043aff86647e796bd77b7930518ea" PartId="23ad60893d464393a7510e0cea99ddf8"/>
    <Part Type="punktas" Nr="22" Abbr="22 p." DocPartId="26889bc1e77a48609e903f5aae151f84" PartId="1437f65e0b6a4fa59666bee6a2c28c23"/>
    <Part Type="strDalis" Nr="23" Abbr="23 d." DocPartId="f6169d16f87641baa931effd78b3fdf6" PartId="7510214f268e4864a5c1176cd5820c77"/>
    <Part Type="strDalis" Nr="24" Abbr="3 pr. 24 d." DocPartId="2fbd6bb709aa4b0a9c84823b16609c2f" PartId="b598b9e9427447fda64bde6b2f8b468a"/>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401B7CB-A8CA-45F6-B794-E1B6BFE633AD}">
  <ds:schemaRefs>
    <ds:schemaRef ds:uri="http://lrs.lt/TAIS/DocParts"/>
  </ds:schemaRefs>
</ds:datastoreItem>
</file>

<file path=customXml/itemProps3.xml><?xml version="1.0" encoding="utf-8"?>
<ds:datastoreItem xmlns:ds="http://schemas.openxmlformats.org/officeDocument/2006/customXml" ds:itemID="{57474D2F-27CE-4E5B-ADE3-1ED48004FAD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173</TotalTime>
  <Pages>42</Pages>
  <Words>20311</Words>
  <Characters>155971</Characters>
  <Application>Microsoft Office Word</Application>
  <DocSecurity>0</DocSecurity>
  <Lines>1299</Lines>
  <Paragraphs>351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175931</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TAMALIŪNIENĖ Vilija</lastModifiedBy>
  <dcterms:modified xsi:type="dcterms:W3CDTF">2025-04-14T08:59:00Z</dcterms:modified>
  <revision>67</revision>
  <dc:title>Neoficialus ?statymo tekstas</dc:title>
</coreProperties>
</file>