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2030-01-10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9"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3"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5"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ab6e3d7a6b924bb2ac36985df993a47a"/>
                <w:lock w:val="sdtLocked"/>
                <w:richText/>
              </w:sdtPr>
              <w:sdtContent>
                <w:p>
                  <w:pPr>
                    <w:ind w:firstLine="720"/>
                    <w:jc w:val="both"/>
                    <w:rPr>
                      <w:b/>
                      <w:bCs/>
                      <w:sz w:val="22"/>
                    </w:rPr>
                  </w:pPr>
                  <w:sdt>
                    <w:sdtPr>
                      <w:alias w:val="Numeris"/>
                      <w:tag w:val="nr_ab6e3d7a6b924bb2ac36985df993a47a"/>
                      <w:lock w:val="sdtLocked"/>
                      <w:richText/>
                    </w:sdtPr>
                    <w:sdtContent>
                      <w:r>
                        <w:rPr>
                          <w:b/>
                          <w:bCs/>
                          <w:sz w:val="22"/>
                        </w:rPr>
                        <w:t>6</w:t>
                      </w:r>
                    </w:sdtContent>
                  </w:sdt>
                  <w:r>
                    <w:rPr>
                      <w:b/>
                      <w:bCs/>
                      <w:sz w:val="22"/>
                    </w:rPr>
                    <w:t xml:space="preserve"> straipsnis. </w:t>
                  </w:r>
                  <w:sdt>
                    <w:sdtPr>
                      <w:alias w:val="Pavadinimas"/>
                      <w:tag w:val="title_ab6e3d7a6b924bb2ac36985df993a47a"/>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17d336ab6ab045f4a05c039726755382"/>
                        <w:lock w:val="sdtLocked"/>
                        <w:richText/>
                      </w:sdtPr>
                      <w:sdtContent>
                        <w:p>
                          <w:pPr>
                            <w:tabs>
                              <w:tab w:val="left" w:pos="1134"/>
                            </w:tabs>
                            <w:ind w:firstLine="720"/>
                            <w:jc w:val="both"/>
                            <w:rPr>
                              <w:sz w:val="22"/>
                              <w:szCs w:val="22"/>
                            </w:rPr>
                          </w:pPr>
                          <w:sdt>
                            <w:sdtPr>
                              <w:alias w:val="Numeris"/>
                              <w:tag w:val="nr_17d336ab6ab045f4a05c039726755382"/>
                              <w:lock w:val="sdtLocked"/>
                              <w:richText/>
                            </w:sdtPr>
                            <w:sdtContent>
                              <w:r>
                                <w:rPr>
                                  <w:sz w:val="22"/>
                                  <w:szCs w:val="22"/>
                                </w:rPr>
                                <w:t>2</w:t>
                              </w:r>
                            </w:sdtContent>
                          </w:sdt>
                          <w:r>
                            <w:rPr>
                              <w:sz w:val="22"/>
                              <w:szCs w:val="22"/>
                            </w:rPr>
                            <w:t xml:space="preserve">) atlieka finansų rinkos priežiūrą, išskyrus atvejus, kai pagal 2013 m. spalio 15 d. Tarybos reglamento </w:t>
                          </w:r>
                          <w:hyperlink r:id="rId31" w:tgtFrame="_blank" w:history="1">
                            <w:r>
                              <w:rPr>
                                <w:color w:val="0000FF" w:themeColor="hyperlink"/>
                                <w:sz w:val="22"/>
                                <w:szCs w:val="22"/>
                                <w:u w:val="single"/>
                              </w:rPr>
                              <w:t>(ES) Nr. 1024/2013</w:t>
                            </w:r>
                          </w:hyperlink>
                          <w:r>
                            <w:rPr>
                              <w:sz w:val="22"/>
                              <w:szCs w:val="22"/>
                            </w:rPr>
                            <w:t xml:space="preserve">, kuriuo Europos Centriniam Bankui pavedami specialūs uždaviniai, susiję su rizikos ribojimu pagrįstos kredito įstaigų priežiūros politika, nuostatas šias funkcijas atlieka Europos Centrinis Bankas ar pagal Reglamento </w:t>
                          </w:r>
                          <w:hyperlink r:id="rId32" w:tgtFrame="_blank" w:history="1">
                            <w:r>
                              <w:rPr>
                                <w:color w:val="0000FF" w:themeColor="hyperlink"/>
                                <w:sz w:val="22"/>
                                <w:szCs w:val="22"/>
                                <w:u w:val="single"/>
                              </w:rPr>
                              <w:t>(ES) 2024/1620</w:t>
                            </w:r>
                          </w:hyperlink>
                          <w:r>
                            <w:rPr>
                              <w:sz w:val="22"/>
                              <w:szCs w:val="22"/>
                            </w:rPr>
                            <w:t xml:space="preserve"> nuostatas priežiūrą atlieka Europos Sąjungos Kovos su pinigų plovimu ir teroristų finansavimu institucija, taip pat pagal Reglamentą </w:t>
                          </w:r>
                          <w:hyperlink r:id="rId33" w:tgtFrame="_blank" w:history="1">
                            <w:r>
                              <w:rPr>
                                <w:color w:val="0000FF" w:themeColor="hyperlink"/>
                                <w:sz w:val="22"/>
                                <w:szCs w:val="22"/>
                                <w:u w:val="single"/>
                              </w:rPr>
                              <w:t>(ES) Nr. 1024/2013</w:t>
                            </w:r>
                          </w:hyperlink>
                          <w:r>
                            <w:rPr>
                              <w:sz w:val="22"/>
                              <w:szCs w:val="22"/>
                            </w:rPr>
                            <w:t xml:space="preserve">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8"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2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9105738d173846f6b386d12149d1d150"/>
                    <w:lock w:val="sdtLocked"/>
                    <w:richText/>
                  </w:sdtPr>
                  <w:sdtContent>
                    <w:p>
                      <w:pPr>
                        <w:ind w:firstLine="720"/>
                        <w:jc w:val="both"/>
                        <w:rPr>
                          <w:sz w:val="22"/>
                          <w:szCs w:val="22"/>
                        </w:rPr>
                      </w:pPr>
                      <w:sdt>
                        <w:sdtPr>
                          <w:alias w:val="Numeris"/>
                          <w:tag w:val="nr_9105738d173846f6b386d12149d1d150"/>
                          <w:lock w:val="sdtLocked"/>
                          <w:richText/>
                        </w:sdtPr>
                        <w:sdtContent>
                          <w:r>
                            <w:rPr>
                              <w:sz w:val="22"/>
                              <w:szCs w:val="22"/>
                            </w:rPr>
                            <w:t>2</w:t>
                          </w:r>
                        </w:sdtContent>
                      </w:sdt>
                      <w:r>
                        <w:rPr>
                          <w:sz w:val="22"/>
                          <w:szCs w:val="22"/>
                        </w:rPr>
                        <w:t>. Lietuvos banko valdybos pirmininku, jo pavaduotojais ir valdybos nariais gali būti nepriekaištingos reputacijos Lietuvos Respublikos piliečiai, jeigu jiems iki paskyrimo dienos nesukakę 65 metai, turintys aukštąjį universitetinį išsilavinimą (ne žemesnį kaip magistro kvalifikacinio laipsnio ar jam prilygintą) ir ne mažesnę kaip 5 metų ekonominio, finansinio, audito, teisinio, vadybos ar viešojo administravimo darbo patirtį. Asmuo laikomas nepriekaištingos reputacijos, jeigu atitinka Lietuvos Respublikos valstybės tarnybos įstatyme įstaigos vadovams nustatytus nepriekaištingos reputacijos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6"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7"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4"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5"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b3a8af089a72405cb011e673b6c7a254"/>
                <w:lock w:val="sdtLocked"/>
                <w:richText/>
              </w:sdtPr>
              <w:sdtContent>
                <w:p>
                  <w:pPr>
                    <w:ind w:firstLine="720"/>
                    <w:jc w:val="both"/>
                    <w:rPr>
                      <w:b/>
                      <w:sz w:val="22"/>
                    </w:rPr>
                  </w:pPr>
                  <w:sdt>
                    <w:sdtPr>
                      <w:alias w:val="Numeris"/>
                      <w:tag w:val="nr_b3a8af089a72405cb011e673b6c7a254"/>
                      <w:lock w:val="sdtLocked"/>
                      <w:richText/>
                    </w:sdtPr>
                    <w:sdtContent>
                      <w:r>
                        <w:rPr>
                          <w:b/>
                          <w:sz w:val="22"/>
                        </w:rPr>
                        <w:t>11</w:t>
                      </w:r>
                    </w:sdtContent>
                  </w:sdt>
                  <w:r>
                    <w:rPr>
                      <w:b/>
                      <w:sz w:val="22"/>
                    </w:rPr>
                    <w:t xml:space="preserve"> straipsnis. </w:t>
                  </w:r>
                  <w:sdt>
                    <w:sdtPr>
                      <w:alias w:val="Pavadinimas"/>
                      <w:tag w:val="title_b3a8af089a72405cb011e673b6c7a254"/>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d29758063abc43a09c409fa6a97ababd"/>
                        <w:lock w:val="sdtLocked"/>
                        <w:richText/>
                      </w:sdtPr>
                      <w:sdtContent>
                        <w:p>
                          <w:pPr>
                            <w:tabs>
                              <w:tab w:val="left" w:pos="1134"/>
                            </w:tabs>
                            <w:ind w:firstLine="720"/>
                            <w:jc w:val="both"/>
                            <w:rPr>
                              <w:sz w:val="22"/>
                              <w:szCs w:val="22"/>
                            </w:rPr>
                          </w:pPr>
                          <w:sdt>
                            <w:sdtPr>
                              <w:alias w:val="Numeris"/>
                              <w:tag w:val="nr_d29758063abc43a09c409fa6a97ababd"/>
                              <w:lock w:val="sdtLocked"/>
                              <w:richText/>
                            </w:sdtPr>
                            <w:sdtContent>
                              <w:r>
                                <w:rPr>
                                  <w:sz w:val="22"/>
                                  <w:szCs w:val="22"/>
                                </w:rPr>
                                <w:t>13</w:t>
                              </w:r>
                            </w:sdtContent>
                          </w:sdt>
                          <w:r>
                            <w:rPr>
                              <w:sz w:val="22"/>
                              <w:szCs w:val="22"/>
                            </w:rPr>
                            <w:t xml:space="preserve">) šio įstatymo 42 straipsnio 1 dalyje nurodytiems finansų rinkos dalyviams (toliau – prižiūrimi finansų rinkos dalyviai) ir kitiems asmenims taiko įstatymų ir Europos Sąjungos teisės aktų nustatytas poveikio priemones, finansų rinką reglamentuojančiuose teisės aktuose nustatytus privalomus nurodymus ir kitas kitiems asmenims privalomas vykdyti priemones, išskyrus atvejus, kai pagal Reglamento </w:t>
                          </w:r>
                          <w:hyperlink r:id="rId48" w:tgtFrame="_blank" w:history="1">
                            <w:r>
                              <w:rPr>
                                <w:color w:val="0000FF" w:themeColor="hyperlink"/>
                                <w:sz w:val="22"/>
                                <w:szCs w:val="22"/>
                                <w:u w:val="single"/>
                              </w:rPr>
                              <w:t>(ES) Nr. 1024/2013</w:t>
                            </w:r>
                          </w:hyperlink>
                          <w:r>
                            <w:rPr>
                              <w:sz w:val="22"/>
                              <w:szCs w:val="22"/>
                            </w:rPr>
                            <w:t xml:space="preserve"> nuostatas tai atlieka Europos Centrinis Bankas ar pagal Reglamento </w:t>
                          </w:r>
                          <w:hyperlink r:id="rId49" w:tgtFrame="_blank" w:history="1">
                            <w:r>
                              <w:rPr>
                                <w:color w:val="0000FF" w:themeColor="hyperlink"/>
                                <w:sz w:val="22"/>
                                <w:szCs w:val="22"/>
                                <w:u w:val="single"/>
                              </w:rPr>
                              <w:t>(ES) 2024/1620</w:t>
                            </w:r>
                          </w:hyperlink>
                          <w:r>
                            <w:rPr>
                              <w:sz w:val="22"/>
                              <w:szCs w:val="22"/>
                            </w:rPr>
                            <w:t xml:space="preserve"> nuostatas tai 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1"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2"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3"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4"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5"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6"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888ac420261447f8bb6543ef082eff2a"/>
                <w:lock w:val="sdtLocked"/>
                <w:richText/>
              </w:sdtPr>
              <w:sdtContent>
                <w:p>
                  <w:pPr>
                    <w:ind w:firstLine="720"/>
                    <w:jc w:val="both"/>
                    <w:rPr>
                      <w:b/>
                      <w:sz w:val="22"/>
                    </w:rPr>
                  </w:pPr>
                  <w:sdt>
                    <w:sdtPr>
                      <w:alias w:val="Numeris"/>
                      <w:tag w:val="nr_888ac420261447f8bb6543ef082eff2a"/>
                      <w:lock w:val="sdtLocked"/>
                      <w:richText/>
                    </w:sdtPr>
                    <w:sdtContent>
                      <w:r>
                        <w:rPr>
                          <w:b/>
                          <w:sz w:val="22"/>
                        </w:rPr>
                        <w:t>12</w:t>
                      </w:r>
                    </w:sdtContent>
                  </w:sdt>
                  <w:r>
                    <w:rPr>
                      <w:b/>
                      <w:sz w:val="22"/>
                    </w:rPr>
                    <w:t xml:space="preserve"> straipsnis. </w:t>
                  </w:r>
                  <w:sdt>
                    <w:sdtPr>
                      <w:alias w:val="Pavadinimas"/>
                      <w:tag w:val="title_888ac420261447f8bb6543ef082eff2a"/>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sdt>
                  <w:sdtPr>
                    <w:alias w:val="5 d."/>
                    <w:tag w:val="part_caf75442a57e441ba752e31d7476abc8"/>
                    <w:lock w:val="sdtLocked"/>
                    <w:richText/>
                  </w:sdtPr>
                  <w:sdtContent>
                    <w:p>
                      <w:pPr>
                        <w:ind w:firstLine="720"/>
                        <w:jc w:val="both"/>
                        <w:rPr>
                          <w:sz w:val="22"/>
                          <w:szCs w:val="22"/>
                        </w:rPr>
                      </w:pPr>
                      <w:sdt>
                        <w:sdtPr>
                          <w:alias w:val="Numeris"/>
                          <w:tag w:val="nr_caf75442a57e441ba752e31d7476abc8"/>
                          <w:lock w:val="sdtLocked"/>
                          <w:richText/>
                        </w:sdtPr>
                        <w:sdtContent>
                          <w:r>
                            <w:rPr>
                              <w:sz w:val="22"/>
                              <w:szCs w:val="22"/>
                            </w:rPr>
                            <w:t>5</w:t>
                          </w:r>
                        </w:sdtContent>
                      </w:sdt>
                      <w:r>
                        <w:rPr>
                          <w:sz w:val="22"/>
                          <w:szCs w:val="22"/>
                        </w:rPr>
                        <w:t>. Lietuvos bankas apie Lietuvos banko tarnautojo atleidimo šio straipsnio 1 dalyje nurodytais pagrindais priežastis paskelbia savo interneto svetainėje per 5 darbo dienas nuo Lietuvos banko valdybos pirmininko, jo pavaduotojų ar valdybos narių atleidimo dienos, išskyrus atvejus, kai per šį laikotarpį gaunamas rašytinis motyvuotas atleisto asmens prašymas priežasčių neskelbti.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2"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809f379eaf6e4e66a067cf341eb58c46"/>
                <w:lock w:val="sdtLocked"/>
                <w:richText/>
              </w:sdtPr>
              <w:sdtContent>
                <w:p>
                  <w:pPr>
                    <w:ind w:firstLine="720"/>
                    <w:jc w:val="both"/>
                    <w:rPr>
                      <w:b/>
                      <w:sz w:val="22"/>
                    </w:rPr>
                  </w:pPr>
                  <w:sdt>
                    <w:sdtPr>
                      <w:alias w:val="Numeris"/>
                      <w:tag w:val="nr_809f379eaf6e4e66a067cf341eb58c46"/>
                      <w:lock w:val="sdtLocked"/>
                      <w:richText/>
                    </w:sdtPr>
                    <w:sdtContent>
                      <w:r>
                        <w:rPr>
                          <w:b/>
                          <w:sz w:val="22"/>
                        </w:rPr>
                        <w:t>16</w:t>
                      </w:r>
                    </w:sdtContent>
                  </w:sdt>
                  <w:r>
                    <w:rPr>
                      <w:b/>
                      <w:sz w:val="22"/>
                    </w:rPr>
                    <w:t xml:space="preserve"> straipsnis. </w:t>
                  </w:r>
                  <w:sdt>
                    <w:sdtPr>
                      <w:alias w:val="Pavadinimas"/>
                      <w:tag w:val="title_809f379eaf6e4e66a067cf341eb58c46"/>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3 d."/>
                    <w:tag w:val="part_22ac9b281cd9481ca67f55a5e98676a7"/>
                    <w:lock w:val="sdtLocked"/>
                    <w:richText/>
                  </w:sdtPr>
                  <w:sdtContent>
                    <w:p>
                      <w:pPr>
                        <w:ind w:firstLine="720"/>
                        <w:jc w:val="both"/>
                        <w:rPr>
                          <w:sz w:val="22"/>
                          <w:szCs w:val="22"/>
                        </w:rPr>
                      </w:pPr>
                      <w:sdt>
                        <w:sdtPr>
                          <w:alias w:val="Numeris"/>
                          <w:tag w:val="nr_22ac9b281cd9481ca67f55a5e98676a7"/>
                          <w:lock w:val="sdtLocked"/>
                          <w:richText/>
                        </w:sdtPr>
                        <w:sdtContent>
                          <w:r>
                            <w:rPr>
                              <w:sz w:val="22"/>
                              <w:szCs w:val="22"/>
                            </w:rPr>
                            <w:t>3</w:t>
                          </w:r>
                        </w:sdtContent>
                      </w:sdt>
                      <w:r>
                        <w:rPr>
                          <w:sz w:val="22"/>
                          <w:szCs w:val="22"/>
                        </w:rPr>
                        <w:t xml:space="preserve">. Lietuvos banko valdybos pirmininkas, jo pavaduotojai ir valdybos nariai, nustoję eiti pareigas Lietuvos banke, vienų metų veiklos pertraukos laikotarpiu negali teikti profesinių paslaugų sudarę darbo ar civilinę sutartį subjektui: </w:t>
                      </w:r>
                    </w:p>
                    <w:sdt>
                      <w:sdtPr>
                        <w:alias w:val="3 d. 1 p."/>
                        <w:tag w:val="part_87555d8180ed43a3a6fa0e8a06cc28b9"/>
                        <w:lock w:val="sdtLocked"/>
                        <w:richText/>
                      </w:sdtPr>
                      <w:sdtContent>
                        <w:p>
                          <w:pPr>
                            <w:ind w:firstLine="720"/>
                            <w:jc w:val="both"/>
                            <w:rPr>
                              <w:strike/>
                              <w:sz w:val="22"/>
                              <w:szCs w:val="22"/>
                              <w:lang w:eastAsia="lt-LT"/>
                            </w:rPr>
                          </w:pPr>
                          <w:sdt>
                            <w:sdtPr>
                              <w:alias w:val="Numeris"/>
                              <w:tag w:val="nr_87555d8180ed43a3a6fa0e8a06cc28b9"/>
                              <w:lock w:val="sdtLocked"/>
                              <w:richText/>
                            </w:sdtPr>
                            <w:sdtContent>
                              <w:r>
                                <w:rPr>
                                  <w:sz w:val="22"/>
                                  <w:szCs w:val="22"/>
                                  <w:lang w:eastAsia="lt-LT"/>
                                </w:rPr>
                                <w:t>1</w:t>
                              </w:r>
                            </w:sdtContent>
                          </w:sdt>
                          <w:r>
                            <w:rPr>
                              <w:sz w:val="22"/>
                              <w:szCs w:val="22"/>
                              <w:lang w:eastAsia="lt-LT"/>
                            </w:rPr>
                            <w:t>) dėl kurio veiklos per paskutinius 12 darbo Lietuvos banke mėnesių tiesiogiai rengė, svarstė ar priėmė su jo veiklos priežiūra ar kontrole susijusius sprendimus, įskaitant to subjekto</w:t>
                          </w:r>
                          <w:r>
                            <w:rPr>
                              <w:strike/>
                              <w:sz w:val="22"/>
                              <w:szCs w:val="22"/>
                              <w:lang w:eastAsia="lt-LT"/>
                            </w:rPr>
                            <w:t xml:space="preserve"> </w:t>
                          </w:r>
                          <w:r>
                            <w:rPr>
                              <w:sz w:val="22"/>
                              <w:szCs w:val="22"/>
                              <w:lang w:eastAsia="lt-LT"/>
                            </w:rPr>
                            <w:t>patronuojančiąsias įmones, patronuojamąsias įmones arba įmones, kuriose subjektas dalyvauja (</w:t>
                          </w:r>
                          <w:r>
                            <w:rPr>
                              <w:bCs/>
                              <w:sz w:val="22"/>
                              <w:szCs w:val="22"/>
                              <w:lang w:eastAsia="lt-LT"/>
                            </w:rPr>
                            <w:t>patronuojančioji įmonė, patronuojamoji įmonė,</w:t>
                          </w:r>
                          <w:r>
                            <w:rPr>
                              <w:sz w:val="22"/>
                              <w:szCs w:val="22"/>
                              <w:lang w:eastAsia="lt-LT"/>
                            </w:rPr>
                            <w:t xml:space="preserve"> dalyvavimas </w:t>
                          </w:r>
                          <w:r>
                            <w:rPr>
                              <w:bCs/>
                              <w:sz w:val="22"/>
                              <w:szCs w:val="22"/>
                              <w:lang w:eastAsia="lt-LT"/>
                            </w:rPr>
                            <w:t xml:space="preserve">suprantami </w:t>
                          </w:r>
                          <w:r>
                            <w:rPr>
                              <w:sz w:val="22"/>
                              <w:szCs w:val="22"/>
                              <w:lang w:eastAsia="lt-LT"/>
                            </w:rPr>
                            <w:t xml:space="preserve">taip, kaip </w:t>
                          </w:r>
                          <w:r>
                            <w:rPr>
                              <w:bCs/>
                              <w:sz w:val="22"/>
                              <w:szCs w:val="22"/>
                              <w:lang w:eastAsia="lt-LT"/>
                            </w:rPr>
                            <w:t>apibrėžiami</w:t>
                          </w:r>
                          <w:r>
                            <w:rPr>
                              <w:sz w:val="22"/>
                              <w:szCs w:val="22"/>
                              <w:lang w:eastAsia="lt-LT"/>
                            </w:rPr>
                            <w:t xml:space="preserve"> Lietuvos Respublikos įmonių, priklausančių finansų konglomeratui, papildomos priežiūros įstatyme);</w:t>
                          </w:r>
                        </w:p>
                      </w:sdtContent>
                    </w:sdt>
                    <w:sdt>
                      <w:sdtPr>
                        <w:alias w:val="3 d. 2 p."/>
                        <w:tag w:val="part_a01a4d4280dd462c9f94c2498d0e5667"/>
                        <w:lock w:val="sdtLocked"/>
                        <w:richText/>
                      </w:sdtPr>
                      <w:sdtContent>
                        <w:p>
                          <w:pPr>
                            <w:ind w:firstLine="720"/>
                            <w:jc w:val="both"/>
                            <w:rPr>
                              <w:sz w:val="22"/>
                              <w:szCs w:val="22"/>
                              <w:lang w:eastAsia="lt-LT"/>
                            </w:rPr>
                          </w:pPr>
                          <w:sdt>
                            <w:sdtPr>
                              <w:alias w:val="Numeris"/>
                              <w:tag w:val="nr_a01a4d4280dd462c9f94c2498d0e5667"/>
                              <w:lock w:val="sdtLocked"/>
                              <w:richText/>
                            </w:sdtPr>
                            <w:sdtContent>
                              <w:r>
                                <w:rPr>
                                  <w:sz w:val="22"/>
                                  <w:szCs w:val="22"/>
                                  <w:lang w:eastAsia="lt-LT"/>
                                </w:rPr>
                                <w:t>2</w:t>
                              </w:r>
                            </w:sdtContent>
                          </w:sdt>
                          <w:r>
                            <w:rPr>
                              <w:sz w:val="22"/>
                              <w:szCs w:val="22"/>
                              <w:lang w:eastAsia="lt-LT"/>
                            </w:rPr>
                            <w:t xml:space="preserve">) kuris teikia paslaugas bet kuriam iš šios dalies 1 punkte nurodytų subjektų pagal veiklos funkcijų perdavimo sutartis (angl. </w:t>
                          </w:r>
                          <w:r>
                            <w:rPr>
                              <w:i/>
                              <w:iCs/>
                              <w:sz w:val="22"/>
                              <w:szCs w:val="22"/>
                              <w:lang w:eastAsia="lt-LT"/>
                            </w:rPr>
                            <w:t>outsourcing</w:t>
                          </w:r>
                          <w:r>
                            <w:rPr>
                              <w:sz w:val="22"/>
                              <w:szCs w:val="22"/>
                              <w:lang w:eastAsia="lt-LT"/>
                            </w:rPr>
                            <w:t xml:space="preserve">), nebent šie subjektai nedalyvauja teikiant šias paslaugas šioje dalyje nurodytų Lietuvos banko </w:t>
                          </w:r>
                          <w:r>
                            <w:rPr>
                              <w:sz w:val="22"/>
                              <w:szCs w:val="22"/>
                            </w:rPr>
                            <w:t xml:space="preserve">valdybos pirmininko, jo pavaduotojų ir valdybos </w:t>
                          </w:r>
                          <w:r>
                            <w:rPr>
                              <w:sz w:val="22"/>
                              <w:szCs w:val="22"/>
                              <w:lang w:eastAsia="lt-LT"/>
                            </w:rPr>
                            <w:t>narių veiklos pertraukos laikotarpiu;</w:t>
                          </w:r>
                        </w:p>
                      </w:sdtContent>
                    </w:sdt>
                    <w:sdt>
                      <w:sdtPr>
                        <w:alias w:val="3 d. 3 p."/>
                        <w:tag w:val="part_7a33ca5c9c264d818e776e55454b27b6"/>
                        <w:lock w:val="sdtLocked"/>
                        <w:richText/>
                      </w:sdtPr>
                      <w:sdtContent>
                        <w:p>
                          <w:pPr>
                            <w:ind w:firstLine="720"/>
                            <w:jc w:val="both"/>
                          </w:pPr>
                          <w:sdt>
                            <w:sdtPr>
                              <w:alias w:val="Numeris"/>
                              <w:tag w:val="nr_7a33ca5c9c264d818e776e55454b27b6"/>
                              <w:lock w:val="sdtLocked"/>
                              <w:richText/>
                            </w:sdtPr>
                            <w:sdtContent>
                              <w:r>
                                <w:rPr>
                                  <w:sz w:val="22"/>
                                  <w:szCs w:val="22"/>
                                </w:rPr>
                                <w:t>3</w:t>
                              </w:r>
                            </w:sdtContent>
                          </w:sdt>
                          <w:r>
                            <w:rPr>
                              <w:sz w:val="22"/>
                              <w:szCs w:val="22"/>
                            </w:rPr>
                            <w:t xml:space="preserve">) kuris vykdo lobistinę veiklą ar atstovauja kitų asmenų interesams, siekdamas daryti įtaką Lietuvos banko sprendimų priėmimui ar jų įgyvendinimui klausimais, už kuriuos šioje dalyje nurodyti Lietuvos banko valdybos pirmininkas, jo pavaduotojai ir valdybos nariai, eidami pareigas Lietuvos banke, buvo atsakingi.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 d."/>
                    <w:tag w:val="part_2f5e3a692de34fb487e824bf965d7648"/>
                    <w:lock w:val="sdtLocked"/>
                    <w:richText/>
                  </w:sdtPr>
                  <w:sdtContent>
                    <w:p>
                      <w:pPr>
                        <w:ind w:firstLine="720"/>
                        <w:jc w:val="both"/>
                      </w:pPr>
                      <w:sdt>
                        <w:sdtPr>
                          <w:alias w:val="Numeris"/>
                          <w:tag w:val="nr_2f5e3a692de34fb487e824bf965d7648"/>
                          <w:lock w:val="sdtLocked"/>
                          <w:richText/>
                        </w:sdtPr>
                        <w:sdtContent>
                          <w:r>
                            <w:rPr>
                              <w:sz w:val="22"/>
                              <w:szCs w:val="22"/>
                            </w:rPr>
                            <w:t>4</w:t>
                          </w:r>
                        </w:sdtContent>
                      </w:sdt>
                      <w:r>
                        <w:rPr>
                          <w:sz w:val="22"/>
                          <w:szCs w:val="22"/>
                        </w:rPr>
                        <w:t xml:space="preserve">. Lietuvos bankas, nustatęs galimą šio straipsnio 3 dalies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 d."/>
                    <w:tag w:val="part_8ee599634f2040a98e79674fcffaf10c"/>
                    <w:lock w:val="sdtLocked"/>
                    <w:richText/>
                  </w:sdtPr>
                  <w:sdtContent>
                    <w:p>
                      <w:pPr>
                        <w:ind w:firstLine="720"/>
                        <w:jc w:val="both"/>
                        <w:rPr>
                          <w:sz w:val="22"/>
                        </w:rPr>
                      </w:pPr>
                      <w:sdt>
                        <w:sdtPr>
                          <w:alias w:val="Numeris"/>
                          <w:tag w:val="nr_8ee599634f2040a98e79674fcffaf10c"/>
                          <w:lock w:val="sdtLocked"/>
                          <w:richText/>
                        </w:sdtPr>
                        <w:sdtContent>
                          <w:r>
                            <w:rPr>
                              <w:sz w:val="22"/>
                              <w:szCs w:val="22"/>
                            </w:rPr>
                            <w:t>5</w:t>
                          </w:r>
                        </w:sdtContent>
                      </w:sdt>
                      <w:r>
                        <w:rPr>
                          <w:sz w:val="22"/>
                          <w:szCs w:val="22"/>
                        </w:rPr>
                        <w:t xml:space="preserve">. Lietuvos banko valdybos pirmininkui, jo pavaduotojams ir valdybos nariams, ėjusiems narių, pakaitinių narių pareigas Europos Centrinio Banko valdančiojoje taryboje ir (ar) priežiūros valdyboje, taip pat taikomi Europos Centrinio Banko aukšto lygio tarnautojų elgesio kodekse išdėstyti veiklos apribojimai.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6 str. 6 d."/>
                    <w:tag w:val="part_8ba8937aab584cdaa85a625fd59ac816"/>
                    <w:lock w:val="sdtLocked"/>
                    <w:richText/>
                  </w:sdtPr>
                  <w:sdtContent>
                    <w:p>
                      <w:pPr>
                        <w:ind w:firstLine="720"/>
                        <w:jc w:val="both"/>
                        <w:rPr>
                          <w:color w:val="000000"/>
                          <w:sz w:val="22"/>
                          <w:szCs w:val="22"/>
                        </w:rPr>
                      </w:pPr>
                      <w:sdt>
                        <w:sdtPr>
                          <w:alias w:val="Numeris"/>
                          <w:tag w:val="nr_8ba8937aab584cdaa85a625fd59ac816"/>
                          <w:lock w:val="sdtLocked"/>
                          <w:richText/>
                        </w:sdtPr>
                        <w:sdtContent>
                          <w:r>
                            <w:rPr>
                              <w:color w:val="000000"/>
                              <w:sz w:val="22"/>
                              <w:szCs w:val="22"/>
                            </w:rPr>
                            <w:t>6</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2"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9"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92179c036f8940f39af86cd8b21b5bc0"/>
                    <w:lock w:val="sdtLocked"/>
                    <w:richText/>
                  </w:sdtPr>
                  <w:sdtContent>
                    <w:p>
                      <w:pPr>
                        <w:ind w:firstLine="720"/>
                        <w:jc w:val="both"/>
                        <w:rPr>
                          <w:bCs/>
                          <w:sz w:val="22"/>
                          <w:szCs w:val="22"/>
                        </w:rPr>
                      </w:pPr>
                      <w:sdt>
                        <w:sdtPr>
                          <w:alias w:val="Numeris"/>
                          <w:tag w:val="nr_92179c036f8940f39af86cd8b21b5bc0"/>
                          <w:lock w:val="sdtLocked"/>
                          <w:richText/>
                        </w:sdtPr>
                        <w:sdtContent>
                          <w:r>
                            <w:rPr>
                              <w:sz w:val="22"/>
                              <w:szCs w:val="22"/>
                            </w:rPr>
                            <w:t>3</w:t>
                          </w:r>
                        </w:sdtContent>
                      </w:sdt>
                      <w:r>
                        <w:rPr>
                          <w:sz w:val="22"/>
                          <w:szCs w:val="22"/>
                        </w:rPr>
                        <w:t>. Lietuvos banko tarnautojai, Lietuvos banko valdybos nustatyta tvarka ir sąlygomis gavę leidimą, gali dirbti, eiti pareigas ne Lietuvos banke ir gauti už tai darbo užmokestį ar atlygį, užsiimti kita veikla ir gauti už ją pajamas, jeigu tai nesukelia viešųjų ir privačių interesų konflikto, nesudaro prielaidų tarnybą Lietuvos banke panaudoti privačiais interesais, nekenkia Lietuvos banko reputacijai ir (arba) Lietuvos banko tarnautojo reputacijai ir netrukdo Lietuvos banke atlikti pareigybės aprašyme nustatytų funkcijų, taip pat kai tai nėra darbas, pareigos, veikla tose įmonėse, įstaigose, organizacijose, dėl kurių Lietuvos banko tarnautojas turi valdinius įgaliojimus arba dalyvauja rengiant, svarstant ar priimant sprendimus.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43cb1edcb4074c529fe9d78f2c912029"/>
                <w:lock w:val="sdtLocked"/>
                <w:richText/>
              </w:sdtPr>
              <w:sdtContent>
                <w:p>
                  <w:pPr>
                    <w:ind w:left="2340" w:hanging="1620"/>
                    <w:jc w:val="both"/>
                    <w:rPr>
                      <w:b/>
                      <w:sz w:val="22"/>
                    </w:rPr>
                  </w:pPr>
                  <w:sdt>
                    <w:sdtPr>
                      <w:alias w:val="Pavadinimas"/>
                      <w:tag w:val="title_43cb1edcb4074c529fe9d78f2c912029"/>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sdtContent>
            </w:sdt>
            <w:sdt>
              <w:sdtPr>
                <w:alias w:val="18-2 str."/>
                <w:tag w:val="part_cff3a1f077c44b8abb9e26405b22bafe"/>
                <w:lock w:val="sdtLocked"/>
                <w:richText/>
              </w:sdtPr>
              <w:sdtContent>
                <w:p>
                  <w:pPr>
                    <w:ind w:left="2410" w:hanging="1690"/>
                    <w:jc w:val="both"/>
                    <w:rPr>
                      <w:b/>
                      <w:sz w:val="22"/>
                      <w:szCs w:val="22"/>
                    </w:rPr>
                  </w:pPr>
                  <w:sdt>
                    <w:sdtPr>
                      <w:alias w:val="Numeris"/>
                      <w:tag w:val="nr_cff3a1f077c44b8abb9e26405b22bafe"/>
                      <w:lock w:val="sdtLocked"/>
                      <w:richText/>
                    </w:sdtPr>
                    <w:sdtContent>
                      <w:r>
                        <w:rPr>
                          <w:b/>
                          <w:bCs/>
                          <w:sz w:val="22"/>
                          <w:szCs w:val="22"/>
                        </w:rPr>
                        <w:t>18</w:t>
                      </w:r>
                      <w:r>
                        <w:rPr>
                          <w:b/>
                          <w:bCs/>
                          <w:sz w:val="22"/>
                          <w:szCs w:val="22"/>
                          <w:vertAlign w:val="superscript"/>
                        </w:rPr>
                        <w:t>2</w:t>
                      </w:r>
                    </w:sdtContent>
                  </w:sdt>
                  <w:r>
                    <w:rPr>
                      <w:b/>
                      <w:bCs/>
                      <w:sz w:val="22"/>
                      <w:szCs w:val="22"/>
                    </w:rPr>
                    <w:t xml:space="preserve"> straipsnis. </w:t>
                  </w:r>
                  <w:sdt>
                    <w:sdtPr>
                      <w:alias w:val="Pavadinimas"/>
                      <w:tag w:val="title_cff3a1f077c44b8abb9e26405b22bafe"/>
                      <w:lock w:val="sdtLocked"/>
                      <w:richText/>
                    </w:sdtPr>
                    <w:sdtContent>
                      <w:r>
                        <w:rPr>
                          <w:b/>
                          <w:bCs/>
                          <w:sz w:val="22"/>
                          <w:szCs w:val="22"/>
                        </w:rPr>
                        <w:t>Lietuvos banko tarnautojų veiklos apribojimai pasibaigus tarnybai Lietuvos banke</w:t>
                      </w:r>
                    </w:sdtContent>
                  </w:sdt>
                </w:p>
                <w:sdt>
                  <w:sdtPr>
                    <w:alias w:val="18-2 str. 1 d."/>
                    <w:tag w:val="part_ee37560dc7944f07b652282b03f95308"/>
                    <w:lock w:val="sdtLocked"/>
                    <w:richText/>
                  </w:sdtPr>
                  <w:sdtContent>
                    <w:p>
                      <w:pPr>
                        <w:ind w:firstLine="720"/>
                        <w:jc w:val="both"/>
                        <w:rPr>
                          <w:sz w:val="22"/>
                          <w:szCs w:val="22"/>
                        </w:rPr>
                      </w:pPr>
                      <w:sdt>
                        <w:sdtPr>
                          <w:alias w:val="Numeris"/>
                          <w:tag w:val="nr_ee37560dc7944f07b652282b03f95308"/>
                          <w:lock w:val="sdtLocked"/>
                          <w:richText/>
                        </w:sdtPr>
                        <w:sdtContent>
                          <w:r>
                            <w:rPr>
                              <w:sz w:val="22"/>
                              <w:szCs w:val="22"/>
                            </w:rPr>
                            <w:t>1</w:t>
                          </w:r>
                        </w:sdtContent>
                      </w:sdt>
                      <w:r>
                        <w:rPr>
                          <w:sz w:val="22"/>
                          <w:szCs w:val="22"/>
                        </w:rPr>
                        <w:t xml:space="preserve">. Lietuvos banko tarnautojai, išskyrus nurodytus šio įstatymo 16 straipsnyje, kurie dirbdami, eidami pareigas Lietuvos banke dalyvavo Lietuvos bankui vykdant finansų rinkos dalyvių priežiūros ar kontrolės funkcijas, nustoję dirbti, eiti pareigas Lietuvos banke, veiklos pertraukos laikotarpiu, numatytu šio straipsnio 2 arba 3 dalyje, privalo Lietuvos bankui raštu pranešti apie savo ketinimą užsiimti bet kokia profesine veikla, kuri galėtų kelti viešųjų ir privačių interesų konfliktą, ir prašyti Lietuvos banko nuomonės. Lietuvos bankas nuomonę pateikia ne vėliau kaip per 20 darbo dienų nuo visos prašymui nagrinėti būtinos informacijos gavimo dienos. </w:t>
                      </w:r>
                    </w:p>
                  </w:sdtContent>
                </w:sdt>
                <w:sdt>
                  <w:sdtPr>
                    <w:alias w:val="18-2 str. 2 d."/>
                    <w:tag w:val="part_3d2bf39f36d54437a2ad8d071a787c00"/>
                    <w:lock w:val="sdtLocked"/>
                    <w:richText/>
                  </w:sdtPr>
                  <w:sdtContent>
                    <w:p>
                      <w:pPr>
                        <w:ind w:firstLine="720"/>
                        <w:jc w:val="both"/>
                        <w:rPr>
                          <w:sz w:val="22"/>
                          <w:szCs w:val="22"/>
                        </w:rPr>
                      </w:pPr>
                      <w:sdt>
                        <w:sdtPr>
                          <w:alias w:val="Numeris"/>
                          <w:tag w:val="nr_3d2bf39f36d54437a2ad8d071a787c00"/>
                          <w:lock w:val="sdtLocked"/>
                          <w:richText/>
                        </w:sdtPr>
                        <w:sdtContent>
                          <w:r>
                            <w:rPr>
                              <w:sz w:val="22"/>
                              <w:szCs w:val="22"/>
                            </w:rPr>
                            <w:t>2</w:t>
                          </w:r>
                        </w:sdtContent>
                      </w:sdt>
                      <w:r>
                        <w:rPr>
                          <w:sz w:val="22"/>
                          <w:szCs w:val="22"/>
                        </w:rPr>
                        <w:t xml:space="preserve">. Lietuvos banko tarnautojai, išskyrus šio įstatymo 16 straipsnyje nurodytus Lietuvos banko tarnautojus, nustoję Lietuvos banke eiti kolegialaus Lietuvos banko valdybos sudaromo organo, atliekančio šio įstatymo 11 straipsnio 1 dalies 13 ir 18 punktuose nurodytas funkcijas, nario arba pakaitinio nario pareigas, vienų metų veiklos pertraukos laikotarpiu negali teikti profesinių paslaugų sudarę darbo ar civilinę sutartį subjektui: </w:t>
                      </w:r>
                    </w:p>
                    <w:sdt>
                      <w:sdtPr>
                        <w:alias w:val="18-2 str. 2 d. 1 p."/>
                        <w:tag w:val="part_3a93cc236a994d76a163a9a4ab85496c"/>
                        <w:lock w:val="sdtLocked"/>
                        <w:richText/>
                      </w:sdtPr>
                      <w:sdtContent>
                        <w:p>
                          <w:pPr>
                            <w:ind w:firstLine="720"/>
                            <w:jc w:val="both"/>
                            <w:rPr>
                              <w:sz w:val="22"/>
                              <w:szCs w:val="22"/>
                            </w:rPr>
                          </w:pPr>
                          <w:sdt>
                            <w:sdtPr>
                              <w:alias w:val="Numeris"/>
                              <w:tag w:val="nr_3a93cc236a994d76a163a9a4ab85496c"/>
                              <w:lock w:val="sdtLocked"/>
                              <w:richText/>
                            </w:sdtPr>
                            <w:sdtContent>
                              <w:r>
                                <w:rPr>
                                  <w:sz w:val="22"/>
                                  <w:szCs w:val="22"/>
                                </w:rPr>
                                <w:t>1</w:t>
                              </w:r>
                            </w:sdtContent>
                          </w:sdt>
                          <w:r>
                            <w:rPr>
                              <w:sz w:val="22"/>
                              <w:szCs w:val="22"/>
                            </w:rPr>
                            <w:t>) dėl kurio per paskutinius 12 darbo Lietuvos banke mėnesių tiesiogiai rengė, svarstė ar priėmė su jo veiklos priežiūra ar kontrole susijusius sprendimus, įskaitant to subjekto tiesiogines ar netiesiogines patronuojančiąsias įmones, patronuojamąsias įmones arba įmones, kuriose subjektas dalyvauja (dalyvavimas suprantamas taip, kaip apibrėžiamas Įmonių, priklausančių finansų konglomeratui, papildomos priežiūros įstatyme);</w:t>
                          </w:r>
                        </w:p>
                      </w:sdtContent>
                    </w:sdt>
                    <w:sdt>
                      <w:sdtPr>
                        <w:alias w:val="18-2 str. 2 d. 2 p."/>
                        <w:tag w:val="part_71ee7905a4024bd2aabae767729711d7"/>
                        <w:lock w:val="sdtLocked"/>
                        <w:richText/>
                      </w:sdtPr>
                      <w:sdtContent>
                        <w:p>
                          <w:pPr>
                            <w:ind w:firstLine="720"/>
                            <w:jc w:val="both"/>
                            <w:rPr>
                              <w:sz w:val="22"/>
                              <w:szCs w:val="22"/>
                            </w:rPr>
                          </w:pPr>
                          <w:sdt>
                            <w:sdtPr>
                              <w:alias w:val="Numeris"/>
                              <w:tag w:val="nr_71ee7905a4024bd2aabae767729711d7"/>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2 d. 3 p."/>
                        <w:tag w:val="part_453dcf47a40e4e149dfbcd67a71bc941"/>
                        <w:lock w:val="sdtLocked"/>
                        <w:richText/>
                      </w:sdtPr>
                      <w:sdtContent>
                        <w:p>
                          <w:pPr>
                            <w:ind w:firstLine="720"/>
                            <w:jc w:val="both"/>
                            <w:rPr>
                              <w:sz w:val="22"/>
                              <w:szCs w:val="22"/>
                            </w:rPr>
                          </w:pPr>
                          <w:sdt>
                            <w:sdtPr>
                              <w:alias w:val="Numeris"/>
                              <w:tag w:val="nr_453dcf47a40e4e149dfbcd67a71bc941"/>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eidami savo pareigas Lietuvos banke, buvo atsakingi.</w:t>
                          </w:r>
                        </w:p>
                      </w:sdtContent>
                    </w:sdt>
                  </w:sdtContent>
                </w:sdt>
                <w:sdt>
                  <w:sdtPr>
                    <w:alias w:val="18-2 str. 3 d."/>
                    <w:tag w:val="part_bbbc371f505d4a269e5c382b4dd718b2"/>
                    <w:lock w:val="sdtLocked"/>
                    <w:richText/>
                  </w:sdtPr>
                  <w:sdtContent>
                    <w:p>
                      <w:pPr>
                        <w:ind w:firstLine="720"/>
                        <w:jc w:val="both"/>
                        <w:rPr>
                          <w:sz w:val="22"/>
                          <w:szCs w:val="22"/>
                        </w:rPr>
                      </w:pPr>
                      <w:sdt>
                        <w:sdtPr>
                          <w:alias w:val="Numeris"/>
                          <w:tag w:val="nr_bbbc371f505d4a269e5c382b4dd718b2"/>
                          <w:lock w:val="sdtLocked"/>
                          <w:richText/>
                        </w:sdtPr>
                        <w:sdtContent>
                          <w:r>
                            <w:rPr>
                              <w:sz w:val="22"/>
                              <w:szCs w:val="22"/>
                            </w:rPr>
                            <w:t>3</w:t>
                          </w:r>
                        </w:sdtContent>
                      </w:sdt>
                      <w:r>
                        <w:rPr>
                          <w:sz w:val="22"/>
                          <w:szCs w:val="22"/>
                        </w:rPr>
                        <w:t>. Kiti, negu nurodyti šio straipsnio 2 dalyje ir šio įstatymo 16 straipsnyje, Lietuvos banko tarnautojai, kurie dirbdami Lietuvos banke dalyvavo rengiant, svarstant ar priimant su finansų rinkos dalyvių veiklos priežiūra ar kontrole susijusius sprendimus, nustoję dirbti Lietuvos banke, 6 mėnesių veiklos pertraukos laikotarpiu negali teikti profesinių paslaugų sudarę darbo ar civilinę sutartį subjektui:</w:t>
                      </w:r>
                    </w:p>
                    <w:sdt>
                      <w:sdtPr>
                        <w:alias w:val="18-2 str. 3 d. 1 p."/>
                        <w:tag w:val="part_ec427423710b47f9a0522032d8a8bd9e"/>
                        <w:lock w:val="sdtLocked"/>
                        <w:richText/>
                      </w:sdtPr>
                      <w:sdtContent>
                        <w:p>
                          <w:pPr>
                            <w:ind w:firstLine="720"/>
                            <w:jc w:val="both"/>
                            <w:rPr>
                              <w:sz w:val="22"/>
                              <w:szCs w:val="22"/>
                            </w:rPr>
                          </w:pPr>
                          <w:sdt>
                            <w:sdtPr>
                              <w:alias w:val="Numeris"/>
                              <w:tag w:val="nr_ec427423710b47f9a0522032d8a8bd9e"/>
                              <w:lock w:val="sdtLocked"/>
                              <w:richText/>
                            </w:sdtPr>
                            <w:sdtContent>
                              <w:r>
                                <w:rPr>
                                  <w:sz w:val="22"/>
                                  <w:szCs w:val="22"/>
                                </w:rPr>
                                <w:t>1</w:t>
                              </w:r>
                            </w:sdtContent>
                          </w:sdt>
                          <w:r>
                            <w:rPr>
                              <w:sz w:val="22"/>
                              <w:szCs w:val="22"/>
                            </w:rPr>
                            <w:t>) dėl kurio per paskutinius 6 darbo Lietuvos banke mėnesius tiesiogiai rengė, svarstė ar priėmė su jo veiklos priežiūra ar kontrole susijusius sprendimus, įskaitant tų subjektų tiesiogines ar netiesiogines patronuojančiąsias įmones, patronuojamąsias įmones arba įmones, kuriose subjektas dalyvauja (dalyvavimas apibrėžiamas Įmonių, priklausančių finansų konglomeratui, papildomos priežiūros įstatyme);</w:t>
                          </w:r>
                        </w:p>
                      </w:sdtContent>
                    </w:sdt>
                    <w:sdt>
                      <w:sdtPr>
                        <w:alias w:val="18-2 str. 3 d. 2 p."/>
                        <w:tag w:val="part_d9d5ef132bb14c43b744f654459289b1"/>
                        <w:lock w:val="sdtLocked"/>
                        <w:richText/>
                      </w:sdtPr>
                      <w:sdtContent>
                        <w:p>
                          <w:pPr>
                            <w:ind w:firstLine="720"/>
                            <w:jc w:val="both"/>
                            <w:rPr>
                              <w:sz w:val="22"/>
                              <w:szCs w:val="22"/>
                            </w:rPr>
                          </w:pPr>
                          <w:sdt>
                            <w:sdtPr>
                              <w:alias w:val="Numeris"/>
                              <w:tag w:val="nr_d9d5ef132bb14c43b744f654459289b1"/>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3 d. 3 p."/>
                        <w:tag w:val="part_3e35c53e89964c7a95efc8b44879c1bb"/>
                        <w:lock w:val="sdtLocked"/>
                        <w:richText/>
                      </w:sdtPr>
                      <w:sdtContent>
                        <w:p>
                          <w:pPr>
                            <w:ind w:firstLine="720"/>
                            <w:jc w:val="both"/>
                            <w:rPr>
                              <w:bCs/>
                              <w:sz w:val="22"/>
                              <w:szCs w:val="22"/>
                            </w:rPr>
                          </w:pPr>
                          <w:sdt>
                            <w:sdtPr>
                              <w:alias w:val="Numeris"/>
                              <w:tag w:val="nr_3e35c53e89964c7a95efc8b44879c1bb"/>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dirbdami Lietuvos banke, buvo atsakingi.</w:t>
                          </w:r>
                        </w:p>
                      </w:sdtContent>
                    </w:sdt>
                  </w:sdtContent>
                </w:sdt>
                <w:sdt>
                  <w:sdtPr>
                    <w:alias w:val="18-2 str. 4 d."/>
                    <w:tag w:val="part_7db10171befe4aff957266497a4dea00"/>
                    <w:lock w:val="sdtLocked"/>
                    <w:richText/>
                  </w:sdtPr>
                  <w:sdtContent>
                    <w:p>
                      <w:pPr>
                        <w:ind w:firstLine="720"/>
                        <w:jc w:val="both"/>
                        <w:rPr>
                          <w:sz w:val="22"/>
                          <w:szCs w:val="22"/>
                          <w:lang w:eastAsia="lt-LT"/>
                        </w:rPr>
                      </w:pPr>
                      <w:sdt>
                        <w:sdtPr>
                          <w:alias w:val="Numeris"/>
                          <w:tag w:val="nr_7db10171befe4aff957266497a4dea00"/>
                          <w:lock w:val="sdtLocked"/>
                          <w:richText/>
                        </w:sdtPr>
                        <w:sdtContent>
                          <w:r>
                            <w:rPr>
                              <w:sz w:val="22"/>
                              <w:szCs w:val="22"/>
                              <w:lang w:eastAsia="lt-LT"/>
                            </w:rPr>
                            <w:t>4</w:t>
                          </w:r>
                        </w:sdtContent>
                      </w:sdt>
                      <w:r>
                        <w:rPr>
                          <w:sz w:val="22"/>
                          <w:szCs w:val="22"/>
                          <w:lang w:eastAsia="lt-LT"/>
                        </w:rPr>
                        <w:t>. Lietuvos bankas, nustatęs galimą šio straipsnio 2 ir 3 dalių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w:t>
                      </w:r>
                    </w:p>
                  </w:sdtContent>
                </w:sdt>
                <w:sdt>
                  <w:sdtPr>
                    <w:alias w:val="18-2 str. 5 d."/>
                    <w:tag w:val="part_c6f79d3f245e462faddd4394bcd3e3c3"/>
                    <w:lock w:val="sdtLocked"/>
                    <w:richText/>
                  </w:sdtPr>
                  <w:sdtContent>
                    <w:p>
                      <w:pPr>
                        <w:ind w:firstLine="720"/>
                        <w:jc w:val="both"/>
                      </w:pPr>
                      <w:sdt>
                        <w:sdtPr>
                          <w:alias w:val="Numeris"/>
                          <w:tag w:val="nr_c6f79d3f245e462faddd4394bcd3e3c3"/>
                          <w:lock w:val="sdtLocked"/>
                          <w:richText/>
                        </w:sdtPr>
                        <w:sdtContent>
                          <w:r>
                            <w:rPr>
                              <w:sz w:val="22"/>
                              <w:szCs w:val="22"/>
                            </w:rPr>
                            <w:t>5</w:t>
                          </w:r>
                        </w:sdtContent>
                      </w:sdt>
                      <w:r>
                        <w:rPr>
                          <w:sz w:val="22"/>
                          <w:szCs w:val="22"/>
                        </w:rPr>
                        <w:t>. Kitiems, negu nurodyti šio įstatymo 16 straipsnyje, Lietuvos banko tarnautojams, ėjusiems narių, pakaitinių narių pareigas Europos Centrinio Banko valdančiojoje taryboje ir (ar) priežiūros valdyboje, taip pat taikomi Europos Centrinio Banko aukšto lygio tarnautojų elgesio kodekse išdėstyti veiklos apribojimai.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3 str."/>
                <w:tag w:val="part_7671102497ae44a4a056cac78300cdc6"/>
                <w:lock w:val="sdtLocked"/>
                <w:richText/>
              </w:sdtPr>
              <w:sdtContent>
                <w:p>
                  <w:pPr>
                    <w:ind w:left="2410" w:hanging="1690"/>
                    <w:jc w:val="both"/>
                    <w:rPr>
                      <w:b/>
                      <w:sz w:val="22"/>
                      <w:szCs w:val="22"/>
                    </w:rPr>
                  </w:pPr>
                  <w:sdt>
                    <w:sdtPr>
                      <w:alias w:val="Numeris"/>
                      <w:tag w:val="nr_7671102497ae44a4a056cac78300cdc6"/>
                      <w:lock w:val="sdtLocked"/>
                      <w:richText/>
                    </w:sdtPr>
                    <w:sdtContent>
                      <w:r>
                        <w:rPr>
                          <w:b/>
                          <w:bCs/>
                          <w:sz w:val="22"/>
                          <w:szCs w:val="22"/>
                        </w:rPr>
                        <w:t>18</w:t>
                      </w:r>
                      <w:r>
                        <w:rPr>
                          <w:b/>
                          <w:bCs/>
                          <w:sz w:val="22"/>
                          <w:szCs w:val="22"/>
                          <w:vertAlign w:val="superscript"/>
                        </w:rPr>
                        <w:t>3</w:t>
                      </w:r>
                    </w:sdtContent>
                  </w:sdt>
                  <w:r>
                    <w:rPr>
                      <w:b/>
                      <w:bCs/>
                      <w:sz w:val="22"/>
                      <w:szCs w:val="22"/>
                    </w:rPr>
                    <w:t xml:space="preserve"> straipsnis. </w:t>
                  </w:r>
                  <w:sdt>
                    <w:sdtPr>
                      <w:alias w:val="Pavadinimas"/>
                      <w:tag w:val="title_7671102497ae44a4a056cac78300cdc6"/>
                      <w:lock w:val="sdtLocked"/>
                      <w:richText/>
                    </w:sdtPr>
                    <w:sdtContent>
                      <w:r>
                        <w:rPr>
                          <w:b/>
                          <w:bCs/>
                          <w:sz w:val="22"/>
                          <w:szCs w:val="22"/>
                        </w:rPr>
                        <w:t>Lietuvos banko tarnautojų veiklos apribojimų pasibaigus tarnybai Lietuvos banke išimtys</w:t>
                      </w:r>
                    </w:sdtContent>
                  </w:sdt>
                </w:p>
                <w:sdt>
                  <w:sdtPr>
                    <w:alias w:val="18-3 str. 1 d."/>
                    <w:tag w:val="part_99c1192b35f748268451bfefff8c4700"/>
                    <w:lock w:val="sdtLocked"/>
                    <w:richText/>
                  </w:sdtPr>
                  <w:sdtContent>
                    <w:p>
                      <w:pPr>
                        <w:ind w:firstLine="720"/>
                        <w:jc w:val="both"/>
                      </w:pPr>
                      <w:r>
                        <w:rPr>
                          <w:sz w:val="22"/>
                          <w:szCs w:val="22"/>
                        </w:rPr>
                        <w:t>Asmens, išskyrus šio įstatymo 16 straipsnyje nurodytus Lietuvos banko tarnautojus, nustojusio dirbti, eiti pareigas Lietuvos banke, prašymu Lietuvos banko valdybos nustatyta tvarka ir sąlygomis, atsižvelgiant į šio asmens prašyme nurodytas aplinkybes, Lietuvos banko surinktus dokumentus ir informaciją apie asmens Lietuvos banke vykdytas darbo funkcijas, eitų pareigų pobūdį, įskaitant atsakomybės priimant sprendimus mastą, tam asmeniui gali būti taikomas trumpesnis, negu nustatyta šio įstatymo 18</w:t>
                      </w:r>
                      <w:r>
                        <w:rPr>
                          <w:sz w:val="22"/>
                          <w:szCs w:val="22"/>
                          <w:vertAlign w:val="superscript"/>
                        </w:rPr>
                        <w:t>2</w:t>
                      </w:r>
                      <w:r>
                        <w:rPr>
                          <w:sz w:val="22"/>
                          <w:szCs w:val="22"/>
                        </w:rPr>
                        <w:t xml:space="preserve"> straipsnyje, veiklos pertraukos laikotarpis, bet ne trumpesnis negu 3 mėnesiai, jeigu šio įstatymo 18</w:t>
                      </w:r>
                      <w:r>
                        <w:rPr>
                          <w:sz w:val="22"/>
                          <w:szCs w:val="22"/>
                          <w:vertAlign w:val="superscript"/>
                        </w:rPr>
                        <w:t>2</w:t>
                      </w:r>
                      <w:r>
                        <w:rPr>
                          <w:sz w:val="22"/>
                          <w:szCs w:val="22"/>
                        </w:rPr>
                        <w:t xml:space="preserve"> straipsnyje nurodytais veiklos pertraukos laikotarpiais būtų neproporcingai ribojama asmens, buvusio Lietuvos banko tarnautoju, teisė dirbti, eiti pareigas pasibaigus tarnybai Lietuvos banke ir toks išimties taikymas neprieštarauja Lietuvos banko interesams.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4 str."/>
                <w:tag w:val="part_1422c9c8aa464746aa30cecb32410a41"/>
                <w:lock w:val="sdtLocked"/>
                <w:richText/>
              </w:sdtPr>
              <w:sdtContent>
                <w:p>
                  <w:pPr>
                    <w:ind w:left="2268" w:hanging="1548"/>
                    <w:jc w:val="both"/>
                    <w:rPr>
                      <w:bCs/>
                      <w:sz w:val="22"/>
                      <w:szCs w:val="22"/>
                    </w:rPr>
                  </w:pPr>
                  <w:sdt>
                    <w:sdtPr>
                      <w:alias w:val="Numeris"/>
                      <w:tag w:val="nr_1422c9c8aa464746aa30cecb32410a41"/>
                      <w:lock w:val="sdtLocked"/>
                      <w:richText/>
                    </w:sdtPr>
                    <w:sdtContent>
                      <w:r>
                        <w:rPr>
                          <w:b/>
                          <w:bCs/>
                          <w:sz w:val="22"/>
                          <w:szCs w:val="22"/>
                        </w:rPr>
                        <w:t>18</w:t>
                      </w:r>
                      <w:r>
                        <w:rPr>
                          <w:b/>
                          <w:bCs/>
                          <w:sz w:val="22"/>
                          <w:szCs w:val="22"/>
                          <w:vertAlign w:val="superscript"/>
                        </w:rPr>
                        <w:t>4</w:t>
                      </w:r>
                    </w:sdtContent>
                  </w:sdt>
                  <w:r>
                    <w:rPr>
                      <w:b/>
                      <w:bCs/>
                      <w:sz w:val="22"/>
                      <w:szCs w:val="22"/>
                    </w:rPr>
                    <w:t xml:space="preserve"> straipsnis. </w:t>
                  </w:r>
                  <w:sdt>
                    <w:sdtPr>
                      <w:alias w:val="Pavadinimas"/>
                      <w:tag w:val="title_1422c9c8aa464746aa30cecb32410a41"/>
                      <w:lock w:val="sdtLocked"/>
                      <w:richText/>
                    </w:sdtPr>
                    <w:sdtContent>
                      <w:r>
                        <w:rPr>
                          <w:b/>
                          <w:bCs/>
                          <w:sz w:val="22"/>
                          <w:szCs w:val="22"/>
                        </w:rPr>
                        <w:t>Lietuvos banko tarnautojų teisė į kompensaciją pasibaigus tarnybai Lietuvos banke</w:t>
                      </w:r>
                      <w:r>
                        <w:rPr>
                          <w:sz w:val="22"/>
                          <w:szCs w:val="22"/>
                        </w:rPr>
                        <w:t xml:space="preserve"> </w:t>
                      </w:r>
                    </w:sdtContent>
                  </w:sdt>
                </w:p>
                <w:sdt>
                  <w:sdtPr>
                    <w:alias w:val="18-4 str. 1 d."/>
                    <w:tag w:val="part_b1f15743b5a045ad8f70e0db58f0a996"/>
                    <w:lock w:val="sdtLocked"/>
                    <w:richText/>
                  </w:sdtPr>
                  <w:sdtContent>
                    <w:p>
                      <w:pPr>
                        <w:ind w:firstLine="720"/>
                        <w:jc w:val="both"/>
                        <w:rPr>
                          <w:sz w:val="22"/>
                          <w:szCs w:val="22"/>
                        </w:rPr>
                      </w:pPr>
                      <w:sdt>
                        <w:sdtPr>
                          <w:alias w:val="Numeris"/>
                          <w:tag w:val="nr_b1f15743b5a045ad8f70e0db58f0a996"/>
                          <w:lock w:val="sdtLocked"/>
                          <w:richText/>
                        </w:sdtPr>
                        <w:sdtContent>
                          <w:r>
                            <w:rPr>
                              <w:sz w:val="22"/>
                              <w:szCs w:val="22"/>
                            </w:rPr>
                            <w:t>1</w:t>
                          </w:r>
                        </w:sdtContent>
                      </w:sdt>
                      <w:r>
                        <w:rPr>
                          <w:sz w:val="22"/>
                          <w:szCs w:val="22"/>
                        </w:rPr>
                        <w:t>. Kitiems, negu nurodyti šio įstatymo 16 straipsnyje, Lietuvos banko tarnautojams, nustojusiems dirbti Lietuvos banke, veiklos pertraukos laikotarpiu Lietuvos banko nustatyta tvarka ir sąlygomis mokama kompensacija, kurios mokėjimas atitinka teisingumo, sąžiningumo, proporcingumo ir minimalios garantijos principus.</w:t>
                      </w:r>
                    </w:p>
                  </w:sdtContent>
                </w:sdt>
                <w:sdt>
                  <w:sdtPr>
                    <w:alias w:val="18-4 str. 2 d."/>
                    <w:tag w:val="part_9c600507293d4ac89920d029cdbc5394"/>
                    <w:lock w:val="sdtLocked"/>
                    <w:richText/>
                  </w:sdtPr>
                  <w:sdtContent>
                    <w:p>
                      <w:pPr>
                        <w:ind w:firstLine="720"/>
                        <w:jc w:val="both"/>
                        <w:rPr>
                          <w:bCs/>
                          <w:sz w:val="22"/>
                          <w:szCs w:val="22"/>
                        </w:rPr>
                      </w:pPr>
                      <w:sdt>
                        <w:sdtPr>
                          <w:alias w:val="Numeris"/>
                          <w:tag w:val="nr_9c600507293d4ac89920d029cdbc5394"/>
                          <w:lock w:val="sdtLocked"/>
                          <w:richText/>
                        </w:sdtPr>
                        <w:sdtContent>
                          <w:r>
                            <w:rPr>
                              <w:sz w:val="22"/>
                              <w:szCs w:val="22"/>
                            </w:rPr>
                            <w:t>2</w:t>
                          </w:r>
                        </w:sdtContent>
                      </w:sdt>
                      <w:r>
                        <w:rPr>
                          <w:sz w:val="22"/>
                          <w:szCs w:val="22"/>
                        </w:rPr>
                        <w:t>. Kompensacija nemokama, jeigu darbo sutartis su Lietuvos banku nutraukiama Lietuvos banko tarnautojui padarius šiurkštų darbo pareigų pažeidimą arba per paskutinius 12 mėnesių padarius antrą tokį patį darbo pareigų pažeidimą, taip pat jeigu Lietuvos banko tarnautojas buvo atleistas iš Lietuvos banko dėl to, kad įsiteisėjo teismo sprendimas ar nuosprendis, kuriuo tarnautojui paskiriama bausmė, dėl kurios jis nebegali eiti savo pareigų.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9 str."/>
                <w:tag w:val="part_ed6e78e45fdb4c8bbd8e0826d1146261"/>
                <w:lock w:val="sdtLocked"/>
                <w:richText/>
              </w:sdtPr>
              <w:sdtContent>
                <w:p>
                  <w:pPr>
                    <w:ind w:firstLine="720"/>
                    <w:jc w:val="both"/>
                    <w:rPr>
                      <w:sz w:val="22"/>
                    </w:rPr>
                  </w:pPr>
                  <w:sdt>
                    <w:sdtPr>
                      <w:alias w:val="Numeris"/>
                      <w:tag w:val="nr_ed6e78e45fdb4c8bbd8e0826d1146261"/>
                      <w:lock w:val="sdtLocked"/>
                      <w:richText/>
                    </w:sdtPr>
                    <w:sdtContent>
                      <w:r>
                        <w:rPr>
                          <w:b/>
                          <w:sz w:val="22"/>
                        </w:rPr>
                        <w:t>19</w:t>
                      </w:r>
                    </w:sdtContent>
                  </w:sdt>
                  <w:r>
                    <w:rPr>
                      <w:b/>
                      <w:sz w:val="22"/>
                    </w:rPr>
                    <w:t xml:space="preserve"> straipsnis. </w:t>
                  </w:r>
                  <w:sdt>
                    <w:sdtPr>
                      <w:alias w:val="Pavadinimas"/>
                      <w:tag w:val="title_ed6e78e45fdb4c8bbd8e0826d1146261"/>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b495ea5f71c74e5488edc239acb7a64b"/>
                <w:lock w:val="sdtLocked"/>
                <w:richText/>
              </w:sdtPr>
              <w:sdtContent>
                <w:p>
                  <w:pPr>
                    <w:ind w:firstLine="720"/>
                    <w:jc w:val="both"/>
                    <w:rPr>
                      <w:b/>
                      <w:sz w:val="22"/>
                    </w:rPr>
                  </w:pPr>
                  <w:sdt>
                    <w:sdtPr>
                      <w:alias w:val="Numeris"/>
                      <w:tag w:val="nr_b495ea5f71c74e5488edc239acb7a64b"/>
                      <w:lock w:val="sdtLocked"/>
                      <w:richText/>
                    </w:sdtPr>
                    <w:sdtContent>
                      <w:r>
                        <w:rPr>
                          <w:b/>
                          <w:sz w:val="22"/>
                        </w:rPr>
                        <w:t>20</w:t>
                      </w:r>
                    </w:sdtContent>
                  </w:sdt>
                  <w:r>
                    <w:rPr>
                      <w:b/>
                      <w:sz w:val="22"/>
                    </w:rPr>
                    <w:t xml:space="preserve"> straipsnis. </w:t>
                  </w:r>
                  <w:sdt>
                    <w:sdtPr>
                      <w:alias w:val="Pavadinimas"/>
                      <w:tag w:val="title_b495ea5f71c74e5488edc239acb7a64b"/>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7487763b72b44790bde0a48d61f73af7"/>
                <w:lock w:val="sdtLocked"/>
                <w:richText/>
              </w:sdtPr>
              <w:sdtContent>
                <w:p>
                  <w:pPr>
                    <w:ind w:firstLine="720"/>
                    <w:jc w:val="both"/>
                    <w:rPr>
                      <w:color w:val="000000"/>
                      <w:sz w:val="22"/>
                      <w:szCs w:val="22"/>
                      <w:lang w:eastAsia="lt-LT"/>
                    </w:rPr>
                  </w:pPr>
                  <w:sdt>
                    <w:sdtPr>
                      <w:alias w:val="Numeris"/>
                      <w:tag w:val="nr_7487763b72b44790bde0a48d61f73af7"/>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7487763b72b44790bde0a48d61f73af7"/>
                      <w:lock w:val="sdtLocked"/>
                      <w:richText/>
                    </w:sdtPr>
                    <w:sdtContent>
                      <w:r>
                        <w:rPr>
                          <w:b/>
                          <w:bCs/>
                          <w:color w:val="000000"/>
                          <w:sz w:val="22"/>
                          <w:szCs w:val="22"/>
                          <w:lang w:eastAsia="lt-LT"/>
                        </w:rPr>
                        <w:t>Lietuvos banko nuostolio padengimas ir pelno paskirstymas</w:t>
                      </w:r>
                    </w:sdtContent>
                  </w:sdt>
                </w:p>
                <w:sdt>
                  <w:sdtPr>
                    <w:alias w:val="23 str. 1 d."/>
                    <w:tag w:val="part_ebf7c04a01a44b7d8d865a38c4137945"/>
                    <w:lock w:val="sdtLocked"/>
                    <w:richText/>
                  </w:sdtPr>
                  <w:sdtContent>
                    <w:p>
                      <w:pPr>
                        <w:ind w:firstLine="720"/>
                        <w:jc w:val="both"/>
                        <w:rPr>
                          <w:color w:val="000000"/>
                          <w:sz w:val="22"/>
                          <w:szCs w:val="22"/>
                          <w:lang w:eastAsia="lt-LT"/>
                        </w:rPr>
                      </w:pPr>
                      <w:sdt>
                        <w:sdtPr>
                          <w:alias w:val="Numeris"/>
                          <w:tag w:val="nr_ebf7c04a01a44b7d8d865a38c4137945"/>
                          <w:lock w:val="sdtLocked"/>
                          <w:richText/>
                        </w:sdtPr>
                        <w:sdtContent>
                          <w:r>
                            <w:rPr>
                              <w:color w:val="000000"/>
                              <w:sz w:val="22"/>
                              <w:szCs w:val="22"/>
                              <w:lang w:eastAsia="lt-LT"/>
                            </w:rPr>
                            <w:t>1</w:t>
                          </w:r>
                        </w:sdtContent>
                      </w:sdt>
                      <w:r>
                        <w:rPr>
                          <w:color w:val="000000"/>
                          <w:sz w:val="22"/>
                          <w:szCs w:val="22"/>
                          <w:lang w:eastAsia="lt-LT"/>
                        </w:rPr>
                        <w:t xml:space="preserve">. Šio įstatymo nustatyta tvarka patvirtinus paskutinių pasibaigusių finansinių metų finansinių ataskaitų rinkinį, tų </w:t>
                      </w:r>
                      <w:r>
                        <w:rPr>
                          <w:color w:val="000000"/>
                          <w:sz w:val="22"/>
                          <w:szCs w:val="22"/>
                          <w:shd w:val="clear" w:color="auto" w:fill="FFFFFF"/>
                          <w:lang w:eastAsia="lt-LT"/>
                        </w:rPr>
                        <w:t xml:space="preserve">metų </w:t>
                      </w:r>
                      <w:r>
                        <w:rPr>
                          <w:color w:val="000000"/>
                          <w:sz w:val="22"/>
                          <w:szCs w:val="22"/>
                          <w:lang w:eastAsia="lt-LT"/>
                        </w:rPr>
                        <w:t>pelnas skirstomas ar nuostolis dengiamas šiame straipsnyje nustatyta tvarka.</w:t>
                      </w:r>
                    </w:p>
                  </w:sdtContent>
                </w:sdt>
                <w:sdt>
                  <w:sdtPr>
                    <w:alias w:val="23 str. 2 d."/>
                    <w:tag w:val="part_67656bb77a754124a62aff07c36526b8"/>
                    <w:lock w:val="sdtLocked"/>
                    <w:richText/>
                  </w:sdtPr>
                  <w:sdtContent>
                    <w:p>
                      <w:pPr>
                        <w:ind w:firstLine="720"/>
                        <w:jc w:val="both"/>
                        <w:rPr>
                          <w:color w:val="000000"/>
                          <w:sz w:val="22"/>
                          <w:szCs w:val="22"/>
                          <w:lang w:eastAsia="lt-LT"/>
                        </w:rPr>
                      </w:pPr>
                      <w:sdt>
                        <w:sdtPr>
                          <w:alias w:val="Numeris"/>
                          <w:tag w:val="nr_67656bb77a754124a62aff07c36526b8"/>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shd w:val="clear" w:color="auto" w:fill="FFFFFF"/>
                          <w:lang w:eastAsia="lt-LT"/>
                        </w:rPr>
                        <w:t>Nuostolis</w:t>
                      </w:r>
                      <w:r>
                        <w:rPr>
                          <w:color w:val="000000"/>
                          <w:sz w:val="22"/>
                          <w:szCs w:val="22"/>
                          <w:lang w:eastAsia="lt-LT"/>
                        </w:rPr>
                        <w:t xml:space="preserve"> dengiamas turimu Lietuvos banko atsargos kapitalu. Kai atsargos kapitalo nepakanka šiam nuostoliui dengti, likęs nepadengtas nuostolis dengiamas paskesnių finansinių metų pelnu.</w:t>
                      </w:r>
                    </w:p>
                  </w:sdtContent>
                </w:sdt>
                <w:sdt>
                  <w:sdtPr>
                    <w:alias w:val="23 str. 3 d."/>
                    <w:tag w:val="part_93866160eba54ba3b13496549ff33f20"/>
                    <w:lock w:val="sdtLocked"/>
                    <w:richText/>
                  </w:sdtPr>
                  <w:sdtContent>
                    <w:p>
                      <w:pPr>
                        <w:ind w:firstLine="720"/>
                        <w:jc w:val="both"/>
                        <w:rPr>
                          <w:color w:val="000000"/>
                          <w:sz w:val="22"/>
                          <w:szCs w:val="22"/>
                          <w:lang w:eastAsia="lt-LT"/>
                        </w:rPr>
                      </w:pPr>
                      <w:sdt>
                        <w:sdtPr>
                          <w:alias w:val="Numeris"/>
                          <w:tag w:val="nr_93866160eba54ba3b13496549ff33f20"/>
                          <w:lock w:val="sdtLocked"/>
                          <w:richText/>
                        </w:sdtPr>
                        <w:sdtContent>
                          <w:r>
                            <w:rPr>
                              <w:color w:val="000000"/>
                              <w:sz w:val="22"/>
                              <w:szCs w:val="22"/>
                              <w:lang w:eastAsia="lt-LT"/>
                            </w:rPr>
                            <w:t>3</w:t>
                          </w:r>
                        </w:sdtContent>
                      </w:sdt>
                      <w:r>
                        <w:rPr>
                          <w:color w:val="000000"/>
                          <w:sz w:val="22"/>
                          <w:szCs w:val="22"/>
                          <w:lang w:eastAsia="lt-LT"/>
                        </w:rPr>
                        <w:t xml:space="preserve">. </w:t>
                      </w:r>
                      <w:r>
                        <w:rPr>
                          <w:color w:val="000000"/>
                          <w:sz w:val="22"/>
                          <w:szCs w:val="22"/>
                          <w:shd w:val="clear" w:color="auto" w:fill="FFFFFF"/>
                          <w:lang w:eastAsia="lt-LT"/>
                        </w:rPr>
                        <w:t>Pelnas</w:t>
                      </w:r>
                      <w:r>
                        <w:rPr>
                          <w:color w:val="000000"/>
                          <w:sz w:val="22"/>
                          <w:szCs w:val="22"/>
                          <w:lang w:eastAsia="lt-LT"/>
                        </w:rPr>
                        <w:t xml:space="preserve"> skirstomas šia eilės tvarka:</w:t>
                      </w:r>
                    </w:p>
                    <w:sdt>
                      <w:sdtPr>
                        <w:alias w:val="23 str. 3 d. 1 p."/>
                        <w:tag w:val="part_49ebc5a398f0401baaaf42e7b805e78b"/>
                        <w:lock w:val="sdtLocked"/>
                        <w:richText/>
                      </w:sdtPr>
                      <w:sdtContent>
                        <w:p>
                          <w:pPr>
                            <w:ind w:firstLine="720"/>
                            <w:jc w:val="both"/>
                            <w:rPr>
                              <w:color w:val="000000"/>
                              <w:sz w:val="22"/>
                              <w:szCs w:val="22"/>
                              <w:lang w:eastAsia="lt-LT"/>
                            </w:rPr>
                          </w:pPr>
                          <w:sdt>
                            <w:sdtPr>
                              <w:alias w:val="Numeris"/>
                              <w:tag w:val="nr_49ebc5a398f0401baaaf42e7b805e78b"/>
                              <w:lock w:val="sdtLocked"/>
                              <w:richText/>
                            </w:sdtPr>
                            <w:sdtContent>
                              <w:r>
                                <w:rPr>
                                  <w:color w:val="000000"/>
                                  <w:sz w:val="22"/>
                                  <w:szCs w:val="22"/>
                                  <w:lang w:eastAsia="lt-LT"/>
                                </w:rPr>
                                <w:t>1</w:t>
                              </w:r>
                            </w:sdtContent>
                          </w:sdt>
                          <w:r>
                            <w:rPr>
                              <w:color w:val="000000"/>
                              <w:sz w:val="22"/>
                              <w:szCs w:val="22"/>
                              <w:lang w:eastAsia="lt-LT"/>
                            </w:rPr>
                            <w:t>) ankstesnių finansinių metų nepadengtiems nuostoliams dengti;</w:t>
                          </w:r>
                        </w:p>
                      </w:sdtContent>
                    </w:sdt>
                    <w:sdt>
                      <w:sdtPr>
                        <w:alias w:val="23 str. 3 d. 2 p."/>
                        <w:tag w:val="part_84fad8ec0d9f4bc287c54152499a7023"/>
                        <w:lock w:val="sdtLocked"/>
                        <w:richText/>
                      </w:sdtPr>
                      <w:sdtContent>
                        <w:p>
                          <w:pPr>
                            <w:ind w:firstLine="720"/>
                            <w:jc w:val="both"/>
                            <w:rPr>
                              <w:color w:val="000000"/>
                              <w:sz w:val="22"/>
                              <w:szCs w:val="22"/>
                              <w:lang w:eastAsia="lt-LT"/>
                            </w:rPr>
                          </w:pPr>
                          <w:sdt>
                            <w:sdtPr>
                              <w:alias w:val="Numeris"/>
                              <w:tag w:val="nr_84fad8ec0d9f4bc287c54152499a7023"/>
                              <w:lock w:val="sdtLocked"/>
                              <w:richText/>
                            </w:sdtPr>
                            <w:sdtContent>
                              <w:r>
                                <w:rPr>
                                  <w:color w:val="000000"/>
                                  <w:sz w:val="22"/>
                                  <w:szCs w:val="22"/>
                                  <w:lang w:eastAsia="lt-LT"/>
                                </w:rPr>
                                <w:t>2</w:t>
                              </w:r>
                            </w:sdtContent>
                          </w:sdt>
                          <w:r>
                            <w:rPr>
                              <w:color w:val="000000"/>
                              <w:sz w:val="22"/>
                              <w:szCs w:val="22"/>
                              <w:lang w:eastAsia="lt-LT"/>
                            </w:rPr>
                            <w:t>) po paskirstymo pagal šios dalies 1 punkto nuostatas likusi suma ar jos dalis skiriama įstatiniam kapitalui iki šio įstatymo 20 straipsnyje nustatyto dydžio;</w:t>
                          </w:r>
                        </w:p>
                      </w:sdtContent>
                    </w:sdt>
                    <w:sdt>
                      <w:sdtPr>
                        <w:alias w:val="23 str. 3 d. 3 p."/>
                        <w:tag w:val="part_9999958c0c08420194340d6073422472"/>
                        <w:lock w:val="sdtLocked"/>
                        <w:richText/>
                      </w:sdtPr>
                      <w:sdtContent>
                        <w:p>
                          <w:pPr>
                            <w:ind w:firstLine="720"/>
                            <w:jc w:val="both"/>
                            <w:rPr>
                              <w:color w:val="000000"/>
                              <w:sz w:val="22"/>
                              <w:szCs w:val="22"/>
                              <w:lang w:eastAsia="lt-LT"/>
                            </w:rPr>
                          </w:pPr>
                          <w:sdt>
                            <w:sdtPr>
                              <w:alias w:val="Numeris"/>
                              <w:tag w:val="nr_9999958c0c08420194340d6073422472"/>
                              <w:lock w:val="sdtLocked"/>
                              <w:richText/>
                            </w:sdtPr>
                            <w:sdtContent>
                              <w:r>
                                <w:rPr>
                                  <w:color w:val="000000"/>
                                  <w:sz w:val="22"/>
                                  <w:szCs w:val="22"/>
                                  <w:lang w:eastAsia="lt-LT"/>
                                </w:rPr>
                                <w:t>3</w:t>
                              </w:r>
                            </w:sdtContent>
                          </w:sdt>
                          <w:r>
                            <w:rPr>
                              <w:color w:val="000000"/>
                              <w:sz w:val="22"/>
                              <w:szCs w:val="22"/>
                              <w:lang w:eastAsia="lt-LT"/>
                            </w:rPr>
                            <w:t>) po paskirstymo pagal šios dalies 2 punkto nuostatas likusi suma ar jos dalis skiriama 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0246834eec45468288a510d127a1f9d3"/>
                        <w:lock w:val="sdtLocked"/>
                        <w:richText/>
                      </w:sdtPr>
                      <w:sdtContent>
                        <w:p>
                          <w:pPr>
                            <w:ind w:firstLine="720"/>
                            <w:jc w:val="both"/>
                            <w:rPr>
                              <w:color w:val="000000"/>
                              <w:sz w:val="22"/>
                              <w:szCs w:val="22"/>
                              <w:lang w:eastAsia="lt-LT"/>
                            </w:rPr>
                          </w:pPr>
                          <w:sdt>
                            <w:sdtPr>
                              <w:alias w:val="Numeris"/>
                              <w:tag w:val="nr_0246834eec45468288a510d127a1f9d3"/>
                              <w:lock w:val="sdtLocked"/>
                              <w:richText/>
                            </w:sdtPr>
                            <w:sdtContent>
                              <w:r>
                                <w:rPr>
                                  <w:color w:val="000000"/>
                                  <w:sz w:val="22"/>
                                  <w:szCs w:val="22"/>
                                  <w:lang w:eastAsia="lt-LT"/>
                                </w:rPr>
                                <w:t>4</w:t>
                              </w:r>
                            </w:sdtContent>
                          </w:sdt>
                          <w:r>
                            <w:rPr>
                              <w:color w:val="000000"/>
                              <w:sz w:val="22"/>
                              <w:szCs w:val="22"/>
                              <w:lang w:eastAsia="lt-LT"/>
                            </w:rPr>
                            <w:t>) po paskirstymo pagal šios dalies 3 punkto nuostatas likusi suma skiriama Lietuvos banko pelno įmokai į valstybės biudžetą.</w:t>
                          </w:r>
                        </w:p>
                        <w:p>
                          <w:pPr>
                            <w:jc w:val="both"/>
                            <w:rPr>
                              <w:b/>
                              <w:sz w:val="22"/>
                            </w:rPr>
                          </w:pPr>
                          <w:r>
                            <w:rPr>
                              <w:b/>
                              <w:i/>
                              <w:color w:val="000000"/>
                              <w:sz w:val="20"/>
                              <w:lang w:eastAsia="lt-LT"/>
                            </w:rPr>
                            <w:t>TAR pastaba</w:t>
                          </w:r>
                          <w:r>
                            <w:rPr>
                              <w:i/>
                              <w:color w:val="000000"/>
                              <w:sz w:val="20"/>
                              <w:lang w:eastAsia="lt-LT"/>
                            </w:rPr>
                            <w:t>. 2025-04-10 įstatymu XV-153 keičiamas 23 straipsnis taikomas skirstant 2024 metų ir vėlesnių finansinių metų Lietuvos banko pelną ar dengiant nuostolį</w:t>
                          </w:r>
                          <w:r>
                            <w:rPr>
                              <w:color w:val="000000"/>
                              <w:szCs w:val="24"/>
                              <w:lang w:eastAsia="lt-LT"/>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4532016c011f08fdabd4950271e2c">
                    <w:r w:rsidRPr="00532B9F">
                      <w:rPr>
                        <w:rFonts w:ascii="Times New Roman" w:eastAsia="MS Mincho" w:hAnsi="Times New Roman"/>
                        <w:sz w:val="20"/>
                        <w:i/>
                        <w:iCs/>
                        <w:color w:val="0000FF" w:themeColor="hyperlink"/>
                        <w:u w:val="single"/>
                      </w:rPr>
                      <w:t>XV-153</w:t>
                    </w:r>
                  </w:fldSimple>
                  <w:r>
                    <w:rPr>
                      <w:rFonts w:ascii="Times New Roman" w:eastAsia="MS Mincho" w:hAnsi="Times New Roman"/>
                      <w:sz w:val="20"/>
                      <w:i/>
                      <w:iCs/>
                    </w:rPr>
                    <w:t>,
2025-04-10,
paskelbta TAR 2025-04-11, i. k. 2025-06427            </w:t>
                  </w:r>
                </w:p>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9"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9"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1"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6f1e3a076ab41daa162a4b17f030209"/>
                    <w:lock w:val="sdtLocked"/>
                    <w:richText/>
                  </w:sdtPr>
                  <w:sdtContent>
                    <w:p>
                      <w:pPr>
                        <w:ind w:firstLine="720"/>
                        <w:jc w:val="both"/>
                        <w:rPr>
                          <w:bCs/>
                          <w:sz w:val="22"/>
                          <w:szCs w:val="22"/>
                        </w:rPr>
                      </w:pPr>
                      <w:sdt>
                        <w:sdtPr>
                          <w:alias w:val="Numeris"/>
                          <w:tag w:val="nr_96f1e3a076ab41daa162a4b17f030209"/>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 kredito administratoriai</w:t>
                      </w:r>
                      <w:r>
                        <w:rPr>
                          <w:bCs/>
                          <w:sz w:val="22"/>
                          <w:szCs w:val="22"/>
                          <w:lang w:eastAsia="lt-LT"/>
                        </w:rPr>
                        <w:t xml:space="preserve">, </w:t>
                      </w:r>
                      <w:r>
                        <w:rPr>
                          <w:bCs/>
                          <w:kern w:val="2"/>
                          <w:sz w:val="22"/>
                          <w:szCs w:val="22"/>
                          <w:lang w:eastAsia="lt-LT"/>
                        </w:rPr>
                        <w:t>kriptoturto paslaugų teikėjai, asmenys, viešai siūlantys ar prašantys įtraukti į prekybą kriptoturtą, kuris nėra su turtu susieti žetonai arba elektroninių pinigų žetonai.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725a7997be744c26978fff2551e00032"/>
                        <w:lock w:val="sdtLocked"/>
                        <w:richText/>
                      </w:sdtPr>
                      <w:sdtContent>
                        <w:p>
                          <w:pPr>
                            <w:ind w:firstLine="720"/>
                            <w:jc w:val="both"/>
                            <w:rPr>
                              <w:bCs/>
                              <w:sz w:val="22"/>
                              <w:szCs w:val="22"/>
                            </w:rPr>
                          </w:pPr>
                          <w:sdt>
                            <w:sdtPr>
                              <w:alias w:val="Numeris"/>
                              <w:tag w:val="nr_725a7997be744c26978fff2551e00032"/>
                              <w:lock w:val="sdtLocked"/>
                              <w:richText/>
                            </w:sdtPr>
                            <w:sdtContent>
                              <w:r>
                                <w:rPr>
                                  <w:sz w:val="22"/>
                                  <w:szCs w:val="22"/>
                                </w:rPr>
                                <w:t>1</w:t>
                              </w:r>
                            </w:sdtContent>
                          </w:sdt>
                          <w:r>
                            <w:rPr>
                              <w:sz w:val="22"/>
                              <w:szCs w:val="22"/>
                            </w:rPr>
                            <w:t xml:space="preserve">) atlieka bankų, užsienio valstybių bankų filialų, įsteigtų Lietuvos Respublikoje, centrinių kredito unijų, kredito unijų priežiūrą ir kitas Lietuvos Respublikos bankų įstatymo, Lietuvos Respublikos centrinių kredito unijų įstatymo </w:t>
                          </w:r>
                          <w:r>
                            <w:rPr>
                              <w:bCs/>
                              <w:sz w:val="22"/>
                              <w:szCs w:val="22"/>
                            </w:rPr>
                            <w:t>ir</w:t>
                          </w:r>
                          <w:r>
                            <w:rPr>
                              <w:sz w:val="22"/>
                              <w:szCs w:val="22"/>
                            </w:rPr>
                            <w:t xml:space="preserve"> Lietuvos Respublikos kredito unijų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7ebd56905eb9460596297b10271d3d26"/>
                        <w:lock w:val="sdtLocked"/>
                        <w:richText/>
                      </w:sdtPr>
                      <w:sdtContent>
                        <w:p>
                          <w:pPr>
                            <w:ind w:firstLine="720"/>
                            <w:jc w:val="both"/>
                            <w:rPr>
                              <w:bCs/>
                              <w:sz w:val="22"/>
                              <w:szCs w:val="22"/>
                            </w:rPr>
                          </w:pPr>
                          <w:sdt>
                            <w:sdtPr>
                              <w:alias w:val="Numeris"/>
                              <w:tag w:val="nr_7ebd56905eb9460596297b10271d3d26"/>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 įstatymų, reglamentuojančių šių subjektų veiklą,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eb77643b0675464b8464cec703268a70"/>
                        <w:lock w:val="sdtLocked"/>
                        <w:richText/>
                      </w:sdtPr>
                      <w:sdtContent>
                        <w:p>
                          <w:pPr>
                            <w:widowControl w:val="0"/>
                            <w:ind w:firstLine="720"/>
                            <w:jc w:val="both"/>
                            <w:rPr>
                              <w:bCs/>
                              <w:sz w:val="22"/>
                              <w:szCs w:val="22"/>
                            </w:rPr>
                          </w:pPr>
                          <w:sdt>
                            <w:sdtPr>
                              <w:alias w:val="Numeris"/>
                              <w:tag w:val="nr_eb77643b0675464b8464cec703268a70"/>
                              <w:lock w:val="sdtLocked"/>
                              <w:richText/>
                            </w:sdtPr>
                            <w:sdtContent>
                              <w:r>
                                <w:rPr>
                                  <w:bCs/>
                                  <w:sz w:val="22"/>
                                  <w:szCs w:val="22"/>
                                  <w:lang w:eastAsia="lt-LT"/>
                                </w:rPr>
                                <w:t>10</w:t>
                              </w:r>
                            </w:sdtContent>
                          </w:sdt>
                          <w:r>
                            <w:rPr>
                              <w:bCs/>
                              <w:sz w:val="22"/>
                              <w:szCs w:val="22"/>
                              <w:lang w:eastAsia="lt-LT"/>
                            </w:rPr>
                            <w:t xml:space="preserve">) atlieka Reglamento </w:t>
                          </w:r>
                          <w:hyperlink r:id="rId153" w:tgtFrame="_blank" w:history="1">
                            <w:r>
                              <w:rPr>
                                <w:bCs/>
                                <w:color w:val="0000FF" w:themeColor="hyperlink"/>
                                <w:sz w:val="22"/>
                                <w:szCs w:val="22"/>
                                <w:u w:val="single"/>
                                <w:lang w:eastAsia="lt-LT"/>
                              </w:rPr>
                              <w:t>(EB) Nr. 1060/2009</w:t>
                            </w:r>
                          </w:hyperlink>
                          <w:r>
                            <w:rPr>
                              <w:bCs/>
                              <w:sz w:val="22"/>
                              <w:szCs w:val="22"/>
                              <w:lang w:eastAsia="lt-LT"/>
                            </w:rPr>
                            <w:t xml:space="preserve">, 2012 m. liepos 4 d. Europos Parlamento ir Tarybos reglamento </w:t>
                          </w:r>
                          <w:hyperlink r:id="rId154" w:tgtFrame="_blank" w:history="1">
                            <w:r>
                              <w:rPr>
                                <w:bCs/>
                                <w:color w:val="0000FF" w:themeColor="hyperlink"/>
                                <w:sz w:val="22"/>
                                <w:szCs w:val="22"/>
                                <w:u w:val="single"/>
                                <w:lang w:eastAsia="lt-LT"/>
                              </w:rPr>
                              <w:t>(ES) Nr. 648/2012</w:t>
                            </w:r>
                          </w:hyperlink>
                          <w:r>
                            <w:rPr>
                              <w:bCs/>
                              <w:sz w:val="22"/>
                              <w:szCs w:val="22"/>
                              <w:lang w:eastAsia="lt-LT"/>
                            </w:rPr>
                            <w:t xml:space="preserve"> dėl ne biržos išvestinių finansinių priemonių, pagrindinių sandorio šalių ir sandorių duomenų saugyklų su visais pakeitimais, Reglamento </w:t>
                          </w:r>
                          <w:hyperlink r:id="rId155" w:tgtFrame="_blank" w:history="1">
                            <w:r>
                              <w:rPr>
                                <w:bCs/>
                                <w:color w:val="0000FF" w:themeColor="hyperlink"/>
                                <w:sz w:val="22"/>
                                <w:szCs w:val="22"/>
                                <w:u w:val="single"/>
                                <w:lang w:eastAsia="lt-LT"/>
                              </w:rPr>
                              <w:t>(ES) Nr. 1286/2014</w:t>
                            </w:r>
                          </w:hyperlink>
                          <w:r>
                            <w:rPr>
                              <w:bCs/>
                              <w:sz w:val="22"/>
                              <w:szCs w:val="22"/>
                              <w:lang w:eastAsia="lt-LT"/>
                            </w:rPr>
                            <w:t xml:space="preserve">, Reglamento </w:t>
                          </w:r>
                          <w:hyperlink r:id="rId156" w:tgtFrame="_blank" w:history="1">
                            <w:r>
                              <w:rPr>
                                <w:bCs/>
                                <w:color w:val="0000FF" w:themeColor="hyperlink"/>
                                <w:sz w:val="22"/>
                                <w:szCs w:val="22"/>
                                <w:u w:val="single"/>
                                <w:lang w:eastAsia="lt-LT"/>
                              </w:rPr>
                              <w:t>(ES) 2017/1131</w:t>
                            </w:r>
                          </w:hyperlink>
                          <w:r>
                            <w:rPr>
                              <w:bCs/>
                              <w:sz w:val="22"/>
                              <w:szCs w:val="22"/>
                              <w:lang w:eastAsia="lt-LT"/>
                            </w:rPr>
                            <w:t xml:space="preserve">, Reglamento </w:t>
                          </w:r>
                          <w:hyperlink r:id="rId157" w:tgtFrame="_blank" w:history="1">
                            <w:r>
                              <w:rPr>
                                <w:bCs/>
                                <w:color w:val="0000FF" w:themeColor="hyperlink"/>
                                <w:sz w:val="22"/>
                                <w:szCs w:val="22"/>
                                <w:u w:val="single"/>
                                <w:lang w:eastAsia="lt-LT"/>
                              </w:rPr>
                              <w:t>(ES) 2017/2394</w:t>
                            </w:r>
                          </w:hyperlink>
                          <w:r>
                            <w:rPr>
                              <w:bCs/>
                              <w:sz w:val="22"/>
                              <w:szCs w:val="22"/>
                              <w:lang w:eastAsia="lt-LT"/>
                            </w:rPr>
                            <w:t xml:space="preserve">, Reglamento </w:t>
                          </w:r>
                          <w:hyperlink r:id="rId158" w:tgtFrame="_blank" w:history="1">
                            <w:r>
                              <w:rPr>
                                <w:bCs/>
                                <w:color w:val="0000FF" w:themeColor="hyperlink"/>
                                <w:sz w:val="22"/>
                                <w:szCs w:val="22"/>
                                <w:u w:val="single"/>
                                <w:lang w:eastAsia="lt-LT"/>
                              </w:rPr>
                              <w:t>(ES) 2019/1238</w:t>
                            </w:r>
                          </w:hyperlink>
                          <w:r>
                            <w:rPr>
                              <w:bCs/>
                              <w:sz w:val="22"/>
                              <w:szCs w:val="22"/>
                              <w:lang w:eastAsia="lt-LT"/>
                            </w:rPr>
                            <w:t xml:space="preserve">, Reglamento </w:t>
                          </w:r>
                          <w:hyperlink r:id="rId159" w:tgtFrame="_blank" w:history="1">
                            <w:r>
                              <w:rPr>
                                <w:bCs/>
                                <w:color w:val="0000FF" w:themeColor="hyperlink"/>
                                <w:sz w:val="22"/>
                                <w:szCs w:val="22"/>
                                <w:u w:val="single"/>
                                <w:lang w:eastAsia="lt-LT"/>
                              </w:rPr>
                              <w:t>(ES) 2024/3005</w:t>
                            </w:r>
                          </w:hyperlink>
                          <w:r>
                            <w:rPr>
                              <w:bCs/>
                              <w:sz w:val="22"/>
                              <w:szCs w:val="22"/>
                              <w:lang w:eastAsia="lt-LT"/>
                            </w:rPr>
                            <w:t xml:space="preserve"> kompetentingai institucijai priskirtas funkcijas, kiek tai susiję su Lietuvos banko kompetencija;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17 p."/>
                        <w:tag w:val="part_fa8636ea9763414da6fdcd96f2b9b2c7"/>
                        <w:lock w:val="sdtLocked"/>
                        <w:richText/>
                      </w:sdtPr>
                      <w:sdtContent>
                        <w:p>
                          <w:pPr>
                            <w:ind w:firstLine="720"/>
                            <w:jc w:val="both"/>
                          </w:pPr>
                          <w:sdt>
                            <w:sdtPr>
                              <w:alias w:val="Numeris"/>
                              <w:tag w:val="nr_fa8636ea9763414da6fdcd96f2b9b2c7"/>
                              <w:lock w:val="sdtLocked"/>
                              <w:richText/>
                            </w:sdtPr>
                            <w:sdtContent>
                              <w:r>
                                <w:rPr>
                                  <w:bCs/>
                                  <w:kern w:val="2"/>
                                  <w:sz w:val="22"/>
                                  <w:szCs w:val="22"/>
                                  <w:lang w:eastAsia="lt-LT"/>
                                </w:rPr>
                                <w:t>17</w:t>
                              </w:r>
                            </w:sdtContent>
                          </w:sdt>
                          <w:r>
                            <w:rPr>
                              <w:bCs/>
                              <w:kern w:val="2"/>
                              <w:sz w:val="22"/>
                              <w:szCs w:val="22"/>
                              <w:lang w:eastAsia="lt-LT"/>
                            </w:rPr>
                            <w:t xml:space="preserve">) atlieka </w:t>
                          </w:r>
                          <w:r>
                            <w:rPr>
                              <w:sz w:val="22"/>
                              <w:szCs w:val="22"/>
                              <w:lang w:eastAsia="lt-LT"/>
                            </w:rPr>
                            <w:t>su turtu susietų žetonų emitentų, elektroninių pinigų žetonų emitentų</w:t>
                          </w:r>
                          <w:r>
                            <w:rPr>
                              <w:bCs/>
                              <w:sz w:val="22"/>
                              <w:szCs w:val="22"/>
                              <w:lang w:eastAsia="lt-LT"/>
                            </w:rPr>
                            <w:t xml:space="preserve">, </w:t>
                          </w:r>
                          <w:r>
                            <w:rPr>
                              <w:bCs/>
                              <w:kern w:val="2"/>
                              <w:sz w:val="22"/>
                              <w:szCs w:val="22"/>
                              <w:lang w:eastAsia="lt-LT"/>
                            </w:rPr>
                            <w:t xml:space="preserve">kriptoturto paslaugų teikėjų, asmenų, viešai siūlančių ar prašančių įtraukti į prekybą kriptoturtą, kuris nėra su turtu susieti žetonai arba elektroninių pinigų žetonai, </w:t>
                          </w:r>
                          <w:r>
                            <w:rPr>
                              <w:kern w:val="2"/>
                              <w:sz w:val="22"/>
                              <w:szCs w:val="22"/>
                              <w:lang w:eastAsia="lt-LT"/>
                            </w:rPr>
                            <w:t>priežiūrą</w:t>
                          </w:r>
                          <w:r>
                            <w:rPr>
                              <w:bCs/>
                              <w:kern w:val="2"/>
                              <w:sz w:val="22"/>
                              <w:szCs w:val="22"/>
                              <w:lang w:eastAsia="lt-LT"/>
                            </w:rPr>
                            <w:t xml:space="preserve"> ir</w:t>
                          </w:r>
                          <w:r>
                            <w:rPr>
                              <w:sz w:val="22"/>
                              <w:szCs w:val="22"/>
                              <w:lang w:eastAsia="lt-LT"/>
                            </w:rPr>
                            <w:t xml:space="preserve"> </w:t>
                          </w:r>
                          <w:r>
                            <w:rPr>
                              <w:bCs/>
                              <w:kern w:val="2"/>
                              <w:sz w:val="22"/>
                              <w:szCs w:val="22"/>
                              <w:lang w:eastAsia="lt-LT"/>
                            </w:rPr>
                            <w:t xml:space="preserve">kitas Kriptoturto rinkų įstatyme ir Reglamente </w:t>
                          </w:r>
                          <w:hyperlink r:id="rId201"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9 p."/>
                        <w:tag w:val="part_257610ec95734fd5b756844f3f0d42e1"/>
                        <w:lock w:val="sdtLocked"/>
                        <w:richText/>
                      </w:sdtPr>
                      <w:sdtContent>
                        <w:p>
                          <w:pPr>
                            <w:suppressAutoHyphens/>
                            <w:ind w:firstLine="720"/>
                            <w:jc w:val="both"/>
                            <w:rPr>
                              <w:sz w:val="22"/>
                              <w:szCs w:val="22"/>
                              <w:lang w:eastAsia="zh-CN" w:bidi="lt-LT"/>
                            </w:rPr>
                          </w:pPr>
                          <w:sdt>
                            <w:sdtPr>
                              <w:alias w:val="Numeris"/>
                              <w:tag w:val="nr_257610ec95734fd5b756844f3f0d42e1"/>
                              <w:lock w:val="sdtLocked"/>
                              <w:richText/>
                            </w:sdtPr>
                            <w:sdtContent>
                              <w:r>
                                <w:rPr>
                                  <w:sz w:val="22"/>
                                  <w:szCs w:val="22"/>
                                  <w:lang w:eastAsia="zh-CN" w:bidi="lt-LT"/>
                                </w:rPr>
                                <w:t>19</w:t>
                              </w:r>
                            </w:sdtContent>
                          </w:sdt>
                          <w:r>
                            <w:rPr>
                              <w:sz w:val="22"/>
                              <w:szCs w:val="22"/>
                              <w:lang w:eastAsia="zh-CN" w:bidi="lt-LT"/>
                            </w:rPr>
                            <w:t xml:space="preserve">) atlieka </w:t>
                          </w:r>
                          <w:r>
                            <w:rPr>
                              <w:sz w:val="22"/>
                              <w:szCs w:val="22"/>
                              <w:lang w:eastAsia="zh-CN"/>
                            </w:rPr>
                            <w:t xml:space="preserve">Reglamento </w:t>
                          </w:r>
                          <w:hyperlink r:id="rId213" w:tgtFrame="_blank" w:history="1">
                            <w:r>
                              <w:rPr>
                                <w:color w:val="0000FF" w:themeColor="hyperlink"/>
                                <w:sz w:val="22"/>
                                <w:szCs w:val="22"/>
                                <w:u w:val="single"/>
                                <w:lang w:eastAsia="zh-CN"/>
                              </w:rPr>
                              <w:t>(ES) 2022/2554</w:t>
                            </w:r>
                          </w:hyperlink>
                          <w:r>
                            <w:rPr>
                              <w:sz w:val="22"/>
                              <w:szCs w:val="22"/>
                              <w:lang w:eastAsia="zh-CN"/>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Content>
                </w:sdt>
                <w:sdt>
                  <w:sdtPr>
                    <w:alias w:val="42 str. 3 d."/>
                    <w:tag w:val="part_97fee8b44222468d8c8da6c5fcc52d3c"/>
                    <w:lock w:val="sdtLocked"/>
                    <w:richText/>
                  </w:sdtPr>
                  <w:sdtContent>
                    <w:p>
                      <w:pPr>
                        <w:tabs>
                          <w:tab w:val="left" w:pos="1134"/>
                        </w:tabs>
                        <w:ind w:firstLine="720"/>
                        <w:jc w:val="both"/>
                        <w:rPr>
                          <w:sz w:val="22"/>
                          <w:szCs w:val="22"/>
                        </w:rPr>
                      </w:pPr>
                      <w:sdt>
                        <w:sdtPr>
                          <w:alias w:val="Numeris"/>
                          <w:tag w:val="nr_97fee8b44222468d8c8da6c5fcc52d3c"/>
                          <w:lock w:val="sdtLocked"/>
                          <w:richText/>
                        </w:sdtPr>
                        <w:sdtContent>
                          <w:r>
                            <w:rPr>
                              <w:sz w:val="22"/>
                              <w:szCs w:val="22"/>
                            </w:rPr>
                            <w:t>3</w:t>
                          </w:r>
                        </w:sdtContent>
                      </w:sdt>
                      <w:r>
                        <w:rPr>
                          <w:sz w:val="22"/>
                          <w:szCs w:val="22"/>
                        </w:rPr>
                        <w:t xml:space="preserve">. Lietuvos bankas finansų rinkos priežiūrą atlieka tiek, kiek pagal Reglamento </w:t>
                      </w:r>
                      <w:hyperlink r:id="rId160" w:tgtFrame="_blank" w:history="1">
                        <w:r>
                          <w:rPr>
                            <w:color w:val="0000FF" w:themeColor="hyperlink"/>
                            <w:sz w:val="22"/>
                            <w:szCs w:val="22"/>
                            <w:u w:val="single"/>
                          </w:rPr>
                          <w:t>(ES) Nr. 1024/2013</w:t>
                        </w:r>
                      </w:hyperlink>
                      <w:r>
                        <w:rPr>
                          <w:sz w:val="22"/>
                          <w:szCs w:val="22"/>
                        </w:rPr>
                        <w:t xml:space="preserve"> nuostatas tai nepavesta Europos Centriniam Bankui ar pagal Reglamento </w:t>
                      </w:r>
                      <w:hyperlink r:id="rId161" w:tgtFrame="_blank" w:history="1">
                        <w:r>
                          <w:rPr>
                            <w:color w:val="0000FF" w:themeColor="hyperlink"/>
                            <w:sz w:val="22"/>
                            <w:szCs w:val="22"/>
                            <w:u w:val="single"/>
                          </w:rPr>
                          <w:t>(ES) 2024/1620</w:t>
                        </w:r>
                      </w:hyperlink>
                      <w:r>
                        <w:rPr>
                          <w:sz w:val="22"/>
                          <w:szCs w:val="22"/>
                        </w:rPr>
                        <w:t xml:space="preserve"> nuostatas priežiūros neatlieka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4" w:history="1">
                        <w:r>
                          <w:rPr>
                            <w:i/>
                            <w:color w:val="0000FF"/>
                            <w:sz w:val="20"/>
                            <w:u w:val="single"/>
                          </w:rPr>
                          <w:t>XI-1666</w:t>
                        </w:r>
                      </w:hyperlink>
                      <w:r>
                        <w:rPr>
                          <w:i/>
                          <w:sz w:val="20"/>
                        </w:rPr>
                        <w:t>, 2011-11-17, Žin., 2011, Nr. 145-6812 (2011-12-01)</w:t>
                      </w:r>
                    </w:p>
                    <w:p>
                      <w:pPr>
                        <w:jc w:val="both"/>
                      </w:pPr>
                      <w:r>
                        <w:rPr>
                          <w:i/>
                          <w:sz w:val="20"/>
                        </w:rPr>
                        <w:t xml:space="preserve">Nr. </w:t>
                      </w:r>
                      <w:hyperlink r:id="rId165" w:history="1">
                        <w:r>
                          <w:rPr>
                            <w:i/>
                            <w:color w:val="0000FF"/>
                            <w:sz w:val="20"/>
                            <w:u w:val="single"/>
                          </w:rPr>
                          <w:t>XII-1035</w:t>
                        </w:r>
                      </w:hyperlink>
                      <w:r>
                        <w:rPr>
                          <w:i/>
                          <w:sz w:val="20"/>
                        </w:rPr>
                        <w:t>, 2014-07-17, paskelbta TAR 2014-08-04, i. k. 2014-10871</w:t>
                      </w:r>
                    </w:p>
                  </w:sdtContent>
                </w:sdt>
                <w:sdt>
                  <w:sdtPr>
                    <w:alias w:val="14 d."/>
                    <w:tag w:val="part_856f5f9e99b04fe889ce958928166848"/>
                    <w:lock w:val="sdtLocked"/>
                    <w:richText/>
                  </w:sdtPr>
                  <w:sdtContent>
                    <w:p>
                      <w:pPr>
                        <w:widowControl w:val="0"/>
                        <w:ind w:firstLine="720"/>
                        <w:jc w:val="both"/>
                      </w:pPr>
                      <w:sdt>
                        <w:sdtPr>
                          <w:alias w:val="Numeris"/>
                          <w:tag w:val="nr_856f5f9e99b04fe889ce958928166848"/>
                          <w:lock w:val="sdtLocked"/>
                          <w:richText/>
                        </w:sdtPr>
                        <w:sdtContent>
                          <w:r>
                            <w:rPr>
                              <w:bCs/>
                              <w:sz w:val="22"/>
                              <w:szCs w:val="22"/>
                              <w:lang w:eastAsia="lt-LT"/>
                            </w:rPr>
                            <w:t>14</w:t>
                          </w:r>
                        </w:sdtContent>
                      </w:sdt>
                      <w:r>
                        <w:rPr>
                          <w:bCs/>
                          <w:sz w:val="22"/>
                          <w:szCs w:val="22"/>
                          <w:lang w:eastAsia="lt-LT"/>
                        </w:rPr>
                        <w:t xml:space="preserve">. Lietuvos bankas užtikrina, kad prižiūrimų finansų rinkų dalyvių pateikta informacija, nurodyta Reglamento </w:t>
                      </w:r>
                      <w:hyperlink r:id="rId227" w:tgtFrame="_blank" w:history="1">
                        <w:r>
                          <w:rPr>
                            <w:bCs/>
                            <w:color w:val="0000FF" w:themeColor="hyperlink"/>
                            <w:sz w:val="22"/>
                            <w:szCs w:val="22"/>
                            <w:u w:val="single"/>
                            <w:lang w:eastAsia="lt-LT"/>
                          </w:rPr>
                          <w:t>(ES) 2019/2088</w:t>
                        </w:r>
                      </w:hyperlink>
                      <w:r>
                        <w:rPr>
                          <w:bCs/>
                          <w:sz w:val="22"/>
                          <w:szCs w:val="22"/>
                          <w:lang w:eastAsia="lt-LT"/>
                        </w:rPr>
                        <w:t xml:space="preserve"> 3 straipsnyje, 4 straipsnio 1, 3, 4 ir 5 dalyse, 5 straipsnio 1 dalyje ir 10 straipsnio 1 dalyje, būtų prieinama Europos bendrame prieigos punkte, kaip jis apibrėžiamas Vertybinių popierių įstatyme.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15 d."/>
                    <w:tag w:val="part_1dfe240d53594596966ea1f2dc04a217"/>
                    <w:lock w:val="sdtLocked"/>
                    <w:richText/>
                  </w:sdtPr>
                  <w:sdtContent>
                    <w:p>
                      <w:pPr>
                        <w:widowControl w:val="0"/>
                        <w:ind w:firstLine="720"/>
                        <w:jc w:val="both"/>
                      </w:pPr>
                      <w:sdt>
                        <w:sdtPr>
                          <w:alias w:val="Numeris"/>
                          <w:tag w:val="nr_1dfe240d53594596966ea1f2dc04a217"/>
                          <w:lock w:val="sdtLocked"/>
                          <w:richText/>
                        </w:sdtPr>
                        <w:sdtContent>
                          <w:r>
                            <w:rPr>
                              <w:sz w:val="22"/>
                              <w:szCs w:val="22"/>
                              <w:lang w:eastAsia="lt-LT"/>
                            </w:rPr>
                            <w:t>15</w:t>
                          </w:r>
                        </w:sdtContent>
                      </w:sdt>
                      <w:r>
                        <w:rPr>
                          <w:sz w:val="22"/>
                          <w:szCs w:val="22"/>
                          <w:lang w:eastAsia="lt-LT"/>
                        </w:rPr>
                        <w:t xml:space="preserve">. Lietuvos bankas užtikrina, kad prižiūrimų finansų rinkų dalyvių, išskyrus nurodytus Vertybinių popierių įstatymo 23 straipsnio 6 dalyje, savanoriškai pateikta informacija, vadovaujantis Reglamento </w:t>
                      </w:r>
                      <w:hyperlink r:id="rId228" w:tgtFrame="_blank" w:history="1">
                        <w:r>
                          <w:rPr>
                            <w:color w:val="0000FF" w:themeColor="hyperlink"/>
                            <w:sz w:val="22"/>
                            <w:szCs w:val="22"/>
                            <w:u w:val="single"/>
                            <w:lang w:eastAsia="lt-LT"/>
                          </w:rPr>
                          <w:t>(ES) 2023/2859</w:t>
                        </w:r>
                      </w:hyperlink>
                      <w:r>
                        <w:rPr>
                          <w:sz w:val="22"/>
                          <w:szCs w:val="22"/>
                          <w:lang w:eastAsia="lt-LT"/>
                        </w:rPr>
                        <w:t xml:space="preserve"> 3 straipsniu, būtų prieinama Europos bendrame prieigos punkte, kaip jis apibrėžiamas Vertybinių popierių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ba09f0292a94c3d967703c32fa52d45"/>
                        <w:lock w:val="sdtLocked"/>
                        <w:richText/>
                      </w:sdtPr>
                      <w:sdtContent>
                        <w:p>
                          <w:pPr>
                            <w:ind w:firstLine="720"/>
                            <w:jc w:val="both"/>
                            <w:rPr>
                              <w:rFonts w:eastAsia="Calibri"/>
                              <w:sz w:val="22"/>
                              <w:szCs w:val="22"/>
                            </w:rPr>
                          </w:pPr>
                          <w:sdt>
                            <w:sdtPr>
                              <w:alias w:val="Numeris"/>
                              <w:tag w:val="nr_9ba09f0292a94c3d967703c32fa52d45"/>
                              <w:lock w:val="sdtLocked"/>
                              <w:richText/>
                            </w:sdtPr>
                            <w:sdtContent>
                              <w:r>
                                <w:rPr>
                                  <w:sz w:val="22"/>
                                  <w:szCs w:val="22"/>
                                </w:rPr>
                                <w:t>6</w:t>
                              </w:r>
                            </w:sdtContent>
                          </w:sdt>
                          <w:r>
                            <w:rPr>
                              <w:sz w:val="22"/>
                              <w:szCs w:val="22"/>
                            </w:rPr>
                            <w:t xml:space="preserve">) laikinai paimti tikrinamų juridinių asmenų dokumentus, daiktus ir informacijos laikmenas, kurie gali būti naudojami kaip pažeidimo įrodymai;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7-1 p."/>
                        <w:tag w:val="part_1abecb35bd3745cdbe60c700a0398619"/>
                        <w:lock w:val="sdtLocked"/>
                        <w:richText/>
                      </w:sdtPr>
                      <w:sdtContent>
                        <w:p>
                          <w:pPr>
                            <w:ind w:firstLine="720"/>
                            <w:jc w:val="both"/>
                            <w:rPr>
                              <w:rFonts w:eastAsia="Calibri"/>
                              <w:sz w:val="22"/>
                              <w:szCs w:val="22"/>
                            </w:rPr>
                          </w:pPr>
                          <w:sdt>
                            <w:sdtPr>
                              <w:alias w:val="Numeris"/>
                              <w:tag w:val="nr_1abecb35bd3745cdbe60c700a0398619"/>
                              <w:lock w:val="sdtLocked"/>
                              <w:richText/>
                            </w:sdtPr>
                            <w:sdtContent>
                              <w:r>
                                <w:rPr>
                                  <w:sz w:val="22"/>
                                  <w:szCs w:val="22"/>
                                </w:rPr>
                                <w:t>7</w:t>
                              </w:r>
                              <w:r>
                                <w:rPr>
                                  <w:sz w:val="22"/>
                                  <w:szCs w:val="22"/>
                                  <w:vertAlign w:val="superscript"/>
                                </w:rPr>
                                <w:t>1</w:t>
                              </w:r>
                            </w:sdtContent>
                          </w:sdt>
                          <w:r>
                            <w:rPr>
                              <w:sz w:val="22"/>
                              <w:szCs w:val="22"/>
                            </w:rPr>
                            <w:t xml:space="preserve">) užantspauduoti dokumentus, juridinio asmens darbuotojų užrašus ir informacijos laikmenas tokiam laikotarpiui ir tokiu mastu, koks būtinas patikrinimui atlikti;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8009cf5168c046098109d45d5f3227bb"/>
                    <w:lock w:val="sdtLocked"/>
                    <w:richText/>
                  </w:sdtPr>
                  <w:sdtContent>
                    <w:p>
                      <w:pPr>
                        <w:ind w:firstLine="720"/>
                        <w:jc w:val="both"/>
                        <w:rPr>
                          <w:sz w:val="22"/>
                          <w:szCs w:val="22"/>
                        </w:rPr>
                      </w:pPr>
                      <w:sdt>
                        <w:sdtPr>
                          <w:alias w:val="Numeris"/>
                          <w:tag w:val="nr_8009cf5168c046098109d45d5f3227bb"/>
                          <w:lock w:val="sdtLocked"/>
                          <w:richText/>
                        </w:sdtPr>
                        <w:sdtContent>
                          <w:r>
                            <w:rPr>
                              <w:sz w:val="22"/>
                              <w:szCs w:val="22"/>
                            </w:rPr>
                            <w:t>7</w:t>
                          </w:r>
                        </w:sdtContent>
                      </w:sdt>
                      <w:r>
                        <w:rPr>
                          <w:sz w:val="22"/>
                          <w:szCs w:val="22"/>
                        </w:rPr>
                        <w:t>. Veiksmai, nurodyti šio straipsnio 5 dalies 4, 5, 6 (tik dėl daiktų ir informacijos laikmenų), 7, 9 punktuose ir 6 dalyje, gali būti atliekami tik turint teismo 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2 p."/>
                        <w:tag w:val="part_03e57e2a85cb43fcb19ca7e1b716b97f"/>
                        <w:lock w:val="sdtLocked"/>
                        <w:richText/>
                      </w:sdtPr>
                      <w:sdtContent>
                        <w:p>
                          <w:pPr>
                            <w:tabs>
                              <w:tab w:val="left" w:pos="2460"/>
                            </w:tabs>
                            <w:ind w:firstLine="720"/>
                            <w:jc w:val="both"/>
                            <w:rPr>
                              <w:sz w:val="22"/>
                              <w:szCs w:val="22"/>
                            </w:rPr>
                          </w:pPr>
                          <w:sdt>
                            <w:sdtPr>
                              <w:alias w:val="Numeris"/>
                              <w:tag w:val="nr_03e57e2a85cb43fcb19ca7e1b716b97f"/>
                              <w:lock w:val="sdtLocked"/>
                              <w:richText/>
                            </w:sdtPr>
                            <w:sdtContent>
                              <w:r>
                                <w:rPr>
                                  <w:sz w:val="22"/>
                                  <w:szCs w:val="22"/>
                                </w:rPr>
                                <w:t>22</w:t>
                              </w:r>
                            </w:sdtContent>
                          </w:sdt>
                          <w:r>
                            <w:rPr>
                              <w:sz w:val="22"/>
                              <w:szCs w:val="22"/>
                            </w:rPr>
                            <w:t xml:space="preserve">) Europos Sąjungos Kovos su pinigų plovimu ir teroristų finansavimu institucijai, jeigu ji reikalinga Reglamente </w:t>
                          </w:r>
                          <w:hyperlink r:id="rId220" w:tgtFrame="_blank" w:history="1">
                            <w:r>
                              <w:rPr>
                                <w:color w:val="0000FF" w:themeColor="hyperlink"/>
                                <w:sz w:val="22"/>
                                <w:szCs w:val="22"/>
                                <w:u w:val="single"/>
                              </w:rPr>
                              <w:t>(ES) 2024/1620</w:t>
                            </w:r>
                          </w:hyperlink>
                          <w:r>
                            <w:rPr>
                              <w:sz w:val="22"/>
                              <w:szCs w:val="22"/>
                            </w:rPr>
                            <w:t xml:space="preserve"> nustatytoms funkcijoms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998302ed411efbdaea558de59136c">
                        <w:r w:rsidRPr="00532B9F">
                          <w:rPr>
                            <w:rFonts w:ascii="Times New Roman" w:eastAsia="MS Mincho" w:hAnsi="Times New Roman"/>
                            <w:sz w:val="20"/>
                            <w:i/>
                            <w:iCs/>
                            <w:color w:val="0000FF" w:themeColor="hyperlink"/>
                            <w:u w:val="single"/>
                          </w:rPr>
                          <w:t>XIV-2717</w:t>
                        </w:r>
                      </w:fldSimple>
                      <w:r>
                        <w:rPr>
                          <w:rFonts w:ascii="Times New Roman" w:eastAsia="MS Mincho" w:hAnsi="Times New Roman"/>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7" w:history="1">
                        <w:r>
                          <w:rPr>
                            <w:i/>
                            <w:color w:val="0000FF"/>
                            <w:sz w:val="20"/>
                            <w:u w:val="single"/>
                          </w:rPr>
                          <w:t>XI-557</w:t>
                        </w:r>
                      </w:hyperlink>
                      <w:r>
                        <w:rPr>
                          <w:i/>
                          <w:sz w:val="20"/>
                        </w:rPr>
                        <w:t>, 2009-12-10, Žin., 2009, Nr. 153-6895 (2009-12-28)</w:t>
                      </w:r>
                    </w:p>
                    <w:p>
                      <w:pPr>
                        <w:jc w:val="both"/>
                      </w:pPr>
                      <w:r>
                        <w:rPr>
                          <w:i/>
                          <w:sz w:val="20"/>
                        </w:rPr>
                        <w:t xml:space="preserve">Nr. </w:t>
                      </w:r>
                      <w:hyperlink r:id="rId168"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sdt>
                  <w:sdtPr>
                    <w:alias w:val="18 d."/>
                    <w:tag w:val="part_ce33051987604cd9b2e5bd4b1e2e448a"/>
                    <w:lock w:val="sdtLocked"/>
                    <w:richText/>
                  </w:sdtPr>
                  <w:sdtContent>
                    <w:p>
                      <w:pPr>
                        <w:widowControl w:val="0"/>
                        <w:ind w:firstLine="720"/>
                        <w:jc w:val="both"/>
                      </w:pPr>
                      <w:sdt>
                        <w:sdtPr>
                          <w:alias w:val="Numeris"/>
                          <w:tag w:val="nr_ce33051987604cd9b2e5bd4b1e2e448a"/>
                          <w:lock w:val="sdtLocked"/>
                          <w:richText/>
                        </w:sdtPr>
                        <w:sdtContent>
                          <w:r>
                            <w:rPr>
                              <w:sz w:val="22"/>
                              <w:szCs w:val="22"/>
                              <w:lang w:eastAsia="lt-LT"/>
                            </w:rPr>
                            <w:t>18</w:t>
                          </w:r>
                        </w:sdtContent>
                      </w:sdt>
                      <w:r>
                        <w:rPr>
                          <w:sz w:val="22"/>
                          <w:szCs w:val="22"/>
                          <w:lang w:eastAsia="lt-LT"/>
                        </w:rPr>
                        <w:t>. Lietuvos bankas užtikrina, kad pagal šio straipsnio 15 dalį paskelbta informacija apie pritaikytas poveikio priemones būtų prieinama Europos bendrame prieigos punkte, kaip jis apibrėžiamas Vertybinių popierių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543108a45d16485188b620e6d3240442"/>
                    <w:lock w:val="sdtLocked"/>
                    <w:richText/>
                  </w:sdtPr>
                  <w:sdtContent>
                    <w:p>
                      <w:pPr>
                        <w:ind w:firstLine="720"/>
                        <w:jc w:val="both"/>
                      </w:pPr>
                      <w:sdt>
                        <w:sdtPr>
                          <w:alias w:val="Numeris"/>
                          <w:tag w:val="nr_543108a45d16485188b620e6d3240442"/>
                          <w:lock w:val="sdtLocked"/>
                          <w:richText/>
                        </w:sdtPr>
                        <w:sdtContent>
                          <w:r>
                            <w:rPr>
                              <w:sz w:val="22"/>
                              <w:szCs w:val="22"/>
                            </w:rPr>
                            <w:t>3</w:t>
                          </w:r>
                        </w:sdtContent>
                      </w:sdt>
                      <w:r>
                        <w:rPr>
                          <w:sz w:val="22"/>
                          <w:szCs w:val="22"/>
                        </w:rPr>
                        <w:t xml:space="preserve">. Lietuvos banko sprendimas dėl baudos skyrimo yra vykdomasis dokumentas, vykdomas </w:t>
                      </w:r>
                      <w:r>
                        <w:rPr>
                          <w:bCs/>
                          <w:sz w:val="22"/>
                          <w:szCs w:val="22"/>
                        </w:rPr>
                        <w:t>Lietuvos Respublikos mokesčių administravimo įstatyme ir</w:t>
                      </w:r>
                      <w:r>
                        <w:rPr>
                          <w:b/>
                          <w:bCs/>
                          <w:sz w:val="22"/>
                          <w:szCs w:val="22"/>
                        </w:rPr>
                        <w:t xml:space="preserve"> </w:t>
                      </w:r>
                      <w:r>
                        <w:rPr>
                          <w:sz w:val="22"/>
                          <w:szCs w:val="22"/>
                        </w:rPr>
                        <w:t xml:space="preserve">Lietuvos Respublikos civilinio proceso </w:t>
                      </w:r>
                      <w:r>
                        <w:rPr>
                          <w:bCs/>
                          <w:sz w:val="22"/>
                          <w:szCs w:val="22"/>
                        </w:rPr>
                        <w:t>kodekse</w:t>
                      </w:r>
                      <w:r>
                        <w:rPr>
                          <w:b/>
                          <w:bCs/>
                          <w:sz w:val="22"/>
                          <w:szCs w:val="22"/>
                        </w:rPr>
                        <w:t xml:space="preserve"> </w:t>
                      </w:r>
                      <w:r>
                        <w:rPr>
                          <w:sz w:val="22"/>
                          <w:szCs w:val="22"/>
                        </w:rPr>
                        <w:t xml:space="preserve">nustatyta tvarka. </w:t>
                      </w:r>
                      <w:r>
                        <w:rPr>
                          <w:bCs/>
                          <w:sz w:val="22"/>
                          <w:szCs w:val="22"/>
                        </w:rPr>
                        <w:t>Lietuvos banko sprendimas dėl kitų išieškotinų sumų yra vykdomasis dokumentas, vykdomas Civilinio proceso kodekse nustatyta tvarka.</w:t>
                      </w:r>
                      <w:r>
                        <w:rPr>
                          <w:sz w:val="22"/>
                          <w:szCs w:val="22"/>
                        </w:rPr>
                        <w:t xml:space="preserve"> Lietuvos banko sprendimas </w:t>
                      </w:r>
                      <w:r>
                        <w:rPr>
                          <w:bCs/>
                          <w:sz w:val="22"/>
                          <w:szCs w:val="22"/>
                        </w:rPr>
                        <w:t xml:space="preserve">dėl kitų išieškotinų sumų </w:t>
                      </w:r>
                      <w:r>
                        <w:rPr>
                          <w:sz w:val="22"/>
                          <w:szCs w:val="22"/>
                        </w:rPr>
                        <w:t>gali būti pateikiamas vykdyti ne vėliau kaip per 3 metus nuo jo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843e0502f11f180c9c618618421ed">
                        <w:r w:rsidRPr="00532B9F">
                          <w:rPr>
                            <w:rFonts w:ascii="Times New Roman" w:eastAsia="MS Mincho" w:hAnsi="Times New Roman"/>
                            <w:sz w:val="20"/>
                            <w:i/>
                            <w:iCs/>
                            <w:color w:val="0000FF" w:themeColor="hyperlink"/>
                            <w:u w:val="single"/>
                          </w:rPr>
                          <w:t>XV-909</w:t>
                        </w:r>
                      </w:fldSimple>
                      <w:r>
                        <w:rPr>
                          <w:rFonts w:ascii="Times New Roman" w:eastAsia="MS Mincho" w:hAnsi="Times New Roman"/>
                          <w:sz w:val="20"/>
                          <w:i/>
                          <w:iCs/>
                        </w:rPr>
                        <w:t>,
2026-05-12,
paskelbta TAR 2026-05-15, i. k. 2026-08240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87"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88"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89"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90"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91"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92"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93"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94" w:tgtFrame="_blank" w:history="1">
                        <w:r>
                          <w:rPr>
                            <w:color w:val="0000FF" w:themeColor="hyperlink"/>
                            <w:sz w:val="22"/>
                            <w:szCs w:val="22"/>
                            <w:u w:val="single"/>
                            <w:lang w:eastAsia="lt-LT"/>
                          </w:rPr>
                          <w:t>(ES) Nr. 1093/2010</w:t>
                        </w:r>
                      </w:hyperlink>
                      <w:r>
                        <w:rPr>
                          <w:sz w:val="22"/>
                          <w:szCs w:val="22"/>
                          <w:lang w:eastAsia="lt-LT"/>
                        </w:rPr>
                        <w:t xml:space="preserve">, </w:t>
                      </w:r>
                      <w:hyperlink r:id="rId195" w:tgtFrame="_blank" w:history="1">
                        <w:r>
                          <w:rPr>
                            <w:color w:val="0000FF" w:themeColor="hyperlink"/>
                            <w:sz w:val="22"/>
                            <w:szCs w:val="22"/>
                            <w:u w:val="single"/>
                            <w:lang w:eastAsia="lt-LT"/>
                          </w:rPr>
                          <w:t>(ES) Nr. 575/2013</w:t>
                        </w:r>
                      </w:hyperlink>
                      <w:r>
                        <w:rPr>
                          <w:sz w:val="22"/>
                          <w:szCs w:val="22"/>
                          <w:lang w:eastAsia="lt-LT"/>
                        </w:rPr>
                        <w:t xml:space="preserve">, </w:t>
                      </w:r>
                      <w:hyperlink r:id="rId196" w:tgtFrame="_blank" w:history="1">
                        <w:r>
                          <w:rPr>
                            <w:color w:val="0000FF" w:themeColor="hyperlink"/>
                            <w:sz w:val="22"/>
                            <w:szCs w:val="22"/>
                            <w:u w:val="single"/>
                            <w:lang w:eastAsia="lt-LT"/>
                          </w:rPr>
                          <w:t>(ES) Nr. 600/2014</w:t>
                        </w:r>
                      </w:hyperlink>
                      <w:r>
                        <w:rPr>
                          <w:sz w:val="22"/>
                          <w:szCs w:val="22"/>
                          <w:lang w:eastAsia="lt-LT"/>
                        </w:rPr>
                        <w:t xml:space="preserve"> ir </w:t>
                      </w:r>
                      <w:hyperlink r:id="rId197"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98"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5a1dd90099204943a281b77b35b407ff"/>
                <w:lock w:val="sdtLocked"/>
                <w:richText/>
              </w:sdtPr>
              <w:sdtContent>
                <w:p>
                  <w:pPr>
                    <w:tabs>
                      <w:tab w:val="left" w:pos="1134"/>
                    </w:tabs>
                    <w:ind w:left="2410" w:hanging="1690"/>
                    <w:jc w:val="both"/>
                    <w:rPr>
                      <w:sz w:val="22"/>
                      <w:szCs w:val="22"/>
                    </w:rPr>
                  </w:pPr>
                  <w:sdt>
                    <w:sdtPr>
                      <w:alias w:val="Numeris"/>
                      <w:tag w:val="nr_5a1dd90099204943a281b77b35b407ff"/>
                      <w:lock w:val="sdtLocked"/>
                      <w:richText/>
                    </w:sdtPr>
                    <w:sdtContent>
                      <w:r>
                        <w:rPr>
                          <w:b/>
                          <w:bCs/>
                          <w:sz w:val="22"/>
                          <w:szCs w:val="22"/>
                        </w:rPr>
                        <w:t>46</w:t>
                      </w:r>
                    </w:sdtContent>
                  </w:sdt>
                  <w:r>
                    <w:rPr>
                      <w:b/>
                      <w:bCs/>
                      <w:sz w:val="22"/>
                      <w:szCs w:val="22"/>
                    </w:rPr>
                    <w:t xml:space="preserve"> straipsnis. </w:t>
                  </w:r>
                  <w:sdt>
                    <w:sdtPr>
                      <w:alias w:val="Pavadinimas"/>
                      <w:tag w:val="title_5a1dd90099204943a281b77b35b407ff"/>
                      <w:lock w:val="sdtLocked"/>
                      <w:richText/>
                    </w:sdtPr>
                    <w:sdtContent>
                      <w:r>
                        <w:rPr>
                          <w:b/>
                          <w:bCs/>
                          <w:sz w:val="22"/>
                          <w:szCs w:val="22"/>
                        </w:rPr>
                        <w:t>Bendradarbiavimas su kitų valstybių finansų rinkos priežiūros institucijomis</w:t>
                      </w:r>
                    </w:sdtContent>
                  </w:sdt>
                </w:p>
                <w:sdt>
                  <w:sdtPr>
                    <w:alias w:val="46 str. 1 d."/>
                    <w:tag w:val="part_b2c07b92d08f4b10986f38eaf252ee64"/>
                    <w:lock w:val="sdtLocked"/>
                    <w:richText/>
                  </w:sdtPr>
                  <w:sdtContent>
                    <w:p>
                      <w:pPr>
                        <w:tabs>
                          <w:tab w:val="left" w:pos="1134"/>
                        </w:tabs>
                        <w:ind w:firstLine="720"/>
                        <w:jc w:val="both"/>
                        <w:rPr>
                          <w:sz w:val="22"/>
                          <w:szCs w:val="22"/>
                        </w:rPr>
                      </w:pPr>
                      <w:r>
                        <w:rPr>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Europos Sąjungos Kovos su pinigų plovimu ir teroristų finansavimu institucija ir kitomis Lietuvos Respublikos ir užsienio valstybių institucijomis dėl bendradarbiavimo finansų rinkos priežiūros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98"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a6b03480db0c41d69e609cbec8def78d"/>
                        <w:lock w:val="sdtLocked"/>
                        <w:richText/>
                      </w:sdtPr>
                      <w:sdtContent>
                        <w:p>
                          <w:pPr>
                            <w:ind w:firstLine="720"/>
                            <w:jc w:val="both"/>
                          </w:pPr>
                          <w:sdt>
                            <w:sdtPr>
                              <w:alias w:val="Numeris"/>
                              <w:tag w:val="nr_a6b03480db0c41d69e609cbec8def78d"/>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
                      <w:sdtPr>
                        <w:alias w:val="6 p."/>
                        <w:tag w:val="part_dabb50b397064d5a8d88f0bbf48e2432"/>
                        <w:lock w:val="sdtLocked"/>
                        <w:richText/>
                      </w:sdtPr>
                      <w:sdtContent>
                        <w:p>
                          <w:pPr>
                            <w:ind w:firstLine="720"/>
                            <w:jc w:val="both"/>
                            <w:rPr>
                              <w:bCs/>
                              <w:sz w:val="22"/>
                              <w:szCs w:val="22"/>
                              <w:lang w:eastAsia="lt-LT"/>
                            </w:rPr>
                          </w:pPr>
                          <w:sdt>
                            <w:sdtPr>
                              <w:alias w:val="Numeris"/>
                              <w:tag w:val="nr_dabb50b397064d5a8d88f0bbf48e2432"/>
                              <w:lock w:val="sdtLocked"/>
                              <w:richText/>
                            </w:sdtPr>
                            <w:sdtContent>
                              <w:r>
                                <w:rPr>
                                  <w:bCs/>
                                  <w:sz w:val="22"/>
                                  <w:szCs w:val="22"/>
                                  <w:lang w:eastAsia="lt-LT"/>
                                </w:rPr>
                                <w:t>6</w:t>
                              </w:r>
                            </w:sdtContent>
                          </w:sdt>
                          <w:r>
                            <w:rPr>
                              <w:bCs/>
                              <w:sz w:val="22"/>
                              <w:szCs w:val="22"/>
                              <w:lang w:eastAsia="lt-LT"/>
                            </w:rPr>
                            <w:t xml:space="preserve">) Reglamente </w:t>
                          </w:r>
                          <w:hyperlink r:id="rId211" w:tgtFrame="_blank" w:history="1">
                            <w:r>
                              <w:rPr>
                                <w:bCs/>
                                <w:color w:val="0000FF" w:themeColor="hyperlink"/>
                                <w:sz w:val="22"/>
                                <w:szCs w:val="22"/>
                                <w:u w:val="single"/>
                                <w:lang w:eastAsia="lt-LT"/>
                              </w:rPr>
                              <w:t>(ES) 2023/1114</w:t>
                            </w:r>
                          </w:hyperlink>
                          <w:r>
                            <w:rPr>
                              <w:bCs/>
                              <w:sz w:val="22"/>
                              <w:szCs w:val="22"/>
                              <w:lang w:eastAsia="lt-LT"/>
                            </w:rPr>
                            <w:t xml:space="preserve"> nurodyto kriptoturto, kuris nėra su turtu susieti žetonai arba elektroninių pinigų žetonai, viešo siūlymo ar įtraukimo į prekybą, kaip tai nurodyta Reglamento </w:t>
                          </w:r>
                          <w:hyperlink r:id="rId212" w:tgtFrame="_blank" w:history="1">
                            <w:r>
                              <w:rPr>
                                <w:bCs/>
                                <w:color w:val="0000FF" w:themeColor="hyperlink"/>
                                <w:sz w:val="22"/>
                                <w:szCs w:val="22"/>
                                <w:u w:val="single"/>
                                <w:lang w:eastAsia="lt-LT"/>
                              </w:rPr>
                              <w:t>(ES) 2023/1114</w:t>
                            </w:r>
                          </w:hyperlink>
                          <w:r>
                            <w:rPr>
                              <w:bCs/>
                              <w:sz w:val="22"/>
                              <w:szCs w:val="22"/>
                              <w:lang w:eastAsia="lt-LT"/>
                            </w:rPr>
                            <w:t xml:space="preserve"> 4 ir 5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cc92eb3806084274ac19a0edddae0280"/>
                <w:lock w:val="sdtLocked"/>
                <w:richText/>
              </w:sdtPr>
              <w:sdtContent>
                <w:p>
                  <w:pPr>
                    <w:widowControl w:val="0"/>
                    <w:ind w:left="2478" w:hanging="1758"/>
                    <w:jc w:val="both"/>
                    <w:rPr>
                      <w:bCs/>
                      <w:sz w:val="22"/>
                      <w:szCs w:val="22"/>
                      <w:lang w:eastAsia="lt-LT"/>
                    </w:rPr>
                  </w:pPr>
                  <w:sdt>
                    <w:sdtPr>
                      <w:alias w:val="Numeris"/>
                      <w:tag w:val="nr_cc92eb3806084274ac19a0edddae0280"/>
                      <w:lock w:val="sdtLocked"/>
                      <w:richText/>
                    </w:sdtPr>
                    <w:sdtContent>
                      <w:r>
                        <w:rPr>
                          <w:b/>
                          <w:sz w:val="22"/>
                          <w:szCs w:val="22"/>
                          <w:lang w:eastAsia="lt-LT"/>
                        </w:rPr>
                        <w:t>47</w:t>
                      </w:r>
                      <w:r>
                        <w:rPr>
                          <w:b/>
                          <w:sz w:val="22"/>
                          <w:szCs w:val="22"/>
                          <w:vertAlign w:val="superscript"/>
                          <w:lang w:eastAsia="lt-LT"/>
                        </w:rPr>
                        <w:t>4</w:t>
                      </w:r>
                    </w:sdtContent>
                  </w:sdt>
                  <w:r>
                    <w:rPr>
                      <w:b/>
                      <w:sz w:val="22"/>
                      <w:szCs w:val="22"/>
                      <w:lang w:eastAsia="lt-LT"/>
                    </w:rPr>
                    <w:t xml:space="preserve"> straipsnis.</w:t>
                  </w:r>
                  <w:r>
                    <w:rPr>
                      <w:bCs/>
                      <w:sz w:val="22"/>
                      <w:szCs w:val="22"/>
                      <w:lang w:eastAsia="lt-LT"/>
                    </w:rPr>
                    <w:t xml:space="preserve"> </w:t>
                  </w:r>
                  <w:sdt>
                    <w:sdtPr>
                      <w:alias w:val="Pavadinimas"/>
                      <w:tag w:val="title_cc92eb3806084274ac19a0edddae0280"/>
                      <w:lock w:val="sdtLocked"/>
                      <w:richText/>
                    </w:sdtPr>
                    <w:sdtContent>
                      <w:r>
                        <w:rPr>
                          <w:b/>
                          <w:sz w:val="22"/>
                          <w:szCs w:val="22"/>
                          <w:lang w:eastAsia="lt-LT"/>
                        </w:rPr>
                        <w:t>Bendradarbiavimas su kitomis institucijomis makroprudencinės politikos srityje</w:t>
                      </w:r>
                      <w:r>
                        <w:rPr>
                          <w:bCs/>
                          <w:sz w:val="22"/>
                          <w:szCs w:val="22"/>
                          <w:lang w:eastAsia="lt-LT"/>
                        </w:rPr>
                        <w:t xml:space="preserve"> </w:t>
                      </w:r>
                    </w:sdtContent>
                  </w:sdt>
                </w:p>
                <w:sdt>
                  <w:sdtPr>
                    <w:alias w:val="47-4 str. 1 d."/>
                    <w:tag w:val="part_63df44b774fa49fcb1073a4a95187c8f"/>
                    <w:lock w:val="sdtLocked"/>
                    <w:richText/>
                  </w:sdtPr>
                  <w:sdtContent>
                    <w:p>
                      <w:pPr>
                        <w:widowControl w:val="0"/>
                        <w:ind w:firstLine="720"/>
                        <w:jc w:val="both"/>
                        <w:rPr>
                          <w:bCs/>
                          <w:sz w:val="22"/>
                          <w:szCs w:val="22"/>
                          <w:lang w:eastAsia="lt-LT"/>
                        </w:rPr>
                      </w:pPr>
                      <w:sdt>
                        <w:sdtPr>
                          <w:alias w:val="Numeris"/>
                          <w:tag w:val="nr_63df44b774fa49fcb1073a4a95187c8f"/>
                          <w:lock w:val="sdtLocked"/>
                          <w:richText/>
                        </w:sdtPr>
                        <w:sdtContent>
                          <w:r>
                            <w:rPr>
                              <w:bCs/>
                              <w:sz w:val="22"/>
                              <w:szCs w:val="22"/>
                              <w:lang w:eastAsia="lt-LT"/>
                            </w:rPr>
                            <w:t>1</w:t>
                          </w:r>
                        </w:sdtContent>
                      </w:sdt>
                      <w:r>
                        <w:rPr>
                          <w:bCs/>
                          <w:sz w:val="22"/>
                          <w:szCs w:val="22"/>
                          <w:lang w:eastAsia="lt-LT"/>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fdb9ce3fc25749e390822d2d1a0fb385"/>
                    <w:lock w:val="sdtLocked"/>
                    <w:richText/>
                  </w:sdtPr>
                  <w:sdtContent>
                    <w:p>
                      <w:pPr>
                        <w:widowControl w:val="0"/>
                        <w:ind w:firstLine="720"/>
                        <w:jc w:val="both"/>
                        <w:rPr>
                          <w:bCs/>
                          <w:sz w:val="22"/>
                          <w:szCs w:val="22"/>
                          <w:lang w:eastAsia="lt-LT"/>
                        </w:rPr>
                      </w:pPr>
                      <w:sdt>
                        <w:sdtPr>
                          <w:alias w:val="Numeris"/>
                          <w:tag w:val="nr_fdb9ce3fc25749e390822d2d1a0fb385"/>
                          <w:lock w:val="sdtLocked"/>
                          <w:richText/>
                        </w:sdtPr>
                        <w:sdtContent>
                          <w:r>
                            <w:rPr>
                              <w:bCs/>
                              <w:sz w:val="22"/>
                              <w:szCs w:val="22"/>
                              <w:lang w:eastAsia="lt-LT"/>
                            </w:rPr>
                            <w:t>2</w:t>
                          </w:r>
                        </w:sdtContent>
                      </w:sdt>
                      <w:r>
                        <w:rPr>
                          <w:bCs/>
                          <w:sz w:val="22"/>
                          <w:szCs w:val="22"/>
                          <w:lang w:eastAsia="lt-LT"/>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Europos Sąjungos teisės aktuose nustatyta tvarka informuoja Europos sisteminės rizikos valdybą apie savo sprendimus taikyti makroprudencinės politikos priemones ir kitus veiksmus, kurių buvo imtasi sprendžiant klausimus dėl sisteminės rizikos valstybės mastu.</w:t>
                      </w:r>
                    </w:p>
                  </w:sdtContent>
                </w:sdt>
                <w:sdt>
                  <w:sdtPr>
                    <w:alias w:val="47-4 str. 3 d."/>
                    <w:tag w:val="part_da9110bd34914cd58c043518a544985e"/>
                    <w:lock w:val="sdtLocked"/>
                    <w:richText/>
                  </w:sdtPr>
                  <w:sdtContent>
                    <w:p>
                      <w:pPr>
                        <w:widowControl w:val="0"/>
                        <w:ind w:firstLine="720"/>
                        <w:jc w:val="both"/>
                        <w:rPr>
                          <w:sz w:val="22"/>
                          <w:szCs w:val="22"/>
                        </w:rPr>
                      </w:pPr>
                      <w:sdt>
                        <w:sdtPr>
                          <w:alias w:val="Numeris"/>
                          <w:tag w:val="nr_da9110bd34914cd58c043518a544985e"/>
                          <w:lock w:val="sdtLocked"/>
                          <w:richText/>
                        </w:sdtPr>
                        <w:sdtContent>
                          <w:r>
                            <w:rPr>
                              <w:bCs/>
                              <w:sz w:val="22"/>
                              <w:szCs w:val="22"/>
                              <w:lang w:eastAsia="lt-LT"/>
                            </w:rPr>
                            <w:t>3</w:t>
                          </w:r>
                        </w:sdtContent>
                      </w:sdt>
                      <w:r>
                        <w:rPr>
                          <w:bCs/>
                          <w:sz w:val="22"/>
                          <w:szCs w:val="22"/>
                          <w:lang w:eastAsia="lt-LT"/>
                        </w:rPr>
                        <w:t>. Lietuvos bankas užtikrina, kad informacija, susijusi su pasaulinės sisteminės svarbos įstaigomis ir kitomis sisteminės svarbos įstaigomis, būtų prieinama Europos bendrame prieigos punkte, kaip jis apibrėžiamas Vertybinių popierių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982651c51eff4a809587f914878ce0bb"/>
                <w:lock w:val="sdtLocked"/>
                <w:richText/>
              </w:sdtPr>
              <w:sdtContent>
                <w:p>
                  <w:pPr>
                    <w:ind w:firstLine="720"/>
                    <w:jc w:val="both"/>
                    <w:rPr>
                      <w:sz w:val="22"/>
                      <w:szCs w:val="22"/>
                    </w:rPr>
                  </w:pPr>
                  <w:sdt>
                    <w:sdtPr>
                      <w:alias w:val="Numeris"/>
                      <w:tag w:val="nr_982651c51eff4a809587f914878ce0bb"/>
                      <w:lock w:val="sdtLocked"/>
                      <w:richText/>
                    </w:sdtPr>
                    <w:sdtContent>
                      <w:r>
                        <w:rPr>
                          <w:b/>
                          <w:sz w:val="22"/>
                          <w:szCs w:val="22"/>
                        </w:rPr>
                        <w:t>49</w:t>
                      </w:r>
                    </w:sdtContent>
                  </w:sdt>
                  <w:r>
                    <w:rPr>
                      <w:b/>
                      <w:sz w:val="22"/>
                      <w:szCs w:val="22"/>
                    </w:rPr>
                    <w:t xml:space="preserve"> straipsnis. </w:t>
                  </w:r>
                  <w:sdt>
                    <w:sdtPr>
                      <w:alias w:val="Pavadinimas"/>
                      <w:tag w:val="title_982651c51eff4a809587f914878ce0bb"/>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1"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2"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13e2761d99764b729211bc11aa2c8f9b"/>
                <w:lock w:val="sdtLocked"/>
                <w:richText/>
              </w:sdtPr>
              <w:sdtContent>
                <w:p>
                  <w:pPr>
                    <w:ind w:firstLine="720"/>
                    <w:jc w:val="both"/>
                    <w:rPr>
                      <w:bCs/>
                      <w:sz w:val="22"/>
                      <w:szCs w:val="22"/>
                    </w:rPr>
                  </w:pPr>
                  <w:sdt>
                    <w:sdtPr>
                      <w:alias w:val="Numeris"/>
                      <w:tag w:val="nr_13e2761d99764b729211bc11aa2c8f9b"/>
                      <w:lock w:val="sdtLocked"/>
                      <w:richText/>
                    </w:sdtPr>
                    <w:sdtContent>
                      <w:r>
                        <w:rPr>
                          <w:b/>
                          <w:bCs/>
                          <w:sz w:val="22"/>
                          <w:szCs w:val="22"/>
                        </w:rPr>
                        <w:t>51</w:t>
                      </w:r>
                    </w:sdtContent>
                  </w:sdt>
                  <w:r>
                    <w:rPr>
                      <w:b/>
                      <w:bCs/>
                      <w:sz w:val="22"/>
                      <w:szCs w:val="22"/>
                    </w:rPr>
                    <w:t xml:space="preserve"> straipsnis. </w:t>
                  </w:r>
                  <w:sdt>
                    <w:sdtPr>
                      <w:alias w:val="Pavadinimas"/>
                      <w:tag w:val="title_13e2761d99764b729211bc11aa2c8f9b"/>
                      <w:lock w:val="sdtLocked"/>
                      <w:richText/>
                    </w:sdtPr>
                    <w:sdtContent>
                      <w:r>
                        <w:rPr>
                          <w:b/>
                          <w:bCs/>
                          <w:sz w:val="22"/>
                          <w:szCs w:val="22"/>
                        </w:rPr>
                        <w:t>Lietuvos banko metinė ataskaita</w:t>
                      </w:r>
                    </w:sdtContent>
                  </w:sdt>
                </w:p>
                <w:sdt>
                  <w:sdtPr>
                    <w:alias w:val="51 str. 1 d."/>
                    <w:tag w:val="part_aea509ee92e840bd817c246bb2b48c77"/>
                    <w:lock w:val="sdtLocked"/>
                    <w:richText/>
                  </w:sdtPr>
                  <w:sdtContent>
                    <w:p>
                      <w:pPr>
                        <w:ind w:firstLine="720"/>
                        <w:jc w:val="both"/>
                        <w:rPr>
                          <w:bCs/>
                          <w:sz w:val="22"/>
                          <w:szCs w:val="22"/>
                        </w:rPr>
                      </w:pPr>
                      <w:r>
                        <w:rPr>
                          <w:sz w:val="22"/>
                          <w:szCs w:val="22"/>
                        </w:rPr>
                        <w:t>Lietuvos bankas skelbia ir leidžia atskiru leidiniu metinę ataskaitą, kurioje pateikia informaciją apie pagrindinius pinigų politikos uždavinius ir jų vykdymą, pinigų politikos operacijas, tikslus ir veiklą vykdant finansų rinkos priežiūrą, makroprudencinę politiką ir kitas įstatymų numatytas funkcijas bei apie šalies makroekonominę padėtį – pokyčių šalies ekonomikoje ir finansų rinkose analizę, taip pat apie banko finansinę būklę ir veiklos rezultatus.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800991e50ef74df5a847e9c7dc7233b6"/>
                <w:lock w:val="sdtLocked"/>
                <w:richText/>
              </w:sdtPr>
              <w:sdtContent>
                <w:sdt>
                  <w:sdtPr>
                    <w:alias w:val="Pavadinimas"/>
                    <w:tag w:val="title_800991e50ef74df5a847e9c7dc7233b6"/>
                    <w:lock w:val="sdtLocked"/>
                    <w:richText/>
                  </w:sdtPr>
                  <w:sdtContent>
                    <w:p>
                      <w:pPr>
                        <w:ind w:left="2520" w:hanging="1800"/>
                        <w:jc w:val="both"/>
                        <w:rPr>
                          <w:b/>
                          <w:sz w:val="22"/>
                        </w:rPr>
                      </w:pPr>
                      <w:sdt>
                        <w:sdtPr>
                          <w:alias w:val="Numeris"/>
                          <w:tag w:val="nr_800991e50ef74df5a847e9c7dc7233b6"/>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08"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2"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2"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12df55e3e94842e0b489a9a979b8f175"/>
        <w:lock w:val="sdtLocked"/>
        <w:richText/>
      </w:sdtPr>
      <w:sdtContent>
        <w:p>
          <w:pPr>
            <w:ind w:firstLine="6480"/>
            <w:jc w:val="both"/>
            <w:sectPr>
              <w:headerReference w:type="even" r:id="rId116"/>
              <w:headerReference w:type="default" r:id="rId117"/>
              <w:footerReference w:type="even" r:id="rId118"/>
              <w:footerReference w:type="default" r:id="rId119"/>
              <w:headerReference w:type="first" r:id="rId120"/>
              <w:footerReference w:type="first" r:id="rId121"/>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12df55e3e94842e0b489a9a979b8f175"/>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12df55e3e94842e0b489a9a979b8f175"/>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Asmenys, viešai siūlantys ir prašantys įtraukti į prekybą kriptoturtą, kuris nėra su turtu susieti žetonai arba elektroninių pinigų žetonai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bCs/>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Kriptoturto paslaugų teikėjai, gavę kriptoturto paslaugų teikėjo licenciją pagal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iCs/>
                    <w:sz w:val="22"/>
                    <w:szCs w:val="22"/>
                    <w:lang w:eastAsia="lt-LT"/>
                  </w:rPr>
                  <w:t>0,7 procento (minimali įmokos suma 3 000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d481935ae21e4dc486b99a15e4b8fdb7"/>
            <w:lock w:val="sdtLocked"/>
            <w:richText/>
          </w:sdtPr>
          <w:sdtContent>
            <w:p>
              <w:pPr>
                <w:widowControl w:val="0"/>
                <w:ind w:firstLine="720"/>
                <w:jc w:val="both"/>
                <w:rPr>
                  <w:rFonts w:eastAsia="Calibri"/>
                  <w:sz w:val="22"/>
                  <w:szCs w:val="22"/>
                </w:rPr>
              </w:pPr>
              <w:sdt>
                <w:sdtPr>
                  <w:alias w:val="Numeris"/>
                  <w:tag w:val="nr_d481935ae21e4dc486b99a15e4b8fdb7"/>
                  <w:lock w:val="sdtLocked"/>
                  <w:richText/>
                </w:sdtPr>
                <w:sdtContent>
                  <w:r>
                    <w:rPr>
                      <w:kern w:val="2"/>
                      <w:sz w:val="22"/>
                      <w:szCs w:val="22"/>
                    </w:rPr>
                    <w:t>8</w:t>
                  </w:r>
                </w:sdtContent>
              </w:sdt>
              <w:r>
                <w:rPr>
                  <w:kern w:val="2"/>
                  <w:sz w:val="22"/>
                  <w:szCs w:val="22"/>
                </w:rPr>
                <w:t xml:space="preserve">. </w:t>
              </w:r>
              <w:r>
                <w:rPr>
                  <w:rFonts w:eastAsia="Calibri"/>
                  <w:kern w:val="2"/>
                  <w:sz w:val="22"/>
                  <w:szCs w:val="22"/>
                </w:rPr>
                <w:t xml:space="preserve">2009 m. rugsėjo 16 d. Europos Parlamento ir Tarybos reglamentas </w:t>
              </w:r>
              <w:hyperlink r:id="rId170" w:tgtFrame="_blank" w:history="1">
                <w:r>
                  <w:rPr>
                    <w:rFonts w:eastAsia="Calibri"/>
                    <w:color w:val="0000FF" w:themeColor="hyperlink"/>
                    <w:kern w:val="2"/>
                    <w:sz w:val="22"/>
                    <w:szCs w:val="22"/>
                    <w:u w:val="single"/>
                  </w:rPr>
                  <w:t>(EB) Nr. 1060/2009</w:t>
                </w:r>
              </w:hyperlink>
              <w:r>
                <w:rPr>
                  <w:rFonts w:eastAsia="Calibri"/>
                  <w:kern w:val="2"/>
                  <w:sz w:val="22"/>
                  <w:szCs w:val="22"/>
                </w:rPr>
                <w:t xml:space="preserve"> dėl kredito reitingų agentūrų su paskutiniais pakeitimais, padarytais 2023 m. gruodžio 13 d. Europos Parlamento ir Tarybos direktyva </w:t>
              </w:r>
              <w:hyperlink r:id="rId171" w:tgtFrame="_blank" w:history="1">
                <w:r>
                  <w:rPr>
                    <w:rFonts w:eastAsia="Calibri"/>
                    <w:color w:val="0000FF" w:themeColor="hyperlink"/>
                    <w:kern w:val="2"/>
                    <w:sz w:val="22"/>
                    <w:szCs w:val="22"/>
                    <w:u w:val="single"/>
                  </w:rPr>
                  <w:t>(ES) 2023/2869</w:t>
                </w:r>
              </w:hyperlink>
              <w:r>
                <w:rPr>
                  <w:rFonts w:eastAsia="Calibri"/>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6b969a77249c4295bd9fd0b5a78dd150"/>
            <w:lock w:val="sdtLocked"/>
            <w:richText/>
          </w:sdtPr>
          <w:sdtContent>
            <w:p>
              <w:pPr>
                <w:ind w:firstLine="720"/>
                <w:jc w:val="both"/>
                <w:rPr>
                  <w:sz w:val="22"/>
                  <w:szCs w:val="22"/>
                  <w:lang w:eastAsia="lt-LT"/>
                </w:rPr>
              </w:pPr>
              <w:sdt>
                <w:sdtPr>
                  <w:alias w:val="Numeris"/>
                  <w:tag w:val="nr_6b969a77249c4295bd9fd0b5a78dd150"/>
                  <w:lock w:val="sdtLocked"/>
                  <w:richText/>
                </w:sdtPr>
                <w:sdtContent>
                  <w:r>
                    <w:rPr>
                      <w:sz w:val="22"/>
                      <w:szCs w:val="22"/>
                      <w:lang w:eastAsia="lt-LT"/>
                    </w:rPr>
                    <w:t>12</w:t>
                  </w:r>
                </w:sdtContent>
              </w:sdt>
              <w:r>
                <w:rPr>
                  <w:sz w:val="22"/>
                  <w:szCs w:val="22"/>
                  <w:lang w:eastAsia="lt-LT"/>
                </w:rPr>
                <w:t xml:space="preserve">. 2013 m. birželio 26 d. Europos Parlamento ir Tarybos direktyva </w:t>
              </w:r>
              <w:hyperlink r:id="rId172" w:tgtFrame="_blank" w:history="1">
                <w:r>
                  <w:rPr>
                    <w:color w:val="0000FF" w:themeColor="hyperlink"/>
                    <w:sz w:val="22"/>
                    <w:szCs w:val="22"/>
                    <w:u w:val="single"/>
                    <w:lang w:eastAsia="lt-LT"/>
                  </w:rPr>
                  <w:t>2013/36/ES</w:t>
                </w:r>
              </w:hyperlink>
              <w:r>
                <w:rPr>
                  <w:sz w:val="22"/>
                  <w:szCs w:val="22"/>
                  <w:lang w:eastAsia="lt-LT"/>
                </w:rPr>
                <w:t xml:space="preserve"> dėl galimybės verstis kredito įstaigų veikla ir dėl riziką ribojančios kredito įstaigų priežiūros, kuria iš dalies keičiama Direktyva </w:t>
              </w:r>
              <w:hyperlink r:id="rId173" w:tgtFrame="_blank" w:history="1">
                <w:r>
                  <w:rPr>
                    <w:color w:val="0000FF" w:themeColor="hyperlink"/>
                    <w:sz w:val="22"/>
                    <w:szCs w:val="22"/>
                    <w:u w:val="single"/>
                    <w:lang w:eastAsia="lt-LT"/>
                  </w:rPr>
                  <w:t>2002/87/EB</w:t>
                </w:r>
              </w:hyperlink>
              <w:r>
                <w:rPr>
                  <w:sz w:val="22"/>
                  <w:szCs w:val="22"/>
                  <w:lang w:eastAsia="lt-LT"/>
                </w:rPr>
                <w:t xml:space="preserve"> ir panaikinamos direktyvos </w:t>
              </w:r>
              <w:hyperlink r:id="rId174" w:tgtFrame="_blank" w:history="1">
                <w:r>
                  <w:rPr>
                    <w:color w:val="0000FF" w:themeColor="hyperlink"/>
                    <w:sz w:val="22"/>
                    <w:szCs w:val="22"/>
                    <w:u w:val="single"/>
                    <w:lang w:eastAsia="lt-LT"/>
                  </w:rPr>
                  <w:t>2006/48/EB</w:t>
                </w:r>
              </w:hyperlink>
              <w:r>
                <w:rPr>
                  <w:sz w:val="22"/>
                  <w:szCs w:val="22"/>
                  <w:lang w:eastAsia="lt-LT"/>
                </w:rPr>
                <w:t xml:space="preserve"> bei </w:t>
              </w:r>
              <w:hyperlink r:id="rId175" w:tgtFrame="_blank" w:history="1">
                <w:r>
                  <w:rPr>
                    <w:color w:val="0000FF" w:themeColor="hyperlink"/>
                    <w:sz w:val="22"/>
                    <w:szCs w:val="22"/>
                    <w:u w:val="single"/>
                    <w:lang w:eastAsia="lt-LT"/>
                  </w:rPr>
                  <w:t>2006/49/EB</w:t>
                </w:r>
              </w:hyperlink>
              <w:r>
                <w:rPr>
                  <w:sz w:val="22"/>
                  <w:szCs w:val="22"/>
                  <w:lang w:eastAsia="lt-LT"/>
                </w:rPr>
                <w:t>, su paskutiniais pakeitimais, padarytais 2</w:t>
              </w:r>
              <w:r>
                <w:rPr>
                  <w:sz w:val="22"/>
                  <w:szCs w:val="22"/>
                </w:rPr>
                <w:t xml:space="preserve">024 m. gegužės 31 d. Europos Parlamento ir Tarybos direktyva </w:t>
              </w:r>
              <w:hyperlink r:id="rId176" w:tgtFrame="_blank" w:history="1">
                <w:r>
                  <w:rPr>
                    <w:color w:val="0000FF" w:themeColor="hyperlink"/>
                    <w:sz w:val="22"/>
                    <w:szCs w:val="22"/>
                    <w:u w:val="single"/>
                  </w:rPr>
                  <w:t>(ES) 2024/1619</w:t>
                </w:r>
              </w:hyperlink>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1022a84d0fc94d93bbfb5009902e0556"/>
            <w:lock w:val="sdtLocked"/>
            <w:richText/>
          </w:sdtPr>
          <w:sdtContent>
            <w:p>
              <w:pPr>
                <w:widowControl w:val="0"/>
                <w:ind w:firstLine="720"/>
                <w:jc w:val="both"/>
                <w:rPr>
                  <w:rFonts w:eastAsia="Calibri"/>
                  <w:sz w:val="22"/>
                  <w:szCs w:val="22"/>
                </w:rPr>
              </w:pPr>
              <w:sdt>
                <w:sdtPr>
                  <w:alias w:val="Numeris"/>
                  <w:tag w:val="nr_1022a84d0fc94d93bbfb5009902e0556"/>
                  <w:lock w:val="sdtLocked"/>
                  <w:richText/>
                </w:sdtPr>
                <w:sdtContent>
                  <w:r>
                    <w:rPr>
                      <w:kern w:val="2"/>
                      <w:sz w:val="22"/>
                      <w:szCs w:val="22"/>
                    </w:rPr>
                    <w:t>14</w:t>
                  </w:r>
                </w:sdtContent>
              </w:sdt>
              <w:r>
                <w:rPr>
                  <w:kern w:val="2"/>
                  <w:sz w:val="22"/>
                  <w:szCs w:val="22"/>
                </w:rPr>
                <w:t xml:space="preserve">. 2014 m. lapkričio 26 d. Europos Parlamento ir Tarybos reglamentas </w:t>
              </w:r>
              <w:hyperlink r:id="rId177" w:tgtFrame="_blank" w:history="1">
                <w:r>
                  <w:rPr>
                    <w:color w:val="0000FF" w:themeColor="hyperlink"/>
                    <w:kern w:val="2"/>
                    <w:sz w:val="22"/>
                    <w:szCs w:val="22"/>
                    <w:u w:val="single"/>
                  </w:rPr>
                  <w:t>(ES) Nr. 1286/2014</w:t>
                </w:r>
              </w:hyperlink>
              <w:r>
                <w:rPr>
                  <w:kern w:val="2"/>
                  <w:sz w:val="22"/>
                  <w:szCs w:val="22"/>
                </w:rPr>
                <w:t xml:space="preserve"> dėl mažmeninių investicinių produktų paketų ir draudimo principu pagrįstų investicinių produktų (MIPP ir DIP) pagrindinės informacijos dokumentų su paskutiniais pakeitimais, padarytais 2023 m. gruodžio 13 d. Europos Parlamento ir Tarybos reglamentu </w:t>
              </w:r>
              <w:hyperlink r:id="rId178"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5 p."/>
            <w:tag w:val="part_60780b7d633b4aa38cd5feeab826242e"/>
            <w:lock w:val="sdtLocked"/>
            <w:richText/>
          </w:sdtPr>
          <w:sdtContent>
            <w:p>
              <w:pPr>
                <w:widowControl w:val="0"/>
                <w:ind w:firstLine="720"/>
                <w:jc w:val="both"/>
                <w:rPr>
                  <w:rFonts w:eastAsia="Calibri"/>
                  <w:sz w:val="22"/>
                  <w:szCs w:val="22"/>
                </w:rPr>
              </w:pPr>
              <w:sdt>
                <w:sdtPr>
                  <w:alias w:val="Numeris"/>
                  <w:tag w:val="nr_60780b7d633b4aa38cd5feeab826242e"/>
                  <w:lock w:val="sdtLocked"/>
                  <w:richText/>
                </w:sdtPr>
                <w:sdtContent>
                  <w:r>
                    <w:rPr>
                      <w:kern w:val="2"/>
                      <w:sz w:val="22"/>
                      <w:szCs w:val="22"/>
                    </w:rPr>
                    <w:t>15</w:t>
                  </w:r>
                </w:sdtContent>
              </w:sdt>
              <w:r>
                <w:rPr>
                  <w:kern w:val="2"/>
                  <w:sz w:val="22"/>
                  <w:szCs w:val="22"/>
                </w:rPr>
                <w:t xml:space="preserve">. 2017 m. birželio 14 d. Europos Parlamento ir Tarybos reglamentas </w:t>
              </w:r>
              <w:hyperlink r:id="rId179" w:tgtFrame="_blank" w:history="1">
                <w:r>
                  <w:rPr>
                    <w:color w:val="0000FF" w:themeColor="hyperlink"/>
                    <w:kern w:val="2"/>
                    <w:sz w:val="22"/>
                    <w:szCs w:val="22"/>
                    <w:u w:val="single"/>
                  </w:rPr>
                  <w:t>(ES) 2017/1129</w:t>
                </w:r>
              </w:hyperlink>
              <w:r>
                <w:rPr>
                  <w:kern w:val="2"/>
                  <w:sz w:val="22"/>
                  <w:szCs w:val="22"/>
                </w:rPr>
                <w:t xml:space="preserve"> dėl prospekto, kuris turi būti skelbiamas, kai vertybiniai popieriai siūlomi viešai arba įtraukiami į prekybos reguliuojamoje rinkoje sąrašą, ir kuriuo panaikinama Direktyva </w:t>
              </w:r>
              <w:hyperlink r:id="rId180" w:tgtFrame="_blank" w:history="1">
                <w:r>
                  <w:rPr>
                    <w:color w:val="0000FF" w:themeColor="hyperlink"/>
                    <w:kern w:val="2"/>
                    <w:sz w:val="22"/>
                    <w:szCs w:val="22"/>
                    <w:u w:val="single"/>
                  </w:rPr>
                  <w:t>2003/71/EB</w:t>
                </w:r>
              </w:hyperlink>
              <w:r>
                <w:rPr>
                  <w:kern w:val="2"/>
                  <w:sz w:val="22"/>
                  <w:szCs w:val="22"/>
                </w:rPr>
                <w:t xml:space="preserve">, su paskutiniais pakeitimais, padarytais </w:t>
              </w:r>
              <w:r>
                <w:rPr>
                  <w:bCs/>
                  <w:kern w:val="2"/>
                  <w:sz w:val="22"/>
                  <w:szCs w:val="22"/>
                </w:rPr>
                <w:t xml:space="preserve">2024 m. spalio 23 d. Europos Parlamento ir Tarybos reglamentu </w:t>
              </w:r>
              <w:hyperlink r:id="rId181" w:tgtFrame="_blank" w:history="1">
                <w:r>
                  <w:rPr>
                    <w:bCs/>
                    <w:color w:val="0000FF" w:themeColor="hyperlink"/>
                    <w:kern w:val="2"/>
                    <w:sz w:val="22"/>
                    <w:szCs w:val="22"/>
                    <w:u w:val="single"/>
                  </w:rPr>
                  <w:t>(ES) 2024/2809</w:t>
                </w:r>
              </w:hyperlink>
              <w:r>
                <w:rPr>
                  <w:bCs/>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6 p."/>
            <w:tag w:val="part_8619f0240e604c8ea6a845dac46bbe54"/>
            <w:lock w:val="sdtLocked"/>
            <w:richText/>
          </w:sdtPr>
          <w:sdtContent>
            <w:p>
              <w:pPr>
                <w:widowControl w:val="0"/>
                <w:ind w:firstLine="720"/>
                <w:jc w:val="both"/>
                <w:rPr>
                  <w:rFonts w:eastAsia="Calibri"/>
                  <w:sz w:val="22"/>
                  <w:szCs w:val="22"/>
                </w:rPr>
              </w:pPr>
              <w:sdt>
                <w:sdtPr>
                  <w:alias w:val="Numeris"/>
                  <w:tag w:val="nr_8619f0240e604c8ea6a845dac46bbe54"/>
                  <w:lock w:val="sdtLocked"/>
                  <w:richText/>
                </w:sdtPr>
                <w:sdtContent>
                  <w:r>
                    <w:rPr>
                      <w:kern w:val="2"/>
                      <w:sz w:val="22"/>
                      <w:szCs w:val="22"/>
                    </w:rPr>
                    <w:t>16</w:t>
                  </w:r>
                </w:sdtContent>
              </w:sdt>
              <w:r>
                <w:rPr>
                  <w:kern w:val="2"/>
                  <w:sz w:val="22"/>
                  <w:szCs w:val="22"/>
                </w:rPr>
                <w:t xml:space="preserve">. 2017 m. birželio 14 d. Europos Parlamento ir Tarybos reglamentas </w:t>
              </w:r>
              <w:hyperlink r:id="rId182" w:tgtFrame="_blank" w:history="1">
                <w:r>
                  <w:rPr>
                    <w:color w:val="0000FF" w:themeColor="hyperlink"/>
                    <w:kern w:val="2"/>
                    <w:sz w:val="22"/>
                    <w:szCs w:val="22"/>
                    <w:u w:val="single"/>
                  </w:rPr>
                  <w:t>(ES) 2017/1131</w:t>
                </w:r>
              </w:hyperlink>
              <w:r>
                <w:rPr>
                  <w:kern w:val="2"/>
                  <w:sz w:val="22"/>
                  <w:szCs w:val="22"/>
                </w:rPr>
                <w:t xml:space="preserve"> dėl pinigų rinkos fondų su paskutiniais pakeitimais, padarytais 2024 m. lapkričio 27 d. Europos Parlamento ir Tarybos reglamentu </w:t>
              </w:r>
              <w:hyperlink r:id="rId183" w:tgtFrame="_blank" w:history="1">
                <w:r>
                  <w:rPr>
                    <w:color w:val="0000FF" w:themeColor="hyperlink"/>
                    <w:kern w:val="2"/>
                    <w:sz w:val="22"/>
                    <w:szCs w:val="22"/>
                    <w:u w:val="single"/>
                  </w:rPr>
                  <w:t>(ES) 2024/2987</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7 p."/>
            <w:tag w:val="part_8ba87b98d82d417c879c52bf4c395943"/>
            <w:lock w:val="sdtLocked"/>
            <w:richText/>
          </w:sdtPr>
          <w:sdtContent>
            <w:p>
              <w:pPr>
                <w:widowControl w:val="0"/>
                <w:ind w:firstLine="720"/>
                <w:jc w:val="both"/>
                <w:rPr>
                  <w:rFonts w:eastAsia="Calibri"/>
                  <w:sz w:val="22"/>
                  <w:szCs w:val="22"/>
                </w:rPr>
              </w:pPr>
              <w:sdt>
                <w:sdtPr>
                  <w:alias w:val="Numeris"/>
                  <w:tag w:val="nr_8ba87b98d82d417c879c52bf4c395943"/>
                  <w:lock w:val="sdtLocked"/>
                  <w:richText/>
                </w:sdtPr>
                <w:sdtContent>
                  <w:r>
                    <w:rPr>
                      <w:kern w:val="2"/>
                      <w:sz w:val="22"/>
                      <w:szCs w:val="22"/>
                    </w:rPr>
                    <w:t>17</w:t>
                  </w:r>
                </w:sdtContent>
              </w:sdt>
              <w:r>
                <w:rPr>
                  <w:kern w:val="2"/>
                  <w:sz w:val="22"/>
                  <w:szCs w:val="22"/>
                </w:rPr>
                <w:t xml:space="preserve">. 2017 m. gruodžio 12 d. Europos Parlamento ir Tarybos reglamentas </w:t>
              </w:r>
              <w:hyperlink r:id="rId184" w:tgtFrame="_blank" w:history="1">
                <w:r>
                  <w:rPr>
                    <w:color w:val="0000FF" w:themeColor="hyperlink"/>
                    <w:kern w:val="2"/>
                    <w:sz w:val="22"/>
                    <w:szCs w:val="22"/>
                    <w:u w:val="single"/>
                  </w:rPr>
                  <w:t>(ES) 2017/2394</w:t>
                </w:r>
              </w:hyperlink>
              <w:r>
                <w:rPr>
                  <w:kern w:val="2"/>
                  <w:sz w:val="22"/>
                  <w:szCs w:val="22"/>
                </w:rPr>
                <w:t xml:space="preserve"> dėl nacionalinių institucijų, atsakingų už vartotojų apsaugos teisės aktų vykdymo užtikrinimą, bendradarbiavimo, kuriuo panaikinamas Reglamentas </w:t>
              </w:r>
              <w:hyperlink r:id="rId185" w:tgtFrame="_blank" w:history="1">
                <w:r>
                  <w:rPr>
                    <w:color w:val="0000FF" w:themeColor="hyperlink"/>
                    <w:kern w:val="2"/>
                    <w:sz w:val="22"/>
                    <w:szCs w:val="22"/>
                    <w:u w:val="single"/>
                  </w:rPr>
                  <w:t>(EB) Nr. 2006/2004</w:t>
                </w:r>
              </w:hyperlink>
              <w:r>
                <w:rPr>
                  <w:kern w:val="2"/>
                  <w:sz w:val="22"/>
                  <w:szCs w:val="22"/>
                </w:rPr>
                <w:t xml:space="preserve">, su paskutiniais pakeitimais, padarytais 2024 m. gruodžio 19 d. Europos Parlamento ir Tarybos reglamentu </w:t>
              </w:r>
              <w:hyperlink r:id="rId186" w:tgtFrame="_blank" w:history="1">
                <w:r>
                  <w:rPr>
                    <w:color w:val="0000FF" w:themeColor="hyperlink"/>
                    <w:kern w:val="2"/>
                    <w:sz w:val="22"/>
                    <w:szCs w:val="22"/>
                    <w:u w:val="single"/>
                  </w:rPr>
                  <w:t>(ES) 2024/3228</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20 p."/>
            <w:tag w:val="part_ff1a15beb96a45778ffda35b1d3758d8"/>
            <w:lock w:val="sdtLocked"/>
            <w:richText/>
          </w:sdtPr>
          <w:sdtContent>
            <w:p>
              <w:pPr>
                <w:widowControl w:val="0"/>
                <w:ind w:firstLine="720"/>
                <w:jc w:val="both"/>
              </w:pPr>
              <w:sdt>
                <w:sdtPr>
                  <w:alias w:val="Numeris"/>
                  <w:tag w:val="nr_ff1a15beb96a45778ffda35b1d3758d8"/>
                  <w:lock w:val="sdtLocked"/>
                  <w:richText/>
                </w:sdtPr>
                <w:sdtContent>
                  <w:r>
                    <w:rPr>
                      <w:kern w:val="2"/>
                      <w:sz w:val="22"/>
                      <w:szCs w:val="22"/>
                    </w:rPr>
                    <w:t>20</w:t>
                  </w:r>
                </w:sdtContent>
              </w:sdt>
              <w:r>
                <w:rPr>
                  <w:kern w:val="2"/>
                  <w:sz w:val="22"/>
                  <w:szCs w:val="22"/>
                </w:rPr>
                <w:t xml:space="preserve">. 2019 m. birželio 20 d. Europos Parlamento ir Tarybos reglamentas </w:t>
              </w:r>
              <w:hyperlink r:id="rId199" w:tgtFrame="_blank" w:history="1">
                <w:r>
                  <w:rPr>
                    <w:color w:val="0000FF" w:themeColor="hyperlink"/>
                    <w:kern w:val="2"/>
                    <w:sz w:val="22"/>
                    <w:szCs w:val="22"/>
                    <w:u w:val="single"/>
                  </w:rPr>
                  <w:t>(ES) 2019/1238</w:t>
                </w:r>
              </w:hyperlink>
              <w:r>
                <w:rPr>
                  <w:kern w:val="2"/>
                  <w:sz w:val="22"/>
                  <w:szCs w:val="22"/>
                </w:rPr>
                <w:t xml:space="preserve"> dėl visos Europos asmeninės pensijos produkto (PEPP)</w:t>
              </w:r>
              <w:r>
                <w:rPr>
                  <w:b/>
                  <w:bCs/>
                  <w:kern w:val="2"/>
                  <w:sz w:val="22"/>
                  <w:szCs w:val="22"/>
                </w:rPr>
                <w:t xml:space="preserve"> </w:t>
              </w:r>
              <w:r>
                <w:rPr>
                  <w:kern w:val="2"/>
                  <w:sz w:val="22"/>
                  <w:szCs w:val="22"/>
                </w:rPr>
                <w:t xml:space="preserve">su paskutiniais pakeitimais, padarytais 2023 m. gruodžio 13 d. Europos Parlamento ir Tarybos reglamentu </w:t>
              </w:r>
              <w:hyperlink r:id="rId200"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0-1 p."/>
            <w:tag w:val="part_19e89623da59464a8432e628003af300"/>
            <w:lock w:val="sdtLocked"/>
            <w:richText/>
          </w:sdtPr>
          <w:sdtContent>
            <w:p>
              <w:pPr>
                <w:widowControl w:val="0"/>
                <w:ind w:firstLine="720"/>
                <w:jc w:val="both"/>
                <w:rPr>
                  <w:i/>
                  <w:sz w:val="22"/>
                  <w:szCs w:val="22"/>
                </w:rPr>
              </w:pPr>
              <w:sdt>
                <w:sdtPr>
                  <w:alias w:val="Numeris"/>
                  <w:tag w:val="nr_19e89623da59464a8432e628003af300"/>
                  <w:lock w:val="sdtLocked"/>
                  <w:richText/>
                </w:sdtPr>
                <w:sdtContent>
                  <w:r>
                    <w:rPr>
                      <w:kern w:val="2"/>
                      <w:sz w:val="22"/>
                      <w:szCs w:val="22"/>
                    </w:rPr>
                    <w:t>20</w:t>
                  </w:r>
                  <w:r>
                    <w:rPr>
                      <w:kern w:val="2"/>
                      <w:sz w:val="22"/>
                      <w:szCs w:val="22"/>
                      <w:vertAlign w:val="superscript"/>
                    </w:rPr>
                    <w:t>1</w:t>
                  </w:r>
                </w:sdtContent>
              </w:sdt>
              <w:r>
                <w:rPr>
                  <w:kern w:val="2"/>
                  <w:sz w:val="22"/>
                  <w:szCs w:val="22"/>
                </w:rPr>
                <w:t xml:space="preserve">. 2019 m. lapkričio 27 d. Europos Parlamento ir Tarybos reglamentas </w:t>
              </w:r>
              <w:hyperlink r:id="rId222" w:tgtFrame="_blank" w:history="1">
                <w:r>
                  <w:rPr>
                    <w:color w:val="0000FF" w:themeColor="hyperlink"/>
                    <w:kern w:val="2"/>
                    <w:sz w:val="22"/>
                    <w:szCs w:val="22"/>
                    <w:u w:val="single"/>
                  </w:rPr>
                  <w:t>(ES) 2019/2088</w:t>
                </w:r>
              </w:hyperlink>
              <w:r>
                <w:rPr>
                  <w:kern w:val="2"/>
                  <w:sz w:val="22"/>
                  <w:szCs w:val="22"/>
                </w:rPr>
                <w:t xml:space="preserve"> dėl su tvarumu susijusios informacijos atskleidimo finansinių paslaugų sektoriuje su paskutiniais pakeitimais, padarytais 2023 m. gruodžio 13 d. Europos Parlamento ir Tarybos reglamentu </w:t>
              </w:r>
              <w:hyperlink r:id="rId223"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208"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209" w:tgtFrame="_blank" w:history="1">
                <w:r>
                  <w:rPr>
                    <w:color w:val="0000FF" w:themeColor="hyperlink"/>
                    <w:sz w:val="22"/>
                    <w:szCs w:val="22"/>
                    <w:u w:val="single"/>
                  </w:rPr>
                  <w:t>2008/48/EB</w:t>
                </w:r>
              </w:hyperlink>
              <w:r>
                <w:rPr>
                  <w:sz w:val="22"/>
                  <w:szCs w:val="22"/>
                </w:rPr>
                <w:t xml:space="preserve"> ir </w:t>
              </w:r>
              <w:hyperlink r:id="rId210" w:tgtFrame="_blank" w:history="1">
                <w:r>
                  <w:rPr>
                    <w:color w:val="0000FF" w:themeColor="hyperlink"/>
                    <w:sz w:val="22"/>
                    <w:szCs w:val="22"/>
                    <w:u w:val="single"/>
                  </w:rPr>
                  <w:t>2014/17/ES</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punktas"/>
            <w:tag w:val="part_2d79518cf2df490f91cea02c3b8cbd57"/>
            <w:lock w:val="sdtLocked"/>
            <w:richText/>
          </w:sdtPr>
          <w:sdtContent>
            <w:p>
              <w:pPr>
                <w:ind w:firstLine="720"/>
                <w:jc w:val="both"/>
                <w:rPr>
                  <w:sz w:val="22"/>
                  <w:szCs w:val="22"/>
                  <w:lang w:eastAsia="zh-CN"/>
                </w:rPr>
              </w:pPr>
              <w:sdt>
                <w:sdtPr>
                  <w:alias w:val="Numeris"/>
                  <w:tag w:val="nr_2d79518cf2df490f91cea02c3b8cbd57"/>
                  <w:lock w:val="sdtLocked"/>
                  <w:richText/>
                </w:sdtPr>
                <w:sdtContent>
                  <w:r>
                    <w:rPr>
                      <w:sz w:val="22"/>
                      <w:szCs w:val="22"/>
                      <w:lang w:eastAsia="zh-CN"/>
                    </w:rPr>
                    <w:t>23</w:t>
                  </w:r>
                  <w:r>
                    <w:rPr>
                      <w:sz w:val="22"/>
                      <w:szCs w:val="22"/>
                      <w:vertAlign w:val="superscript"/>
                      <w:lang w:eastAsia="zh-CN"/>
                    </w:rPr>
                    <w:t>1</w:t>
                  </w:r>
                </w:sdtContent>
              </w:sdt>
              <w:r>
                <w:rPr>
                  <w:sz w:val="22"/>
                  <w:szCs w:val="22"/>
                  <w:lang w:eastAsia="zh-CN"/>
                </w:rPr>
                <w:t xml:space="preserve">. 2022 m. gruodžio 14 d. Europos Parlamento ir Tarybos reglamentas </w:t>
              </w:r>
              <w:hyperlink r:id="rId214" w:tgtFrame="_blank" w:history="1">
                <w:r>
                  <w:rPr>
                    <w:color w:val="0000FF" w:themeColor="hyperlink"/>
                    <w:sz w:val="22"/>
                    <w:szCs w:val="22"/>
                    <w:u w:val="single"/>
                    <w:lang w:eastAsia="zh-CN"/>
                  </w:rPr>
                  <w:t>(ES) 2022/2554</w:t>
                </w:r>
              </w:hyperlink>
              <w:r>
                <w:rPr>
                  <w:sz w:val="22"/>
                  <w:szCs w:val="22"/>
                  <w:lang w:eastAsia="zh-CN"/>
                </w:rPr>
                <w:t xml:space="preserve"> dėl skaitmeninės veiklos atsparumo finansų sektoriuje, kuriuo iš dalies keičiami reglamentai </w:t>
              </w:r>
              <w:hyperlink r:id="rId215" w:tgtFrame="_blank" w:history="1">
                <w:r>
                  <w:rPr>
                    <w:color w:val="0000FF" w:themeColor="hyperlink"/>
                    <w:sz w:val="22"/>
                    <w:szCs w:val="22"/>
                    <w:u w:val="single"/>
                    <w:lang w:eastAsia="zh-CN"/>
                  </w:rPr>
                  <w:t>(EB) Nr. 1060/2009</w:t>
                </w:r>
              </w:hyperlink>
              <w:r>
                <w:rPr>
                  <w:sz w:val="22"/>
                  <w:szCs w:val="22"/>
                  <w:lang w:eastAsia="zh-CN"/>
                </w:rPr>
                <w:t xml:space="preserve">, </w:t>
              </w:r>
              <w:hyperlink r:id="rId216" w:tgtFrame="_blank" w:history="1">
                <w:r>
                  <w:rPr>
                    <w:color w:val="0000FF" w:themeColor="hyperlink"/>
                    <w:sz w:val="22"/>
                    <w:szCs w:val="22"/>
                    <w:u w:val="single"/>
                    <w:lang w:eastAsia="zh-CN"/>
                  </w:rPr>
                  <w:t>(ES) Nr. 648/2012</w:t>
                </w:r>
              </w:hyperlink>
              <w:r>
                <w:rPr>
                  <w:sz w:val="22"/>
                  <w:szCs w:val="22"/>
                  <w:lang w:eastAsia="zh-CN"/>
                </w:rPr>
                <w:t xml:space="preserve">, </w:t>
              </w:r>
              <w:hyperlink r:id="rId217" w:tgtFrame="_blank" w:history="1">
                <w:r>
                  <w:rPr>
                    <w:color w:val="0000FF" w:themeColor="hyperlink"/>
                    <w:sz w:val="22"/>
                    <w:szCs w:val="22"/>
                    <w:u w:val="single"/>
                    <w:lang w:eastAsia="zh-CN"/>
                  </w:rPr>
                  <w:t>(ES) Nr. 600/2014</w:t>
                </w:r>
              </w:hyperlink>
              <w:r>
                <w:rPr>
                  <w:sz w:val="22"/>
                  <w:szCs w:val="22"/>
                  <w:lang w:eastAsia="zh-CN"/>
                </w:rPr>
                <w:t xml:space="preserve">, </w:t>
              </w:r>
              <w:hyperlink r:id="rId218" w:tgtFrame="_blank" w:history="1">
                <w:r>
                  <w:rPr>
                    <w:color w:val="0000FF" w:themeColor="hyperlink"/>
                    <w:sz w:val="22"/>
                    <w:szCs w:val="22"/>
                    <w:u w:val="single"/>
                    <w:lang w:eastAsia="zh-CN"/>
                  </w:rPr>
                  <w:t>(ES) Nr. 909/2014</w:t>
                </w:r>
              </w:hyperlink>
              <w:r>
                <w:rPr>
                  <w:sz w:val="22"/>
                  <w:szCs w:val="22"/>
                  <w:lang w:eastAsia="zh-CN"/>
                </w:rPr>
                <w:t xml:space="preserve"> ir </w:t>
              </w:r>
              <w:hyperlink r:id="rId219" w:tgtFrame="_blank" w:history="1">
                <w:r>
                  <w:rPr>
                    <w:color w:val="0000FF" w:themeColor="hyperlink"/>
                    <w:sz w:val="22"/>
                    <w:szCs w:val="22"/>
                    <w:u w:val="single"/>
                    <w:lang w:eastAsia="zh-CN"/>
                  </w:rPr>
                  <w:t>(ES) 2016/1011</w:t>
                </w:r>
              </w:hyperlink>
              <w:r>
                <w:rPr>
                  <w:sz w:val="22"/>
                  <w:szCs w:val="22"/>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202"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203" w:tgtFrame="_blank" w:history="1">
                <w:r>
                  <w:rPr>
                    <w:color w:val="0000FF" w:themeColor="hyperlink"/>
                    <w:sz w:val="22"/>
                    <w:szCs w:val="22"/>
                    <w:u w:val="single"/>
                  </w:rPr>
                  <w:t>(ES) Nr. 1093/2010</w:t>
                </w:r>
              </w:hyperlink>
              <w:r>
                <w:rPr>
                  <w:sz w:val="22"/>
                  <w:szCs w:val="22"/>
                </w:rPr>
                <w:t xml:space="preserve"> bei </w:t>
              </w:r>
              <w:hyperlink r:id="rId204" w:tgtFrame="_blank" w:history="1">
                <w:r>
                  <w:rPr>
                    <w:color w:val="0000FF" w:themeColor="hyperlink"/>
                    <w:sz w:val="22"/>
                    <w:szCs w:val="22"/>
                    <w:u w:val="single"/>
                  </w:rPr>
                  <w:t>(ES) Nr. 1095/2010</w:t>
                </w:r>
              </w:hyperlink>
              <w:r>
                <w:rPr>
                  <w:sz w:val="22"/>
                  <w:szCs w:val="22"/>
                </w:rPr>
                <w:t xml:space="preserve"> ir direktyvos </w:t>
              </w:r>
              <w:hyperlink r:id="rId205" w:tgtFrame="_blank" w:history="1">
                <w:r>
                  <w:rPr>
                    <w:color w:val="0000FF" w:themeColor="hyperlink"/>
                    <w:sz w:val="22"/>
                    <w:szCs w:val="22"/>
                    <w:u w:val="single"/>
                  </w:rPr>
                  <w:t>2013/36/ES</w:t>
                </w:r>
              </w:hyperlink>
              <w:r>
                <w:rPr>
                  <w:sz w:val="22"/>
                  <w:szCs w:val="22"/>
                </w:rPr>
                <w:t xml:space="preserve"> bei </w:t>
              </w:r>
              <w:hyperlink r:id="rId206"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207" w:tgtFrame="_blank" w:history="1">
                <w:r>
                  <w:rPr>
                    <w:color w:val="0000FF" w:themeColor="hyperlink"/>
                    <w:sz w:val="22"/>
                    <w:szCs w:val="22"/>
                    <w:u w:val="single"/>
                  </w:rPr>
                  <w:t>(ES) 2023/2869</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25 p."/>
            <w:tag w:val="part_2b4ee420047e442880c6a11443d3dc83"/>
            <w:lock w:val="sdtLocked"/>
            <w:richText/>
          </w:sdtPr>
          <w:sdtContent>
            <w:p>
              <w:pPr>
                <w:widowControl w:val="0"/>
                <w:ind w:firstLine="720"/>
                <w:jc w:val="both"/>
                <w:rPr>
                  <w:sz w:val="22"/>
                  <w:szCs w:val="22"/>
                </w:rPr>
              </w:pPr>
              <w:sdt>
                <w:sdtPr>
                  <w:alias w:val="Numeris"/>
                  <w:tag w:val="nr_2b4ee420047e442880c6a11443d3dc83"/>
                  <w:lock w:val="sdtLocked"/>
                  <w:richText/>
                </w:sdtPr>
                <w:sdtContent>
                  <w:r>
                    <w:rPr>
                      <w:kern w:val="2"/>
                      <w:sz w:val="22"/>
                      <w:szCs w:val="22"/>
                    </w:rPr>
                    <w:t>25</w:t>
                  </w:r>
                </w:sdtContent>
              </w:sdt>
              <w:r>
                <w:rPr>
                  <w:kern w:val="2"/>
                  <w:sz w:val="22"/>
                  <w:szCs w:val="22"/>
                </w:rPr>
                <w:t xml:space="preserve">. 2023 m. gruodžio 13 d. Europos Parlamento ir Tarybos reglamentas </w:t>
              </w:r>
              <w:hyperlink r:id="rId221" w:tgtFrame="_blank" w:history="1">
                <w:r>
                  <w:rPr>
                    <w:color w:val="0000FF" w:themeColor="hyperlink"/>
                    <w:kern w:val="2"/>
                    <w:sz w:val="22"/>
                    <w:szCs w:val="22"/>
                    <w:u w:val="single"/>
                  </w:rPr>
                  <w:t>(ES) 2023/2859</w:t>
                </w:r>
              </w:hyperlink>
              <w:r>
                <w:rPr>
                  <w:kern w:val="2"/>
                  <w:sz w:val="22"/>
                  <w:szCs w:val="22"/>
                </w:rPr>
                <w:t>, kuriuo sukuriamas Europos bendras prieigos punktas, užtikrinantis centralizuotą prieigą prie viešai skelbiamos informacijos, kuri yra aktuali finansinių paslaugų, kapitalo rinkų ir tvarumo srityse.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6 p."/>
            <w:tag w:val="part_d51ab5609f8f4cfd8178c43b32e82d96"/>
            <w:lock w:val="sdtLocked"/>
            <w:richText/>
          </w:sdtPr>
          <w:sdtContent>
            <w:p>
              <w:pPr>
                <w:widowControl w:val="0"/>
                <w:ind w:firstLine="720"/>
                <w:jc w:val="both"/>
                <w:rPr>
                  <w:sz w:val="22"/>
                  <w:szCs w:val="22"/>
                </w:rPr>
              </w:pPr>
              <w:sdt>
                <w:sdtPr>
                  <w:alias w:val="Numeris"/>
                  <w:tag w:val="nr_d51ab5609f8f4cfd8178c43b32e82d96"/>
                  <w:lock w:val="sdtLocked"/>
                  <w:richText/>
                </w:sdtPr>
                <w:sdtContent>
                  <w:r>
                    <w:rPr>
                      <w:kern w:val="2"/>
                      <w:sz w:val="22"/>
                      <w:szCs w:val="22"/>
                    </w:rPr>
                    <w:t>26</w:t>
                  </w:r>
                </w:sdtContent>
              </w:sdt>
              <w:r>
                <w:rPr>
                  <w:kern w:val="2"/>
                  <w:sz w:val="22"/>
                  <w:szCs w:val="22"/>
                </w:rPr>
                <w:t xml:space="preserve">. 2024 m. lapkričio 27 d. Europos Parlamento ir Tarybos reglamentas </w:t>
              </w:r>
              <w:hyperlink r:id="rId224" w:tgtFrame="_blank" w:history="1">
                <w:r>
                  <w:rPr>
                    <w:color w:val="0000FF" w:themeColor="hyperlink"/>
                    <w:kern w:val="2"/>
                    <w:sz w:val="22"/>
                    <w:szCs w:val="22"/>
                    <w:u w:val="single"/>
                  </w:rPr>
                  <w:t>(ES) 2024/3005</w:t>
                </w:r>
              </w:hyperlink>
              <w:r>
                <w:rPr>
                  <w:kern w:val="2"/>
                  <w:sz w:val="22"/>
                  <w:szCs w:val="22"/>
                </w:rPr>
                <w:t xml:space="preserve"> dėl reitingavimo pagal aplinkos, socialinius ir valdymo (ASV) kriterijus veiklos skaidrumo ir sąžiningumo, kuriuo iš dalies keičiami reglamentai </w:t>
              </w:r>
              <w:hyperlink r:id="rId225" w:tgtFrame="_blank" w:history="1">
                <w:r>
                  <w:rPr>
                    <w:color w:val="0000FF" w:themeColor="hyperlink"/>
                    <w:kern w:val="2"/>
                    <w:sz w:val="22"/>
                    <w:szCs w:val="22"/>
                    <w:u w:val="single"/>
                  </w:rPr>
                  <w:t>(ES) 2019/2088</w:t>
                </w:r>
              </w:hyperlink>
              <w:r>
                <w:rPr>
                  <w:kern w:val="2"/>
                  <w:sz w:val="22"/>
                  <w:szCs w:val="22"/>
                </w:rPr>
                <w:t xml:space="preserve"> ir </w:t>
              </w:r>
              <w:hyperlink r:id="rId226" w:tgtFrame="_blank" w:history="1">
                <w:r>
                  <w:rPr>
                    <w:color w:val="0000FF" w:themeColor="hyperlink"/>
                    <w:kern w:val="2"/>
                    <w:sz w:val="22"/>
                    <w:szCs w:val="22"/>
                    <w:u w:val="single"/>
                  </w:rPr>
                  <w:t>(ES) 2023/2859</w:t>
                </w:r>
              </w:hyperlink>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2"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3"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5"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28" w:history="1">
            <w:r>
              <w:rPr>
                <w:rStyle w:val="Hipersaitas"/>
                <w:sz w:val="20"/>
              </w:rPr>
              <w:t>89-2741</w:t>
            </w:r>
          </w:hyperlink>
          <w:r>
            <w:rPr>
              <w:sz w:val="20"/>
            </w:rPr>
            <w:t xml:space="preserve">) ir Lietuvos Respublikos baudžiamojo proceso kodeksu (Žin., 2002, Nr. </w:t>
          </w:r>
          <w:hyperlink r:id="rId129"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6"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7"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8"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39"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2"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3"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4"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6"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7"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16a3c01b3a11eeb233e8b04dc9bb3d">
            <w:r w:rsidRPr="00532B9F">
              <w:rPr>
                <w:rFonts w:ascii="Times New Roman" w:eastAsia="MS Mincho" w:hAnsi="Times New Roman"/>
                <w:sz w:val="20"/>
                <w:iCs/>
                <w:color w:val="0000FF" w:themeColor="hyperlink"/>
                <w:u w:val="single"/>
              </w:rPr>
              <w:t>XIV-2143</w:t>
            </w:r>
          </w:fldSimple>
          <w:r>
            <w:rPr>
              <w:rFonts w:ascii="Times New Roman" w:eastAsia="MS Mincho" w:hAnsi="Times New Roman"/>
              <w:sz w:val="20"/>
              <w:iCs/>
            </w:rPr>
            <w:t>,
2023-06-29,
paskelbta TAR 2023-07-05, i. k. 2023-14039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06f40499d11efbdaea558de59136c">
            <w:r w:rsidRPr="00532B9F">
              <w:rPr>
                <w:rFonts w:ascii="Times New Roman" w:eastAsia="MS Mincho" w:hAnsi="Times New Roman"/>
                <w:sz w:val="20"/>
                <w:iCs/>
                <w:color w:val="0000FF" w:themeColor="hyperlink"/>
                <w:u w:val="single"/>
              </w:rPr>
              <w:t>XIV-2880</w:t>
            </w:r>
          </w:fldSimple>
          <w:r>
            <w:rPr>
              <w:rFonts w:ascii="Times New Roman" w:eastAsia="MS Mincho" w:hAnsi="Times New Roman"/>
              <w:sz w:val="20"/>
              <w:iCs/>
            </w:rPr>
            <w:t>,
2024-07-11,
paskelbta TAR 2024-07-24, i. k. 2024-13490                </w:t>
          </w:r>
        </w:p>
        <w:p>
          <w:pPr>
            <w:jc w:val="both"/>
            <w:rPr>
              <w:rFonts w:ascii="Times New Roman" w:hAnsi="Times New Roman"/>
            </w:rPr>
          </w:pPr>
          <w:r>
            <w:rPr>
              <w:rFonts w:ascii="Times New Roman" w:hAnsi="Times New Roman"/>
              <w:sz w:val="20"/>
            </w:rPr>
            <w:t>Lietuvos Respublikos Lietuvos banko įstatymo Nr. I-678 42, 43-7, 47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0998302ed411efbdaea558de59136c">
            <w:r w:rsidRPr="00532B9F">
              <w:rPr>
                <w:rFonts w:ascii="Times New Roman" w:eastAsia="MS Mincho" w:hAnsi="Times New Roman"/>
                <w:sz w:val="20"/>
                <w:iCs/>
                <w:color w:val="0000FF" w:themeColor="hyperlink"/>
                <w:u w:val="single"/>
              </w:rPr>
              <w:t>XIV-2717</w:t>
            </w:r>
          </w:fldSimple>
          <w:r>
            <w:rPr>
              <w:rFonts w:ascii="Times New Roman" w:eastAsia="MS Mincho" w:hAnsi="Times New Roman"/>
              <w:sz w:val="20"/>
              <w:iCs/>
            </w:rPr>
            <w:t>,
2024-06-13,
paskelbta TAR 2024-06-20, i. k. 2024-11240                </w:t>
          </w:r>
        </w:p>
        <w:p>
          <w:pPr>
            <w:jc w:val="both"/>
            <w:rPr>
              <w:rFonts w:ascii="Times New Roman" w:hAnsi="Times New Roman"/>
            </w:rPr>
          </w:pPr>
          <w:r>
            <w:rPr>
              <w:rFonts w:ascii="Times New Roman" w:hAnsi="Times New Roman"/>
              <w:sz w:val="20"/>
            </w:rPr>
            <w:t>Lietuvos Respublikos Lietuvos banko įstatymo Nr. I-678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a077d02ed511efbdaea558de59136c">
            <w:r w:rsidRPr="00532B9F">
              <w:rPr>
                <w:rFonts w:ascii="Times New Roman" w:eastAsia="MS Mincho" w:hAnsi="Times New Roman"/>
                <w:sz w:val="20"/>
                <w:iCs/>
                <w:color w:val="0000FF" w:themeColor="hyperlink"/>
                <w:u w:val="single"/>
              </w:rPr>
              <w:t>XIV-2721</w:t>
            </w:r>
          </w:fldSimple>
          <w:r>
            <w:rPr>
              <w:rFonts w:ascii="Times New Roman" w:eastAsia="MS Mincho" w:hAnsi="Times New Roman"/>
              <w:sz w:val="20"/>
              <w:iCs/>
            </w:rPr>
            <w:t>,
2024-06-13,
paskelbta TAR 2024-06-20, i. k. 2024-11244                </w:t>
          </w:r>
        </w:p>
        <w:p>
          <w:pPr>
            <w:jc w:val="both"/>
            <w:rPr>
              <w:rFonts w:ascii="Times New Roman" w:hAnsi="Times New Roman"/>
            </w:rPr>
          </w:pPr>
          <w:r>
            <w:rPr>
              <w:rFonts w:ascii="Times New Roman" w:hAnsi="Times New Roman"/>
              <w:sz w:val="20"/>
            </w:rPr>
            <w:t>Lietuvos Respublikos Lietuvos banko įstatymo Nr. I-678 43-3, 43-6, 43-7, 47-7 straipsnių pakeitimo ir Įstatymo papildymo 43-4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4532016c011f08fdabd4950271e2c">
            <w:r w:rsidRPr="00532B9F">
              <w:rPr>
                <w:rFonts w:ascii="Times New Roman" w:eastAsia="MS Mincho" w:hAnsi="Times New Roman"/>
                <w:sz w:val="20"/>
                <w:iCs/>
                <w:color w:val="0000FF" w:themeColor="hyperlink"/>
                <w:u w:val="single"/>
              </w:rPr>
              <w:t>XV-153</w:t>
            </w:r>
          </w:fldSimple>
          <w:r>
            <w:rPr>
              <w:rFonts w:ascii="Times New Roman" w:eastAsia="MS Mincho" w:hAnsi="Times New Roman"/>
              <w:sz w:val="20"/>
              <w:iCs/>
            </w:rPr>
            <w:t>,
2025-04-10,
paskelbta TAR 2025-04-11, i. k. 2025-06427                </w:t>
          </w:r>
        </w:p>
        <w:p>
          <w:pPr>
            <w:jc w:val="both"/>
            <w:rPr>
              <w:rFonts w:ascii="Times New Roman" w:hAnsi="Times New Roman"/>
            </w:rPr>
          </w:pPr>
          <w:r>
            <w:rPr>
              <w:rFonts w:ascii="Times New Roman" w:hAnsi="Times New Roman"/>
              <w:sz w:val="20"/>
            </w:rPr>
            <w:t>Lietuvos Respublikos Lietuvos banko įstatymo Nr. I-678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b1cd6255bf11f0b070ee7f1ceefc75">
            <w:r w:rsidRPr="00532B9F">
              <w:rPr>
                <w:rFonts w:ascii="Times New Roman" w:eastAsia="MS Mincho" w:hAnsi="Times New Roman"/>
                <w:sz w:val="20"/>
                <w:iCs/>
                <w:color w:val="0000FF" w:themeColor="hyperlink"/>
                <w:u w:val="single"/>
              </w:rPr>
              <w:t>XV-293</w:t>
            </w:r>
          </w:fldSimple>
          <w:r>
            <w:rPr>
              <w:rFonts w:ascii="Times New Roman" w:eastAsia="MS Mincho" w:hAnsi="Times New Roman"/>
              <w:sz w:val="20"/>
              <w:iCs/>
            </w:rPr>
            <w:t>,
2025-06-19,
paskelbta TAR 2025-06-30, i. k. 2025-11961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84b0c055c511f0b070ee7f1ceefc75">
            <w:r w:rsidRPr="00532B9F">
              <w:rPr>
                <w:rFonts w:ascii="Times New Roman" w:eastAsia="MS Mincho" w:hAnsi="Times New Roman"/>
                <w:sz w:val="20"/>
                <w:iCs/>
                <w:color w:val="0000FF" w:themeColor="hyperlink"/>
                <w:u w:val="single"/>
              </w:rPr>
              <w:t>XV-327</w:t>
            </w:r>
          </w:fldSimple>
          <w:r>
            <w:rPr>
              <w:rFonts w:ascii="Times New Roman" w:eastAsia="MS Mincho" w:hAnsi="Times New Roman"/>
              <w:sz w:val="20"/>
              <w:iCs/>
            </w:rPr>
            <w:t>,
2025-06-25,
paskelbta TAR 2025-06-30, i. k. 2025-11987                </w:t>
          </w:r>
        </w:p>
        <w:p>
          <w:pPr>
            <w:jc w:val="both"/>
            <w:rPr>
              <w:rFonts w:ascii="Times New Roman" w:hAnsi="Times New Roman"/>
            </w:rPr>
          </w:pPr>
          <w:r>
            <w:rPr>
              <w:rFonts w:ascii="Times New Roman" w:hAnsi="Times New Roman"/>
              <w:sz w:val="20"/>
            </w:rPr>
            <w:t>Lietuvos Respublikos Lietuvos banko įstatymo Nr. I-678 8, 11, 42, 43, 46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19f4242ec11f180c9c618618421ed">
            <w:r w:rsidRPr="00532B9F">
              <w:rPr>
                <w:rFonts w:ascii="Times New Roman" w:eastAsia="MS Mincho" w:hAnsi="Times New Roman"/>
                <w:sz w:val="20"/>
                <w:iCs/>
                <w:color w:val="0000FF" w:themeColor="hyperlink"/>
                <w:u w:val="single"/>
              </w:rPr>
              <w:t>XV-845</w:t>
            </w:r>
          </w:fldSimple>
          <w:r>
            <w:rPr>
              <w:rFonts w:ascii="Times New Roman" w:eastAsia="MS Mincho" w:hAnsi="Times New Roman"/>
              <w:sz w:val="20"/>
              <w:iCs/>
            </w:rPr>
            <w:t>,
2026-04-23,
paskelbta TAR 2026-04-28, i. k. 2026-06954                </w:t>
          </w:r>
        </w:p>
        <w:p>
          <w:pPr>
            <w:jc w:val="both"/>
            <w:rPr>
              <w:rFonts w:ascii="Times New Roman" w:hAnsi="Times New Roman"/>
            </w:rPr>
          </w:pPr>
          <w:r>
            <w:rPr>
              <w:rFonts w:ascii="Times New Roman" w:hAnsi="Times New Roman"/>
              <w:sz w:val="20"/>
            </w:rPr>
            <w:t>Lietuvos Respublikos Lietuvos banko įstatymo Nr. I-678 42, 43-3, 47-4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843e0502f11f180c9c618618421ed">
            <w:r w:rsidRPr="00532B9F">
              <w:rPr>
                <w:rFonts w:ascii="Times New Roman" w:eastAsia="MS Mincho" w:hAnsi="Times New Roman"/>
                <w:sz w:val="20"/>
                <w:iCs/>
                <w:color w:val="0000FF" w:themeColor="hyperlink"/>
                <w:u w:val="single"/>
              </w:rPr>
              <w:t>XV-909</w:t>
            </w:r>
          </w:fldSimple>
          <w:r>
            <w:rPr>
              <w:rFonts w:ascii="Times New Roman" w:eastAsia="MS Mincho" w:hAnsi="Times New Roman"/>
              <w:sz w:val="20"/>
              <w:iCs/>
            </w:rPr>
            <w:t>,
2026-05-12,
paskelbta TAR 2026-05-15, i. k. 2026-08240                </w:t>
          </w:r>
        </w:p>
        <w:p>
          <w:pPr>
            <w:jc w:val="both"/>
            <w:rPr>
              <w:rFonts w:ascii="Times New Roman" w:hAnsi="Times New Roman"/>
            </w:rPr>
          </w:pPr>
          <w:r>
            <w:rPr>
              <w:rFonts w:ascii="Times New Roman" w:hAnsi="Times New Roman"/>
              <w:sz w:val="20"/>
            </w:rPr>
            <w:t>Lietuvos Respublikos Lietuvos banko įstatymo Nr. I-678 43-7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10d7e0584111f180c9c618618421ed">
            <w:r w:rsidRPr="00532B9F">
              <w:rPr>
                <w:rFonts w:ascii="Times New Roman" w:eastAsia="MS Mincho" w:hAnsi="Times New Roman"/>
                <w:sz w:val="20"/>
                <w:iCs/>
                <w:color w:val="0000FF" w:themeColor="hyperlink"/>
                <w:u w:val="single"/>
              </w:rPr>
              <w:t>XV-936</w:t>
            </w:r>
          </w:fldSimple>
          <w:r>
            <w:rPr>
              <w:rFonts w:ascii="Times New Roman" w:eastAsia="MS Mincho" w:hAnsi="Times New Roman"/>
              <w:sz w:val="20"/>
              <w:iCs/>
            </w:rPr>
            <w:t>,
2026-05-14,
paskelbta TAR 2026-05-25, i. k. 2026-08784                </w:t>
          </w:r>
        </w:p>
        <w:p>
          <w:pPr>
            <w:jc w:val="both"/>
            <w:rPr>
              <w:rFonts w:ascii="Times New Roman" w:hAnsi="Times New Roman"/>
            </w:rPr>
          </w:pPr>
          <w:r>
            <w:rPr>
              <w:rFonts w:ascii="Times New Roman" w:hAnsi="Times New Roman"/>
              <w:sz w:val="20"/>
            </w:rPr>
            <w:t>Lietuvos Respublikos Lietuvos banko įstatymo Nr. I-678 10, 12, 16, 18, 42-1, 51 straipsnių, 3 priedo pakeitimo ir Įstatymo papildymo 18-2, 18-3, 18-4 straipsniais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1D9CE7"/>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cgi-bin/preps2?a=227304&amp;b="/>
  <Relationship Id="rId100" Type="http://schemas.openxmlformats.org/officeDocument/2006/relationships/hyperlink" TargetMode="External" Target="http://www3.lrs.lt/cgi-bin/preps2?a=274804&amp;b="/>
  <Relationship Id="rId101" Type="http://schemas.openxmlformats.org/officeDocument/2006/relationships/hyperlink" TargetMode="External" Target="http://www3.lrs.lt/cgi-bin/preps2?a=396599&amp;b="/>
  <Relationship Id="rId102" Type="http://schemas.openxmlformats.org/officeDocument/2006/relationships/hyperlink" TargetMode="External" Target="http://www3.lrs.lt/cgi-bin/preps2?a=396597&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13881&amp;b="/>
  <Relationship Id="rId109" Type="http://schemas.openxmlformats.org/officeDocument/2006/relationships/hyperlink" TargetMode="External" Target="http://www3.lrs.lt/cgi-bin/preps2?a=231828&amp;b="/>
  <Relationship Id="rId11" Type="http://schemas.openxmlformats.org/officeDocument/2006/relationships/hyperlink" TargetMode="External" Target="http://www3.lrs.lt/cgi-bin/preps2?a=274804&amp;b="/>
  <Relationship Id="rId110" Type="http://schemas.openxmlformats.org/officeDocument/2006/relationships/hyperlink" TargetMode="External" Target="http://www3.lrs.lt/cgi-bin/preps2?a=2748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469641&amp;b="/>
  <Relationship Id="rId113" Type="http://schemas.openxmlformats.org/officeDocument/2006/relationships/hyperlink" TargetMode="External" Target="http://www3.lrs.lt/cgi-bin/preps2?a=227304&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31829&amp;b="/>
  <Relationship Id="rId116" Type="http://schemas.openxmlformats.org/officeDocument/2006/relationships/header" Target="header79.xml"/>
  <Relationship Id="rId117" Type="http://schemas.openxmlformats.org/officeDocument/2006/relationships/header" Target="header80.xml"/>
  <Relationship Id="rId118" Type="http://schemas.openxmlformats.org/officeDocument/2006/relationships/footer" Target="footer79.xml"/>
  <Relationship Id="rId119" Type="http://schemas.openxmlformats.org/officeDocument/2006/relationships/footer" Target="footer80.xml"/>
  <Relationship Id="rId12" Type="http://schemas.openxmlformats.org/officeDocument/2006/relationships/hyperlink" TargetMode="External" Target="http://www3.lrs.lt/cgi-bin/preps2?a=464959&amp;b="/>
  <Relationship Id="rId120" Type="http://schemas.openxmlformats.org/officeDocument/2006/relationships/header" Target="header81.xml"/>
  <Relationship Id="rId121" Type="http://schemas.openxmlformats.org/officeDocument/2006/relationships/footer" Target="footer81.xml"/>
  <Relationship Id="rId122" Type="http://schemas.openxmlformats.org/officeDocument/2006/relationships/hyperlink" TargetMode="External" Target="http://www3.lrs.lt/cgi-bin/preps2?Condition1=26025&amp;Condition2="/>
  <Relationship Id="rId123" Type="http://schemas.openxmlformats.org/officeDocument/2006/relationships/hyperlink" TargetMode="External" Target="http://www3.lrs.lt/cgi-bin/preps2?Condition1=37819&amp;Condition2="/>
  <Relationship Id="rId124" Type="http://schemas.openxmlformats.org/officeDocument/2006/relationships/hyperlink" TargetMode="External" Target="http://www3.lrs.lt/cgi-bin/preps2?Condition1=41676&amp;Condition2="/>
  <Relationship Id="rId125" Type="http://schemas.openxmlformats.org/officeDocument/2006/relationships/hyperlink" TargetMode="External" Target="http://www3.lrs.lt/cgi-bin/preps2?Condition1=128873&amp;Condition2="/>
  <Relationship Id="rId126" Type="http://schemas.openxmlformats.org/officeDocument/2006/relationships/hyperlink" TargetMode="External" Target="http://www3.lrs.lt/cgi-bin/preps2?a=206757&amp;b="/>
  <Relationship Id="rId127" Type="http://schemas.openxmlformats.org/officeDocument/2006/relationships/hyperlink" TargetMode="External" Target="http://www3.lrs.lt/cgi-bin/preps2?a=209663&amp;b="/>
  <Relationship Id="rId128" Type="http://schemas.openxmlformats.org/officeDocument/2006/relationships/hyperlink" TargetMode="External" Target="http://www3.lrs.lt/cgi-bin/preps2?a=111555&amp;b="/>
  <Relationship Id="rId129" Type="http://schemas.openxmlformats.org/officeDocument/2006/relationships/hyperlink" TargetMode="External" Target="http://www3.lrs.lt/cgi-bin/preps2?a=163482&amp;b="/>
  <Relationship Id="rId13" Type="http://schemas.openxmlformats.org/officeDocument/2006/relationships/hyperlink" TargetMode="External" Target="http://www3.lrs.lt/cgi-bin/preps2?a=464957&amp;b="/>
  <Relationship Id="rId130" Type="http://schemas.openxmlformats.org/officeDocument/2006/relationships/hyperlink" TargetMode="External" Target="http://www3.lrs.lt/cgi-bin/preps2?a=213881&amp;b="/>
  <Relationship Id="rId131" Type="http://schemas.openxmlformats.org/officeDocument/2006/relationships/hyperlink" TargetMode="External" Target="http://www3.lrs.lt/cgi-bin/preps2?a=227304&amp;b="/>
  <Relationship Id="rId132" Type="http://schemas.openxmlformats.org/officeDocument/2006/relationships/hyperlink" TargetMode="External" Target="http://www3.lrs.lt/cgi-bin/preps2?a=230454&amp;b="/>
  <Relationship Id="rId133" Type="http://schemas.openxmlformats.org/officeDocument/2006/relationships/hyperlink" TargetMode="External" Target="http://www3.lrs.lt/cgi-bin/preps2?a=231828&amp;b="/>
  <Relationship Id="rId134" Type="http://schemas.openxmlformats.org/officeDocument/2006/relationships/hyperlink" TargetMode="External" Target="http://www3.lrs.lt/cgi-bin/preps2?a=231829&amp;b="/>
  <Relationship Id="rId135" Type="http://schemas.openxmlformats.org/officeDocument/2006/relationships/hyperlink" TargetMode="External" Target="http://www3.lrs.lt/cgi-bin/preps2?a=274804&amp;b="/>
  <Relationship Id="rId136" Type="http://schemas.openxmlformats.org/officeDocument/2006/relationships/hyperlink" TargetMode="External" Target="http://www3.lrs.lt/cgi-bin/preps2?a=361205&amp;b="/>
  <Relationship Id="rId137" Type="http://schemas.openxmlformats.org/officeDocument/2006/relationships/hyperlink" TargetMode="External" Target="http://www3.lrs.lt/cgi-bin/preps2?a=396599&amp;b="/>
  <Relationship Id="rId138" Type="http://schemas.openxmlformats.org/officeDocument/2006/relationships/hyperlink" TargetMode="External" Target="http://www3.lrs.lt/cgi-bin/preps2?a=412356&amp;b="/>
  <Relationship Id="rId139" Type="http://schemas.openxmlformats.org/officeDocument/2006/relationships/hyperlink" TargetMode="External" Target="http://www3.lrs.lt/cgi-bin/preps2?a=46495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69641&amp;b="/>
  <Relationship Id="rId141" Type="http://schemas.openxmlformats.org/officeDocument/2006/relationships/hyperlink" TargetMode="External" Target="http://www3.lrs.lt/cgi-bin/preps2?a=478702&amp;b="/>
  <Relationship Id="rId142" Type="http://schemas.openxmlformats.org/officeDocument/2006/relationships/hyperlink" TargetMode="External" Target="http://www3.lrs.lt/cgi-bin/preps2?a=340369&amp;b="/>
  <Relationship Id="rId143" Type="http://schemas.openxmlformats.org/officeDocument/2006/relationships/hyperlink" TargetMode="External" Target="http://www3.lrs.lt/cgi-bin/preps2?a=359889&amp;b="/>
  <Relationship Id="rId144" Type="http://schemas.openxmlformats.org/officeDocument/2006/relationships/hyperlink" TargetMode="External" Target="http://www3.lrs.lt/cgi-bin/preps2?a=361206&amp;b="/>
  <Relationship Id="rId145" Type="http://schemas.openxmlformats.org/officeDocument/2006/relationships/hyperlink" TargetMode="External" Target="http://www3.lrs.lt/cgi-bin/preps2?a=386459&amp;b="/>
  <Relationship Id="rId146" Type="http://schemas.openxmlformats.org/officeDocument/2006/relationships/hyperlink" TargetMode="External" Target="http://www3.lrs.lt/cgi-bin/preps2?a=396597&amp;b="/>
  <Relationship Id="rId147" Type="http://schemas.openxmlformats.org/officeDocument/2006/relationships/hyperlink" TargetMode="External" Target="http://www3.lrs.lt/cgi-bin/preps2?a=412373&amp;b="/>
  <Relationship Id="rId148" Type="http://schemas.openxmlformats.org/officeDocument/2006/relationships/hyperlink" TargetMode="External" Target="http://www3.lrs.lt/cgi-bin/preps2?a=415118&amp;b="/>
  <Relationship Id="rId149" Type="http://schemas.openxmlformats.org/officeDocument/2006/relationships/hyperlink" TargetMode="External" Target="http://www3.lrs.lt/cgi-bin/preps2?a=464957&amp;b="/>
  <Relationship Id="rId15" Type="http://schemas.openxmlformats.org/officeDocument/2006/relationships/hyperlink" TargetMode="External" Target="http://www3.lrs.lt/cgi-bin/preps2?a=412373&amp;b="/>
  <Relationship Id="rId150" Type="http://schemas.openxmlformats.org/officeDocument/2006/relationships/hyperlink" TargetMode="External" Target="http://www3.lrs.lt/cgi-bin/preps2?a=478691&amp;b="/>
  <Relationship Id="rId151" Type="http://schemas.openxmlformats.org/officeDocument/2006/relationships/hyperlink" TargetMode="External" Target="http://www3.lrs.lt/cgi-bin/preps2?a=274804&amp;b="/>
  <Relationship Id="rId152" Type="http://schemas.openxmlformats.org/officeDocument/2006/relationships/hyperlink" TargetMode="External" Target="http://www3.lrs.lt/cgi-bin/preps2?a=478702&amp;b="/>
  <Relationship Id="rId153" Type="http://schemas.openxmlformats.org/officeDocument/2006/relationships/hyperlink" TargetMode="External" Target="http://eur-lex.europa.eu/legal-content/LIT/TXT/?uri=CELEX:32009R1060&amp;locale=lt"/>
  <Relationship Id="rId154" Type="http://schemas.openxmlformats.org/officeDocument/2006/relationships/hyperlink" TargetMode="External" Target="http://eur-lex.europa.eu/legal-content/LIT/TXT/?uri=CELEX:32012R0648&amp;locale=lt"/>
  <Relationship Id="rId155" Type="http://schemas.openxmlformats.org/officeDocument/2006/relationships/hyperlink" TargetMode="External" Target="http://eur-lex.europa.eu/legal-content/LIT/TXT/?uri=CELEX:32014R1286&amp;locale=lt"/>
  <Relationship Id="rId156" Type="http://schemas.openxmlformats.org/officeDocument/2006/relationships/hyperlink" TargetMode="External" Target="http://eur-lex.europa.eu/legal-content/LIT/TXT/?uri=CELEX:32017R1131&amp;locale=lt"/>
  <Relationship Id="rId157" Type="http://schemas.openxmlformats.org/officeDocument/2006/relationships/hyperlink" TargetMode="External" Target="http://eur-lex.europa.eu/legal-content/LIT/TXT/?uri=CELEX:32017R2394&amp;locale=lt"/>
  <Relationship Id="rId158" Type="http://schemas.openxmlformats.org/officeDocument/2006/relationships/hyperlink" TargetMode="External" Target="http://eur-lex.europa.eu/legal-content/LIT/TXT/?uri=CELEX:32019R1238&amp;locale=lt"/>
  <Relationship Id="rId159" Type="http://schemas.openxmlformats.org/officeDocument/2006/relationships/hyperlink" TargetMode="External" Target="http://eur-lex.europa.eu/legal-content/LIT/TXT/?uri=CELEX:32024R3005&amp;locale=lt"/>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eur-lex.europa.eu/legal-content/LIT/TXT/?uri=CELEX:32013R1024&amp;locale=lt"/>
  <Relationship Id="rId161" Type="http://schemas.openxmlformats.org/officeDocument/2006/relationships/hyperlink" TargetMode="External" Target="http://eur-lex.europa.eu/legal-content/LIT/TXT/?uri=CELEX:32024R1620&amp;locale=lt"/>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478691&amp;b="/>
  <Relationship Id="rId166" Type="http://schemas.openxmlformats.org/officeDocument/2006/relationships/hyperlink" TargetMode="External" Target="http://www3.lrs.lt/cgi-bin/preps2?a=230454&amp;b="/>
  <Relationship Id="rId167" Type="http://schemas.openxmlformats.org/officeDocument/2006/relationships/hyperlink" TargetMode="External" Target="http://www3.lrs.lt/cgi-bin/preps2?a=361206&amp;b="/>
  <Relationship Id="rId168" Type="http://schemas.openxmlformats.org/officeDocument/2006/relationships/hyperlink" TargetMode="External" Target="http://www3.lrs.lt/cgi-bin/preps2?a=412373&amp;b="/>
  <Relationship Id="rId169" Type="http://schemas.openxmlformats.org/officeDocument/2006/relationships/hyperlink" TargetMode="External" Target="http://www3.lrs.lt/cgi-bin/preps2?a=274804&amp;b="/>
  <Relationship Id="rId17" Type="http://schemas.openxmlformats.org/officeDocument/2006/relationships/hyperlink" TargetMode="External" Target="http://www3.lrs.lt/cgi-bin/preps2?a=274804&amp;b="/>
  <Relationship Id="rId170" Type="http://schemas.openxmlformats.org/officeDocument/2006/relationships/hyperlink" TargetMode="External" Target="http://eur-lex.europa.eu/legal-content/LIT/TXT/?uri=CELEX:32009R1060&amp;locale=lt"/>
  <Relationship Id="rId171" Type="http://schemas.openxmlformats.org/officeDocument/2006/relationships/hyperlink" TargetMode="External" Target="http://eur-lex.europa.eu/legal-content/LIT/TXT/?uri=CELEX:32023L2869&amp;locale=lt"/>
  <Relationship Id="rId172" Type="http://schemas.openxmlformats.org/officeDocument/2006/relationships/hyperlink" TargetMode="External" Target="http://eur-lex.europa.eu/legal-content/LIT/TXT/?uri=CELEX:32013L0036&amp;locale=lt"/>
  <Relationship Id="rId173" Type="http://schemas.openxmlformats.org/officeDocument/2006/relationships/hyperlink" TargetMode="External" Target="http://eur-lex.europa.eu/legal-content/LIT/TXT/?uri=CELEX:32002L0087&amp;locale=lt"/>
  <Relationship Id="rId174" Type="http://schemas.openxmlformats.org/officeDocument/2006/relationships/hyperlink" TargetMode="External" Target="http://eur-lex.europa.eu/legal-content/LIT/TXT/?uri=CELEX:32006L0048&amp;locale=lt"/>
  <Relationship Id="rId175" Type="http://schemas.openxmlformats.org/officeDocument/2006/relationships/hyperlink" TargetMode="External" Target="http://eur-lex.europa.eu/legal-content/LIT/TXT/?uri=CELEX:32006L0049&amp;locale=lt"/>
  <Relationship Id="rId176" Type="http://schemas.openxmlformats.org/officeDocument/2006/relationships/hyperlink" TargetMode="External" Target="http://eur-lex.europa.eu/legal-content/LIT/TXT/?uri=CELEX:32024L1619&amp;locale=lt"/>
  <Relationship Id="rId177" Type="http://schemas.openxmlformats.org/officeDocument/2006/relationships/hyperlink" TargetMode="External" Target="http://eur-lex.europa.eu/legal-content/LIT/TXT/?uri=CELEX:32014R1286&amp;locale=lt"/>
  <Relationship Id="rId178" Type="http://schemas.openxmlformats.org/officeDocument/2006/relationships/hyperlink" TargetMode="External" Target="http://eur-lex.europa.eu/legal-content/LIT/TXT/?uri=CELEX:32023R2869&amp;locale=lt"/>
  <Relationship Id="rId179" Type="http://schemas.openxmlformats.org/officeDocument/2006/relationships/hyperlink" TargetMode="External" Target="http://eur-lex.europa.eu/legal-content/LIT/TXT/?uri=CELEX:32017R1129&amp;locale=lt"/>
  <Relationship Id="rId18" Type="http://schemas.openxmlformats.org/officeDocument/2006/relationships/hyperlink" TargetMode="External" Target="http://www3.lrs.lt/cgi-bin/preps2?a=412356&amp;b="/>
  <Relationship Id="rId180" Type="http://schemas.openxmlformats.org/officeDocument/2006/relationships/hyperlink" TargetMode="External" Target="http://eur-lex.europa.eu/legal-content/LIT/TXT/?uri=CELEX:32003L0071&amp;locale=lt"/>
  <Relationship Id="rId181" Type="http://schemas.openxmlformats.org/officeDocument/2006/relationships/hyperlink" TargetMode="External" Target="http://eur-lex.europa.eu/legal-content/LIT/TXT/?uri=CELEX:32024R2809&amp;locale=lt"/>
  <Relationship Id="rId182" Type="http://schemas.openxmlformats.org/officeDocument/2006/relationships/hyperlink" TargetMode="External" Target="http://eur-lex.europa.eu/legal-content/LIT/TXT/?uri=CELEX:32017R1131&amp;locale=lt"/>
  <Relationship Id="rId183" Type="http://schemas.openxmlformats.org/officeDocument/2006/relationships/hyperlink" TargetMode="External" Target="http://eur-lex.europa.eu/legal-content/LIT/TXT/?uri=CELEX:32024R2987&amp;locale=lt"/>
  <Relationship Id="rId184" Type="http://schemas.openxmlformats.org/officeDocument/2006/relationships/hyperlink" TargetMode="External" Target="http://eur-lex.europa.eu/legal-content/LIT/TXT/?uri=CELEX:32017R2394&amp;locale=lt"/>
  <Relationship Id="rId185" Type="http://schemas.openxmlformats.org/officeDocument/2006/relationships/hyperlink" TargetMode="External" Target="http://eur-lex.europa.eu/legal-content/LIT/TXT/?uri=CELEX:32004R2006&amp;locale=lt"/>
  <Relationship Id="rId186" Type="http://schemas.openxmlformats.org/officeDocument/2006/relationships/hyperlink" TargetMode="External" Target="http://eur-lex.europa.eu/legal-content/LIT/TXT/?uri=CELEX:32024R3228&amp;locale=lt"/>
  <Relationship Id="rId187" Type="http://schemas.openxmlformats.org/officeDocument/2006/relationships/hyperlink" TargetMode="External" Target="http://eur-lex.europa.eu/legal-content/LIT/TXT/?uri=CELEX:32013R0575&amp;locale=lt"/>
  <Relationship Id="rId188" Type="http://schemas.openxmlformats.org/officeDocument/2006/relationships/hyperlink" TargetMode="External" Target="http://eur-lex.europa.eu/legal-content/LIT/TXT/?uri=CELEX:32014R0600&amp;locale=lt"/>
  <Relationship Id="rId189" Type="http://schemas.openxmlformats.org/officeDocument/2006/relationships/hyperlink" TargetMode="External" Target="http://eur-lex.europa.eu/legal-content/LIT/TXT/?uri=CELEX:32014R0909&amp;locale=lt"/>
  <Relationship Id="rId19" Type="http://schemas.openxmlformats.org/officeDocument/2006/relationships/hyperlink" TargetMode="External" Target="http://www3.lrs.lt/cgi-bin/preps2?a=412373&amp;b="/>
  <Relationship Id="rId190" Type="http://schemas.openxmlformats.org/officeDocument/2006/relationships/hyperlink" TargetMode="External" Target="http://eur-lex.europa.eu/legal-content/LIT/TXT/?uri=CELEX:32014R0596&amp;locale=lt"/>
  <Relationship Id="rId191" Type="http://schemas.openxmlformats.org/officeDocument/2006/relationships/hyperlink" TargetMode="External" Target="http://eur-lex.europa.eu/legal-content/LIT/TXT/?uri=CELEX:32014R1286&amp;locale=lt"/>
  <Relationship Id="rId192" Type="http://schemas.openxmlformats.org/officeDocument/2006/relationships/hyperlink" TargetMode="External" Target="http://eur-lex.europa.eu/legal-content/LIT/TXT/?uri=CELEX:32017R1129&amp;locale=lt"/>
  <Relationship Id="rId193" Type="http://schemas.openxmlformats.org/officeDocument/2006/relationships/hyperlink" TargetMode="External" Target="http://eur-lex.europa.eu/legal-content/LIT/TXT/?uri=CELEX:32019R2033&amp;locale=lt"/>
  <Relationship Id="rId194" Type="http://schemas.openxmlformats.org/officeDocument/2006/relationships/hyperlink" TargetMode="External" Target="http://eur-lex.europa.eu/legal-content/LIT/TXT/?uri=CELEX:32010R1093&amp;locale=lt"/>
  <Relationship Id="rId195" Type="http://schemas.openxmlformats.org/officeDocument/2006/relationships/hyperlink" TargetMode="External" Target="http://eur-lex.europa.eu/legal-content/LIT/TXT/?uri=CELEX:32013R0575&amp;locale=lt"/>
  <Relationship Id="rId196" Type="http://schemas.openxmlformats.org/officeDocument/2006/relationships/hyperlink" TargetMode="External" Target="http://eur-lex.europa.eu/legal-content/LIT/TXT/?uri=CELEX:32014R0600&amp;locale=lt"/>
  <Relationship Id="rId197" Type="http://schemas.openxmlformats.org/officeDocument/2006/relationships/hyperlink" TargetMode="External" Target="http://eur-lex.europa.eu/legal-content/LIT/TXT/?uri=CELEX:32014R0806&amp;locale=lt"/>
  <Relationship Id="rId198" Type="http://schemas.openxmlformats.org/officeDocument/2006/relationships/hyperlink" TargetMode="External" Target="http://eur-lex.europa.eu/legal-content/LIT/TXT/?uri=CELEX:32023R1114&amp;locale=lt"/>
  <Relationship Id="rId199" Type="http://schemas.openxmlformats.org/officeDocument/2006/relationships/hyperlink" TargetMode="External" Target="http://eur-lex.europa.eu/legal-content/LIT/TXT/?uri=CELEX:32019R1238&amp;locale=lt"/>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00" Type="http://schemas.openxmlformats.org/officeDocument/2006/relationships/hyperlink" TargetMode="External" Target="http://eur-lex.europa.eu/legal-content/LIT/TXT/?uri=CELEX:32023R2869&amp;locale=lt"/>
  <Relationship Id="rId201" Type="http://schemas.openxmlformats.org/officeDocument/2006/relationships/hyperlink" TargetMode="External" Target="http://eur-lex.europa.eu/legal-content/LIT/TXT/?uri=CELEX:32023R1114&amp;locale=lt"/>
  <Relationship Id="rId202" Type="http://schemas.openxmlformats.org/officeDocument/2006/relationships/hyperlink" TargetMode="External" Target="http://eur-lex.europa.eu/legal-content/LIT/TXT/?uri=CELEX:32023R1114&amp;locale=lt"/>
  <Relationship Id="rId203" Type="http://schemas.openxmlformats.org/officeDocument/2006/relationships/hyperlink" TargetMode="External" Target="http://eur-lex.europa.eu/legal-content/LIT/TXT/?uri=CELEX:32010R1093&amp;locale=lt"/>
  <Relationship Id="rId204" Type="http://schemas.openxmlformats.org/officeDocument/2006/relationships/hyperlink" TargetMode="External" Target="http://eur-lex.europa.eu/legal-content/LIT/TXT/?uri=CELEX:32010R1095&amp;locale=lt"/>
  <Relationship Id="rId205" Type="http://schemas.openxmlformats.org/officeDocument/2006/relationships/hyperlink" TargetMode="External" Target="http://eur-lex.europa.eu/legal-content/LIT/TXT/?uri=CELEX:32013L0036&amp;locale=lt"/>
  <Relationship Id="rId206" Type="http://schemas.openxmlformats.org/officeDocument/2006/relationships/hyperlink" TargetMode="External" Target="http://eur-lex.europa.eu/legal-content/LIT/TXT/?uri=CELEX:32019L1937&amp;locale=lt"/>
  <Relationship Id="rId207" Type="http://schemas.openxmlformats.org/officeDocument/2006/relationships/hyperlink" TargetMode="External" Target="http://eur-lex.europa.eu/legal-content/LIT/TXT/?uri=CELEX:32023R2869&amp;locale=lt"/>
  <Relationship Id="rId208" Type="http://schemas.openxmlformats.org/officeDocument/2006/relationships/hyperlink" TargetMode="External" Target="http://eur-lex.europa.eu/legal-content/LIT/TXT/?uri=CELEX:32021L2167&amp;locale=lt"/>
  <Relationship Id="rId209" Type="http://schemas.openxmlformats.org/officeDocument/2006/relationships/hyperlink" TargetMode="External" Target="http://eur-lex.europa.eu/legal-content/LIT/TXT/?uri=CELEX:32008L0048&amp;locale=lt"/>
  <Relationship Id="rId21" Type="http://schemas.openxmlformats.org/officeDocument/2006/relationships/hyperlink" TargetMode="External" Target="http://www3.lrs.lt/cgi-bin/preps2?a=274804&amp;b="/>
  <Relationship Id="rId210" Type="http://schemas.openxmlformats.org/officeDocument/2006/relationships/hyperlink" TargetMode="External" Target="http://eur-lex.europa.eu/legal-content/LIT/TXT/?uri=CELEX:32014L0017&amp;locale=lt"/>
  <Relationship Id="rId211" Type="http://schemas.openxmlformats.org/officeDocument/2006/relationships/hyperlink" TargetMode="External" Target="http://eur-lex.europa.eu/legal-content/LIT/TXT/?uri=CELEX:32023R1114&amp;locale=lt"/>
  <Relationship Id="rId212" Type="http://schemas.openxmlformats.org/officeDocument/2006/relationships/hyperlink" TargetMode="External" Target="http://eur-lex.europa.eu/legal-content/LIT/TXT/?uri=CELEX:32023R1114&amp;locale=lt"/>
  <Relationship Id="rId213" Type="http://schemas.openxmlformats.org/officeDocument/2006/relationships/hyperlink" TargetMode="External" Target="http://eur-lex.europa.eu/legal-content/LIT/TXT/?uri=CELEX:32022R2554&amp;locale=lt"/>
  <Relationship Id="rId214" Type="http://schemas.openxmlformats.org/officeDocument/2006/relationships/hyperlink" TargetMode="External" Target="http://eur-lex.europa.eu/legal-content/LIT/TXT/?uri=CELEX:32022R2554&amp;locale=lt"/>
  <Relationship Id="rId215" Type="http://schemas.openxmlformats.org/officeDocument/2006/relationships/hyperlink" TargetMode="External" Target="http://eur-lex.europa.eu/legal-content/LIT/TXT/?uri=CELEX:32009R1060&amp;locale=lt"/>
  <Relationship Id="rId216" Type="http://schemas.openxmlformats.org/officeDocument/2006/relationships/hyperlink" TargetMode="External" Target="http://eur-lex.europa.eu/legal-content/LIT/TXT/?uri=CELEX:32012R0648&amp;locale=lt"/>
  <Relationship Id="rId217" Type="http://schemas.openxmlformats.org/officeDocument/2006/relationships/hyperlink" TargetMode="External" Target="http://eur-lex.europa.eu/legal-content/LIT/TXT/?uri=CELEX:32014R0600&amp;locale=lt"/>
  <Relationship Id="rId218" Type="http://schemas.openxmlformats.org/officeDocument/2006/relationships/hyperlink" TargetMode="External" Target="http://eur-lex.europa.eu/legal-content/LIT/TXT/?uri=CELEX:32014R0909&amp;locale=lt"/>
  <Relationship Id="rId219" Type="http://schemas.openxmlformats.org/officeDocument/2006/relationships/hyperlink" TargetMode="External" Target="http://eur-lex.europa.eu/legal-content/LIT/TXT/?uri=CELEX:32016R1011&amp;locale=lt"/>
  <Relationship Id="rId22" Type="http://schemas.openxmlformats.org/officeDocument/2006/relationships/hyperlink" TargetMode="External" Target="http://www3.lrs.lt/cgi-bin/preps2?a=412356&amp;b="/>
  <Relationship Id="rId220" Type="http://schemas.openxmlformats.org/officeDocument/2006/relationships/hyperlink" TargetMode="External" Target="http://eur-lex.europa.eu/legal-content/LIT/TXT/?uri=CELEX:32024R1620&amp;locale=lt"/>
  <Relationship Id="rId221" Type="http://schemas.openxmlformats.org/officeDocument/2006/relationships/hyperlink" TargetMode="External" Target="http://eur-lex.europa.eu/legal-content/LIT/TXT/?uri=CELEX:32023R2859&amp;locale=lt"/>
  <Relationship Id="rId222" Type="http://schemas.openxmlformats.org/officeDocument/2006/relationships/hyperlink" TargetMode="External" Target="http://eur-lex.europa.eu/legal-content/LIT/TXT/?uri=CELEX:32019R2088&amp;locale=lt"/>
  <Relationship Id="rId223" Type="http://schemas.openxmlformats.org/officeDocument/2006/relationships/hyperlink" TargetMode="External" Target="http://eur-lex.europa.eu/legal-content/LIT/TXT/?uri=CELEX:32023R2869&amp;locale=lt"/>
  <Relationship Id="rId224" Type="http://schemas.openxmlformats.org/officeDocument/2006/relationships/hyperlink" TargetMode="External" Target="http://eur-lex.europa.eu/legal-content/LIT/TXT/?uri=CELEX:32024R3005&amp;locale=lt"/>
  <Relationship Id="rId225" Type="http://schemas.openxmlformats.org/officeDocument/2006/relationships/hyperlink" TargetMode="External" Target="http://eur-lex.europa.eu/legal-content/LIT/TXT/?uri=CELEX:32019R2088&amp;locale=lt"/>
  <Relationship Id="rId226" Type="http://schemas.openxmlformats.org/officeDocument/2006/relationships/hyperlink" TargetMode="External" Target="http://eur-lex.europa.eu/legal-content/LIT/TXT/?uri=CELEX:32023R2859&amp;locale=lt"/>
  <Relationship Id="rId227" Type="http://schemas.openxmlformats.org/officeDocument/2006/relationships/hyperlink" TargetMode="External" Target="http://eur-lex.europa.eu/legal-content/LIT/TXT/?uri=CELEX:32019R2088&amp;locale=lt"/>
  <Relationship Id="rId228" Type="http://schemas.openxmlformats.org/officeDocument/2006/relationships/hyperlink" TargetMode="External" Target="http://eur-lex.europa.eu/legal-content/LIT/TXT/?uri=CELEX:32023R2859&amp;locale=lt"/>
  <Relationship Id="rId229" Type="http://schemas.openxmlformats.org/officeDocument/2006/relationships/customXml" Target="../customXml/item2.xml"/>
  <Relationship Id="rId23" Type="http://schemas.openxmlformats.org/officeDocument/2006/relationships/hyperlink" TargetMode="External" Target="http://www3.lrs.lt/cgi-bin/preps2?a=213881&amp;b="/>
  <Relationship Id="rId24" Type="http://schemas.openxmlformats.org/officeDocument/2006/relationships/hyperlink" TargetMode="External" Target="http://www3.lrs.lt/cgi-bin/preps2?a=23045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361205&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78702&amp;b="/>
  <Relationship Id="rId29" Type="http://schemas.openxmlformats.org/officeDocument/2006/relationships/hyperlink" TargetMode="External" Target="http://www3.lrs.lt/cgi-bin/preps2?a=361206&amp;b="/>
  <Relationship Id="rId3" Type="http://schemas.openxmlformats.org/officeDocument/2006/relationships/fontTable" Target="fontTable.xml"/>
  <Relationship Id="rId30" Type="http://schemas.openxmlformats.org/officeDocument/2006/relationships/hyperlink" TargetMode="External" Target="http://www3.lrs.lt/cgi-bin/preps2?a=412373&amp;b="/>
  <Relationship Id="rId31" Type="http://schemas.openxmlformats.org/officeDocument/2006/relationships/hyperlink" TargetMode="External" Target="http://eur-lex.europa.eu/legal-content/LIT/TXT/?uri=CELEX:32013R1024&amp;locale=lt"/>
  <Relationship Id="rId32" Type="http://schemas.openxmlformats.org/officeDocument/2006/relationships/hyperlink" TargetMode="External" Target="http://eur-lex.europa.eu/legal-content/LIT/TXT/?uri=CELEX:32024R1620&amp;locale=lt"/>
  <Relationship Id="rId33" Type="http://schemas.openxmlformats.org/officeDocument/2006/relationships/hyperlink" TargetMode="External" Target="http://eur-lex.europa.eu/legal-content/LIT/TXT/?uri=CELEX:32013R1024&amp;locale=lt"/>
  <Relationship Id="rId34" Type="http://schemas.openxmlformats.org/officeDocument/2006/relationships/hyperlink" TargetMode="External" Target="http://www3.lrs.lt/cgi-bin/preps2?a=227304&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230454&amp;b="/>
  <Relationship Id="rId4" Type="http://schemas.openxmlformats.org/officeDocument/2006/relationships/footnotes" Target="footnotes.xml"/>
  <Relationship Id="rId40" Type="http://schemas.openxmlformats.org/officeDocument/2006/relationships/hyperlink" TargetMode="External" Target="http://www3.lrs.lt/cgi-bin/preps2?a=274804&amp;b="/>
  <Relationship Id="rId41" Type="http://schemas.openxmlformats.org/officeDocument/2006/relationships/hyperlink" TargetMode="External" Target="http://www3.lrs.lt/cgi-bin/preps2?a=396599&amp;b="/>
  <Relationship Id="rId42" Type="http://schemas.openxmlformats.org/officeDocument/2006/relationships/hyperlink" TargetMode="External" Target="http://www3.lrs.lt/cgi-bin/preps2?a=412356&amp;b="/>
  <Relationship Id="rId43" Type="http://schemas.openxmlformats.org/officeDocument/2006/relationships/hyperlink" TargetMode="External" Target="http://www3.lrs.lt/cgi-bin/preps2?a=478702&amp;b="/>
  <Relationship Id="rId44" Type="http://schemas.openxmlformats.org/officeDocument/2006/relationships/hyperlink" TargetMode="External" Target="http://www3.lrs.lt/cgi-bin/preps2?a=340369&amp;b="/>
  <Relationship Id="rId45" Type="http://schemas.openxmlformats.org/officeDocument/2006/relationships/hyperlink" TargetMode="External" Target="http://www3.lrs.lt/cgi-bin/preps2?a=361206&amp;b="/>
  <Relationship Id="rId46" Type="http://schemas.openxmlformats.org/officeDocument/2006/relationships/hyperlink" TargetMode="External" Target="http://www3.lrs.lt/cgi-bin/preps2?a=396597&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eur-lex.europa.eu/legal-content/LIT/TXT/?uri=CELEX:32013R1024&amp;locale=lt"/>
  <Relationship Id="rId49" Type="http://schemas.openxmlformats.org/officeDocument/2006/relationships/hyperlink" TargetMode="External" Target="http://eur-lex.europa.eu/legal-content/LIT/TXT/?uri=CELEX:32024R1620&amp;locale=lt"/>
  <Relationship Id="rId5" Type="http://schemas.openxmlformats.org/officeDocument/2006/relationships/settings" Target="settings.xml"/>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274804&amp;b="/>
  <Relationship Id="rId52" Type="http://schemas.openxmlformats.org/officeDocument/2006/relationships/hyperlink" TargetMode="External" Target="http://www3.lrs.lt/cgi-bin/preps2?a=412373&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274804&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386459&amp;b="/>
  <Relationship Id="rId6" Type="http://schemas.openxmlformats.org/officeDocument/2006/relationships/styles" Target="styles.xml"/>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748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74804&amp;b="/>
  <Relationship Id="rId7" Type="http://schemas.openxmlformats.org/officeDocument/2006/relationships/theme" Target="theme/theme1.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webSettings" Target="webSetting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412373&amp;b="/>
  <Relationship Id="rId9" Type="http://schemas.openxmlformats.org/officeDocument/2006/relationships/hyperlink" TargetMode="External" Target="http://www3.lrs.lt/cgi-bin/preps2?Condition1=128873&amp;Condition2="/>
  <Relationship Id="rId90" Type="http://schemas.openxmlformats.org/officeDocument/2006/relationships/hyperlink" TargetMode="External" Target="http://www3.lrs.lt/cgi-bin/preps2?a=361206&amp;b="/>
  <Relationship Id="rId91" Type="http://schemas.openxmlformats.org/officeDocument/2006/relationships/hyperlink" TargetMode="External" Target="http://www3.lrs.lt/cgi-bin/preps2?a=412373&amp;b="/>
  <Relationship Id="rId92" Type="http://schemas.openxmlformats.org/officeDocument/2006/relationships/hyperlink" TargetMode="External" Target="http://www3.lrs.lt/cgi-bin/preps2?a=230454&amp;b="/>
  <Relationship Id="rId93" Type="http://schemas.openxmlformats.org/officeDocument/2006/relationships/hyperlink" TargetMode="External" Target="http://www3.lrs.lt/cgi-bin/preps2?a=361206&amp;b="/>
  <Relationship Id="rId94" Type="http://schemas.openxmlformats.org/officeDocument/2006/relationships/hyperlink" TargetMode="External" Target="http://www3.lrs.lt/cgi-bin/preps2?a=412373&amp;b="/>
  <Relationship Id="rId95" Type="http://schemas.openxmlformats.org/officeDocument/2006/relationships/hyperlink" TargetMode="External" Target="http://www3.lrs.lt/cgi-bin/preps2?a=227304&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ab6e3d7a6b924bb2ac36985df993a47a">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17d336ab6ab045f4a05c039726755382"/>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9105738d173846f6b386d12149d1d150"/>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b3a8af089a72405cb011e673b6c7a254">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d29758063abc43a09c409fa6a97ababd"/>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888ac420261447f8bb6543ef082eff2a">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Type="strDalis" Nr="5" Abbr="5 d." DocPartId="8ec3648d9f3848bc93253be931236f73" PartId="caf75442a57e441ba752e31d7476abc8"/>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809f379eaf6e4e66a067cf341eb58c46">
        <Part Type="strDalis" Nr="1" Abbr="16 str. 1 d." DocPartId="06106d21057f4f29be059b3a5e675799" PartId="df7d5fb753ec49dfa67d9739ce0009c8"/>
        <Part Type="strDalis" Nr="2" Abbr="16 str. 2 d." DocPartId="5b64c629b97f4c5cbeabef8487d1e26e" PartId="770bdd44249f4ecdaa3dbca29c9be304"/>
        <Part Type="strDalis" Nr="3" Abbr="3 d." DocPartId="fbcaeb375ef24d789d7347d4d866a6a1" PartId="22ac9b281cd9481ca67f55a5e98676a7">
          <Part Type="strPunktas" Nr="1" Abbr="3 d. 1 p." DocPartId="67671930c2cb4c28ad3b04e654f8fadb" PartId="87555d8180ed43a3a6fa0e8a06cc28b9"/>
          <Part Type="strPunktas" Nr="2" Abbr="3 d. 2 p." DocPartId="add97aea17fd4fef84d78ea4b0be1a95" PartId="a01a4d4280dd462c9f94c2498d0e5667"/>
          <Part Type="strPunktas" Nr="3" Abbr="3 d. 3 p." DocPartId="ede2ce70a6654994946339c344dabf7a" PartId="7a33ca5c9c264d818e776e55454b27b6"/>
        </Part>
        <Part Type="strDalis" Nr="4" Abbr="4 d." DocPartId="bd3d4028cdbf4207bb932083a9f28e4c" PartId="2f5e3a692de34fb487e824bf965d7648"/>
        <Part Type="strDalis" Nr="5" Abbr="5 d." DocPartId="c0daeb6efc3b439cb35acba9b1f7e4f8" PartId="8ee599634f2040a98e79674fcffaf10c"/>
        <Part Type="strDalis" Nr="6" Abbr="16 str. 6 d." DocPartId="26ce28badc864a64a1fa95386acbf0d6" PartId="8ba8937aab584cdaa85a625fd59ac816"/>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92179c036f8940f39af86cd8b21b5bc0"/>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43cb1edcb4074c529fe9d78f2c912029">
        <Part Type="strDalis" Nr="1" Abbr="1 d." DocPartId="548b1a007df34434a0c5cfa9328f2a38" PartId="0e46229fb20c4a419f01b558e63144e7"/>
        <Part Type="strDalis" Nr="2" Abbr="2 d." DocPartId="f14bb3e3b809463c80fd04d8d46a1bee" PartId="33bdf25d66dc4549b7f4ae6ad14a39e7"/>
      </Part>
      <Part Type="straipsnis" Nr="18-2" Abbr="18-2 str." Title="Lietuvos banko tarnautojų veiklos apribojimai pasibaigus tarnybai Lietuvos banke" DocPartId="0c018ff6ccf148e3b199ab11e34638b8" PartId="cff3a1f077c44b8abb9e26405b22bafe">
        <Part Type="strDalis" Nr="1" Abbr="18-2 str. 1 d." DocPartId="34ad74b2a29b4663bd2c155cc7457f37" PartId="ee37560dc7944f07b652282b03f95308"/>
        <Part Type="strDalis" Nr="2" Abbr="18-2 str. 2 d." DocPartId="0d61d9aa7fbb4e11aab041f8c809a84f" PartId="3d2bf39f36d54437a2ad8d071a787c00">
          <Part Type="strPunktas" Nr="1" Abbr="18-2 str. 2 d. 1 p." DocPartId="f5fb590a6bf4434b8787d1ecb8b72d0f" PartId="3a93cc236a994d76a163a9a4ab85496c"/>
          <Part Type="strPunktas" Nr="2" Abbr="18-2 str. 2 d. 2 p." DocPartId="6bbf290fffcd495aaaab8fd3ff8e74a5" PartId="71ee7905a4024bd2aabae767729711d7"/>
          <Part Type="strPunktas" Nr="3" Abbr="18-2 str. 2 d. 3 p." DocPartId="7201a22a9e3e4fb8887dd79186bdfa89" PartId="453dcf47a40e4e149dfbcd67a71bc941"/>
        </Part>
        <Part Type="strDalis" Nr="3" Abbr="18-2 str. 3 d." DocPartId="72e610294a3e4beca19782f034499fb8" PartId="bbbc371f505d4a269e5c382b4dd718b2">
          <Part Type="strPunktas" Nr="1" Abbr="18-2 str. 3 d. 1 p." DocPartId="9e2d3db0ef814b569b77c728293994ce" PartId="ec427423710b47f9a0522032d8a8bd9e"/>
          <Part Type="strPunktas" Nr="2" Abbr="18-2 str. 3 d. 2 p." DocPartId="d3cdcb3884d047dcb50e9492e0487c28" PartId="d9d5ef132bb14c43b744f654459289b1"/>
          <Part Type="strPunktas" Nr="3" Abbr="18-2 str. 3 d. 3 p." DocPartId="8c4dc8316f764789be10a5e34f56e816" PartId="3e35c53e89964c7a95efc8b44879c1bb"/>
        </Part>
        <Part Type="strDalis" Nr="4" Abbr="18-2 str. 4 d." DocPartId="582b98495a584cec886bf670bd6cd91d" PartId="7db10171befe4aff957266497a4dea00"/>
        <Part Type="strDalis" Nr="5" Abbr="18-2 str. 5 d." DocPartId="aa76ce0fc79c4fd4b5035ffc333b4a75" PartId="c6f79d3f245e462faddd4394bcd3e3c3"/>
      </Part>
      <Part Type="straipsnis" Nr="18-3" Abbr="18-3 str." Title="Lietuvos banko tarnautojų veiklos apribojimų pasibaigus tarnybai Lietuvos banke išimtys" DocPartId="efbaa1eee2c54004bbd0121b14680490" PartId="7671102497ae44a4a056cac78300cdc6">
        <Part Type="strDalis" Nr="1" Abbr="18-3 str. 1 d." DocPartId="62ff6f7efede48efaee654acd1427c9a" PartId="99c1192b35f748268451bfefff8c4700"/>
      </Part>
      <Part Type="straipsnis" Nr="18-4" Abbr="18-4 str." Title="Lietuvos banko tarnautojų teisė į kompensaciją pasibaigus tarnybai Lietuvos banke" DocPartId="8901af13d6364f98a620ec182af2dbb8" PartId="1422c9c8aa464746aa30cecb32410a41">
        <Part Type="strDalis" Nr="1" Abbr="18-4 str. 1 d." DocPartId="6cd4f5d0a3de47178e5571287c0e40e3" PartId="b1f15743b5a045ad8f70e0db58f0a996"/>
        <Part Type="strDalis" Nr="2" Abbr="18-4 str. 2 d." DocPartId="064d5ac7a69f462b8ab6bdac993361bf" PartId="9c600507293d4ac89920d029cdbc5394"/>
      </Part>
      <Part Type="straipsnis" Nr="19" Abbr="19 str." Title="Pareiga saugoti paslaptis" DocPartId="10eb265bd70a467d8232845c96aa8f63" PartId="ed6e78e45fdb4c8bbd8e0826d1146261">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b495ea5f71c74e5488edc239acb7a64b">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7487763b72b44790bde0a48d61f73af7">
        <Part Type="strDalis" Nr="1" Abbr="23 str. 1 d." DocPartId="21abd271e89b476abf2f1a36eca5e8aa" PartId="ebf7c04a01a44b7d8d865a38c4137945"/>
        <Part Type="strDalis" Nr="2" Abbr="23 str. 2 d." DocPartId="c0cc6662b5494b7ea9038bc306a48c82" PartId="67656bb77a754124a62aff07c36526b8"/>
        <Part Type="strDalis" Nr="3" Abbr="23 str. 3 d." DocPartId="e43d25422de643b1b548a5905105d7f7" PartId="93866160eba54ba3b13496549ff33f20">
          <Part Type="strPunktas" Nr="1" Abbr="23 str. 3 d. 1 p." DocPartId="754eea5bb8cd4f999c11d121446615f6" PartId="49ebc5a398f0401baaaf42e7b805e78b"/>
          <Part Type="strPunktas" Nr="2" Abbr="23 str. 3 d. 2 p." DocPartId="83c72dd3c2fa47c9b34c43b23ae5518e" PartId="84fad8ec0d9f4bc287c54152499a7023"/>
          <Part Type="strPunktas" Nr="3" Abbr="23 str. 3 d. 3 p." DocPartId="112c80cd82e0429590e594d73d17f869" PartId="9999958c0c08420194340d6073422472"/>
          <Part Type="strPunktas" Nr="4" Abbr="23 str. 3 d. 4 p." DocPartId="58ef79e31ebc4ff5a5c1dbaf399525c3" PartId="0246834eec45468288a510d127a1f9d3"/>
        </Part>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6f1e3a076ab41daa162a4b17f030209"/>
        <Part Type="strDalis" Nr="2" Abbr="42 str. 2 d." DocPartId="c7009312ed4446af8963ebab66c916b0" PartId="31b1da8f8a8749419990128679c49e31">
          <Part Type="strPunktas" Nr="1" Abbr="42 str. 2 d. 1 p." DocPartId="95994358b18a4dc6a7ba4c7c9c75bf41" PartId="725a7997be744c26978fff2551e00032"/>
          <Part Type="strPunktas" Nr="2" Abbr="42 str. 2 d. 2 p." DocPartId="878c57960cae40b2af0c8f5de9211732" PartId="80726d0f3b4e4792babf25bdaea0c8dd"/>
          <Part Type="strPunktas" Nr="3" Abbr="42 str. 2 d. 3 p." DocPartId="77ebd4ca67d64668814cd2cc2afd3e64" PartId="7ebd56905eb9460596297b10271d3d26"/>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eb77643b0675464b8464cec703268a70"/>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42 str. 2 d. 17 p." DocPartId="d34ae8cf3adb4f2cb83f4be185a41ce1" PartId="fa8636ea9763414da6fdcd96f2b9b2c7"/>
          <Part Type="strPunktas" Nr="18" Abbr="18 p." DocPartId="10c0805ed4154e1ba3ed431dd9812e1b" PartId="6fc52758489d4f73b3a3a99c2b46097c"/>
          <Part Type="strPunktas" Nr="19" Abbr="19 p." DocPartId="3a84b9ed2eb441a5be86002178c869eb" PartId="257610ec95734fd5b756844f3f0d42e1"/>
        </Part>
        <Part Type="strDalis" Nr="3" Abbr="42 str. 3 d." DocPartId="9473c0a23a274fc989ed1c50f6c32f5c" PartId="97fee8b44222468d8c8da6c5fcc52d3c"/>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Type="strDalis" Nr="14" Abbr="14 d." DocPartId="7a44a3cb1b2343cea0ff9a8f72efd459" PartId="856f5f9e99b04fe889ce958928166848"/>
        <Part Type="strDalis" Nr="15" Abbr="15 d." DocPartId="08d8703befc74737bc94bc18bc6e7126" PartId="1dfe240d53594596966ea1f2dc04a217"/>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ba09f0292a94c3d967703c32fa52d45"/>
          <Part Type="strPunktas" Nr="7" Abbr="42-1 str. 5 d. 7 p." DocPartId="f392578d3eac492086213cc2aba414f7" PartId="4aa64a0088a4453eb032e2a16fbdcfac"/>
          <Part Type="strPunktas" Nr="7-1" Abbr="7-1 p." DocPartId="31a78cb7d9bf45ea9e793b3d8f7bd83d" PartId="1abecb35bd3745cdbe60c700a0398619"/>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8009cf5168c046098109d45d5f3227bb"/>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Type="strPunktas" Nr="22" Abbr="22 p." DocPartId="83dd92c94dfd43059ebcce972fd6f16b" PartId="03e57e2a85cb43fcb19ca7e1b716b97f"/>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Type="strDalis" Nr="18" Abbr="18 d." DocPartId="dadac3a2f57c4967819eaff5ba1c4d9f" PartId="ce33051987604cd9b2e5bd4b1e2e448a"/>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543108a45d16485188b620e6d3240442"/>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5a1dd90099204943a281b77b35b407ff">
        <Part Type="strDalis" Nr="1" Abbr="46 str. 1 d." DocPartId="c8e60cb1dcdf4fd78648a8af00ebb5e0" PartId="b2c07b92d08f4b10986f38eaf252ee64"/>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a6b03480db0c41d69e609cbec8def78d"/>
          <Part Type="strPunktas" Nr="6" Abbr="6 p." DocPartId="6e2ee453a4684de7bfab7b314742744a" PartId="dabb50b397064d5a8d88f0bbf48e2432"/>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cc92eb3806084274ac19a0edddae0280">
        <Part Type="strDalis" Nr="1" Abbr="47-4 str. 1 d." DocPartId="5de8169601af43a5b1ba42c0f28a6200" PartId="63df44b774fa49fcb1073a4a95187c8f"/>
        <Part Type="strDalis" Nr="2" Abbr="47-4 str. 2 d." DocPartId="a3d61447b8e5475c97006c303eb51a5c" PartId="fdb9ce3fc25749e390822d2d1a0fb385"/>
        <Part Type="strDalis" Nr="3" Abbr="47-4 str. 3 d." DocPartId="7a6e22c25ce24c21bd20194d7379e3e2" PartId="da9110bd34914cd58c043518a544985e"/>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982651c51eff4a809587f914878ce0bb">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13e2761d99764b729211bc11aa2c8f9b">
        <Part Type="strDalis" Nr="1" Abbr="51 str. 1 d." DocPartId="ba12cf56af434c4fa3def57e1d28c901" PartId="aea509ee92e840bd817c246bb2b48c7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800991e50ef74df5a847e9c7dc7233b6">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12df55e3e94842e0b489a9a979b8f175"/>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d481935ae21e4dc486b99a15e4b8fdb7"/>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6b969a77249c4295bd9fd0b5a78dd150"/>
    <Part Type="punktas" Nr="13" Abbr="3 pr. 13 p." DocPartId="c61f2ccbf339409888f16df773b962eb" PartId="594f0486d22e4695b90cbfa18f4ad5c3"/>
    <Part Type="punktas" Nr="14" Abbr="3 pr. 14 p." DocPartId="59efda70931b41d5990ea0937d0e9eb3" PartId="1022a84d0fc94d93bbfb5009902e0556"/>
    <Part Type="punktas" Nr="15" Abbr="3 pr. 15 p." DocPartId="589e27361c194706b9f2e4f70aab9b8a" PartId="60780b7d633b4aa38cd5feeab826242e"/>
    <Part Type="punktas" Nr="16" Abbr="3 pr. 16 p." DocPartId="8eb8ee211e3f49328158fa6de059e401" PartId="8619f0240e604c8ea6a845dac46bbe54"/>
    <Part Type="punktas" Nr="17" Abbr="3 pr. 17 p." DocPartId="6ad9ff07a8a94f92a507d95ebd3ad339" PartId="8ba87b98d82d417c879c52bf4c395943"/>
    <Part Type="punktas" Nr="18" Abbr="18 p." DocPartId="405e7ef5d49045fba2f2eee9b0a40f08" PartId="e6dfc9f996ed4ef4b652787820f364d2"/>
    <Part Type="punktas" Nr="19" Abbr="3 pr. 19 p." DocPartId="1886804c1e7544ce82015b2d5225e95e" PartId="33a7abc0a5f04f29bf5cd1b1cd97d4a6"/>
    <Part Type="punktas" Nr="20" Abbr="3 pr. 20 p." DocPartId="26ff2807ee3e40bf97858c86e9ef0a35" PartId="ff1a15beb96a45778ffda35b1d3758d8"/>
    <Part Type="punktas" Nr="20-1" Abbr="20-1 p." DocPartId="ec525dce3dcf4bc185256d44134dbbe0" PartId="19e89623da59464a8432e628003af300"/>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punktas" Nr="23-1" DocPartId="96932873f94a4967af132b042e18dee5" PartId="2d79518cf2df490f91cea02c3b8cbd57"/>
    <Part Type="strDalis" Nr="24" Abbr="3 pr. 24 d." DocPartId="2fbd6bb709aa4b0a9c84823b16609c2f" PartId="b598b9e9427447fda64bde6b2f8b468a"/>
    <Part Type="punktas" Nr="25" Abbr="3 pr. 25 p." DocPartId="09d002297d84460ebf49c16c4fbc9dfc" PartId="2b4ee420047e442880c6a11443d3dc83"/>
    <Part Type="punktas" Nr="26" Abbr="26 p." DocPartId="db932148347c425eb6870ef70cd54879" PartId="d51ab5609f8f4cfd8178c43b32e82d96"/>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customXml/itemProps2.xml><?xml version="1.0" encoding="utf-8"?>
<ds:datastoreItem xmlns:ds="http://schemas.openxmlformats.org/officeDocument/2006/customXml" ds:itemID="{CA946434-547F-4AB6-9C54-BD10E9B644E4}">
  <ds:schemaRefs>
    <ds:schemaRef ds:uri="http://lrs.lt/TAIS/DocParts"/>
  </ds:schemaRefs>
</ds:datastoreItem>
</file>

<file path=customXml/itemProps3.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186</TotalTime>
  <Pages>43</Pages>
  <Words>116187</Words>
  <Characters>66227</Characters>
  <Application>Microsoft Office Word</Application>
  <DocSecurity>0</DocSecurity>
  <Lines>551</Lines>
  <Paragraphs>364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182050</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GRUNDAITĖ Aistė</lastModifiedBy>
  <dcterms:modified xsi:type="dcterms:W3CDTF">2026-05-05T06:53:00Z</dcterms:modified>
  <revision>76</revision>
  <dc:title>Neoficialus ?statymo tekstas</dc:title>
</coreProperties>
</file>