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2015-12-04 iki 2015-12-31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0"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3"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4"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725fef77b6914b63b78fc1125c7bbc39"/>
                    <w:lock w:val="sdtLocked"/>
                    <w:richText/>
                  </w:sdtPr>
                  <w:sdtContent>
                    <w:p>
                      <w:pPr>
                        <w:ind w:firstLine="720"/>
                        <w:jc w:val="both"/>
                        <w:rPr>
                          <w:sz w:val="22"/>
                        </w:rPr>
                      </w:pPr>
                      <w:sdt>
                        <w:sdtPr>
                          <w:alias w:val="Numeris"/>
                          <w:tag w:val="nr_725fef77b6914b63b78fc1125c7bbc39"/>
                          <w:lock w:val="sdtLocked"/>
                          <w:richText/>
                        </w:sdtPr>
                        <w:sdtContent>
                          <w:r>
                            <w:rPr>
                              <w:sz w:val="22"/>
                            </w:rPr>
                            <w:t>3</w:t>
                          </w:r>
                        </w:sdtContent>
                      </w:sdt>
                      <w:r>
                        <w:rPr>
                          <w:sz w:val="22"/>
                        </w:rPr>
                        <w:t>. Lietuvos banko buveinė yra Vilniuje, Gedimino pr. 6.</w:t>
                      </w:r>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5"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16"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611ed4d00e7845e38f9f3677026c407e"/>
                <w:lock w:val="sdtLocked"/>
                <w:richText/>
              </w:sdtPr>
              <w:sdtContent>
                <w:p>
                  <w:pPr>
                    <w:ind w:firstLine="720"/>
                    <w:jc w:val="both"/>
                    <w:rPr>
                      <w:b/>
                      <w:bCs/>
                      <w:sz w:val="22"/>
                    </w:rPr>
                  </w:pPr>
                  <w:sdt>
                    <w:sdtPr>
                      <w:alias w:val="Numeris"/>
                      <w:tag w:val="nr_611ed4d00e7845e38f9f3677026c407e"/>
                      <w:lock w:val="sdtLocked"/>
                      <w:richText/>
                    </w:sdtPr>
                    <w:sdtContent>
                      <w:r>
                        <w:rPr>
                          <w:b/>
                          <w:bCs/>
                          <w:sz w:val="22"/>
                        </w:rPr>
                        <w:t>6</w:t>
                      </w:r>
                    </w:sdtContent>
                  </w:sdt>
                  <w:r>
                    <w:rPr>
                      <w:b/>
                      <w:bCs/>
                      <w:sz w:val="22"/>
                    </w:rPr>
                    <w:t xml:space="preserve"> straipsnis. </w:t>
                  </w:r>
                  <w:sdt>
                    <w:sdtPr>
                      <w:alias w:val="Pavadinimas"/>
                      <w:tag w:val="title_611ed4d00e7845e38f9f3677026c407e"/>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5a2d6bc977154141a586b2be9c690f19"/>
                    <w:lock w:val="sdtLocked"/>
                    <w:richText/>
                  </w:sdtPr>
                  <w:sdtContent>
                    <w:p>
                      <w:pPr>
                        <w:ind w:firstLine="720"/>
                        <w:jc w:val="both"/>
                      </w:pPr>
                      <w:sdt>
                        <w:sdtPr>
                          <w:alias w:val="Numeris"/>
                          <w:tag w:val="nr_5a2d6bc977154141a586b2be9c690f19"/>
                          <w:lock w:val="sdtLocked"/>
                          <w:richText/>
                        </w:sdtPr>
                        <w:sdtContent>
                          <w:r>
                            <w:rPr>
                              <w:bCs/>
                              <w:color w:val="000000"/>
                              <w:sz w:val="22"/>
                              <w:szCs w:val="22"/>
                            </w:rPr>
                            <w:t>3</w:t>
                          </w:r>
                        </w:sdtContent>
                      </w:sdt>
                      <w:r>
                        <w:rPr>
                          <w:bCs/>
                          <w:color w:val="000000"/>
                          <w:sz w:val="22"/>
                          <w:szCs w:val="22"/>
                        </w:rPr>
                        <w:t xml:space="preserve">. Lietuvos bankas nustato kredito ir mokėjimo įstaigoms ir kitiems ūkio subjektams, kurie verčiasi banknotų ir monetų gavimu, tvarkymu ir jų pakartotiniu išleidimu į apyvartą, Lietuvos Respublikos pinigų ir Europos Sąjungos bendros valiutos banknotų ir monetų autentiškumo tikrinimo bei jų padirbinių </w:t>
                      </w:r>
                      <w:r>
                        <w:rPr>
                          <w:sz w:val="22"/>
                          <w:szCs w:val="22"/>
                          <w:lang w:eastAsia="lt-LT"/>
                        </w:rPr>
                        <w:t>aptikimo užtikrinimo reikalavimus</w:t>
                      </w:r>
                      <w:r>
                        <w:rPr>
                          <w:bCs/>
                          <w:color w:val="000000"/>
                          <w:sz w:val="22"/>
                          <w:szCs w:val="22"/>
                        </w:rPr>
                        <w:t xml:space="preserve"> ir prižiūri, kaip šie reikalavimai vykdomi.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9"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3"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697600893ce943b1b3b73837ce516d26"/>
                        <w:lock w:val="sdtLocked"/>
                        <w:richText/>
                      </w:sdtPr>
                      <w:sdtContent>
                        <w:p>
                          <w:pPr>
                            <w:ind w:firstLine="720"/>
                            <w:jc w:val="both"/>
                            <w:rPr>
                              <w:bCs/>
                              <w:sz w:val="22"/>
                              <w:szCs w:val="22"/>
                              <w:lang w:eastAsia="lt-LT"/>
                            </w:rPr>
                          </w:pPr>
                          <w:sdt>
                            <w:sdtPr>
                              <w:alias w:val="Numeris"/>
                              <w:tag w:val="nr_697600893ce943b1b3b73837ce516d26"/>
                              <w:lock w:val="sdtLocked"/>
                              <w:richText/>
                            </w:sdtPr>
                            <w:sdtContent>
                              <w:r>
                                <w:rPr>
                                  <w:bCs/>
                                  <w:sz w:val="22"/>
                                  <w:szCs w:val="22"/>
                                  <w:lang w:eastAsia="lt-LT"/>
                                </w:rPr>
                                <w:t>4</w:t>
                              </w:r>
                            </w:sdtContent>
                          </w:sdt>
                          <w:r>
                            <w:rPr>
                              <w:bCs/>
                              <w:sz w:val="22"/>
                              <w:szCs w:val="22"/>
                              <w:lang w:eastAsia="lt-LT"/>
                            </w:rPr>
                            <w:t>) skatina patvarų ir veiksmingą mokėjimo ir vertybinių popierių atsiskaitymo sistemų veikimą;</w:t>
                          </w:r>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30e725bf4cff46b08c66a1429c72ac9e"/>
                        <w:lock w:val="sdtLocked"/>
                        <w:richText/>
                      </w:sdtPr>
                      <w:sdtContent>
                        <w:p>
                          <w:pPr>
                            <w:ind w:firstLine="720"/>
                            <w:jc w:val="both"/>
                            <w:rPr>
                              <w:bCs/>
                              <w:sz w:val="22"/>
                              <w:szCs w:val="22"/>
                              <w:lang w:eastAsia="lt-LT"/>
                            </w:rPr>
                          </w:pPr>
                          <w:sdt>
                            <w:sdtPr>
                              <w:alias w:val="Numeris"/>
                              <w:tag w:val="nr_30e725bf4cff46b08c66a1429c72ac9e"/>
                              <w:lock w:val="sdtLocked"/>
                              <w:richText/>
                            </w:sdtPr>
                            <w:sdtContent>
                              <w:r>
                                <w:rPr>
                                  <w:bCs/>
                                  <w:sz w:val="22"/>
                                  <w:szCs w:val="22"/>
                                  <w:lang w:eastAsia="lt-LT"/>
                                </w:rPr>
                                <w:t>1</w:t>
                              </w:r>
                            </w:sdtContent>
                          </w:sdt>
                          <w:r>
                            <w:rPr>
                              <w:bCs/>
                              <w:sz w:val="22"/>
                              <w:szCs w:val="22"/>
                              <w:lang w:eastAsia="lt-LT"/>
                            </w:rPr>
                            <w:t>) pagal susitarimą su Lietuvos Respublikos finansų ministerija (toliau – Finansų ministerija) atlieka valstybės iždo agento funkcijas;</w:t>
                          </w:r>
                        </w:p>
                      </w:sdtContent>
                    </w:sdt>
                    <w:sdt>
                      <w:sdtPr>
                        <w:alias w:val="8 str. 2 d. 2 p."/>
                        <w:tag w:val="part_4ba501361ea94d809eb55a86b319a916"/>
                        <w:lock w:val="sdtLocked"/>
                        <w:richText/>
                      </w:sdtPr>
                      <w:sdtContent>
                        <w:p>
                          <w:pPr>
                            <w:ind w:firstLine="720"/>
                            <w:jc w:val="both"/>
                            <w:rPr>
                              <w:bCs/>
                              <w:sz w:val="22"/>
                              <w:szCs w:val="22"/>
                              <w:lang w:eastAsia="lt-LT"/>
                            </w:rPr>
                          </w:pPr>
                          <w:sdt>
                            <w:sdtPr>
                              <w:alias w:val="Numeris"/>
                              <w:tag w:val="nr_4ba501361ea94d809eb55a86b319a916"/>
                              <w:lock w:val="sdtLocked"/>
                              <w:richText/>
                            </w:sdtPr>
                            <w:sdtContent>
                              <w:r>
                                <w:rPr>
                                  <w:color w:val="000000"/>
                                  <w:sz w:val="22"/>
                                  <w:szCs w:val="22"/>
                                  <w:lang w:eastAsia="lt-LT"/>
                                </w:rPr>
                                <w:t>2</w:t>
                              </w:r>
                            </w:sdtContent>
                          </w:sdt>
                          <w:r>
                            <w:rPr>
                              <w:color w:val="000000"/>
                              <w:sz w:val="22"/>
                              <w:szCs w:val="22"/>
                              <w:lang w:eastAsia="lt-LT"/>
                            </w:rPr>
                            <w:t>) atlieka finansų rinkos priežiūrą</w:t>
                          </w:r>
                          <w:r>
                            <w:rPr>
                              <w:bCs/>
                              <w:sz w:val="22"/>
                              <w:szCs w:val="22"/>
                              <w:lang w:eastAsia="lt-LT"/>
                            </w:rPr>
                            <w:t xml:space="preserve">, išskyrus atvejus, kai pagal 2013 m. spalio 15 d. Tarybos reglamento (ES) </w:t>
                          </w:r>
                          <w:r>
                            <w:rPr>
                              <w:sz w:val="22"/>
                              <w:szCs w:val="22"/>
                            </w:rPr>
                            <w:t>Nr. 1024/2013, kuriuo Europos Centriniam Bankui pavedami specialūs uždaviniai, susiję su rizikos ribojimu pagrįstos kredito įstaigų priežiūros politika (OL 2013 L 287, p. 63) (toliau – Reglamentas (ES) Nr. 1024/2013), nuostatas šias funkcijas atlieka Europos centrinis bankas, taip pat pagal Reglamentą (ES) Nr. 1024/2013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daa1c3bacdd4445494a11cdd7c6bb8ef"/>
                        <w:lock w:val="sdtLocked"/>
                        <w:richText/>
                      </w:sdtPr>
                      <w:sdtContent>
                        <w:p>
                          <w:pPr>
                            <w:ind w:firstLine="720"/>
                            <w:jc w:val="both"/>
                            <w:rPr>
                              <w:bCs/>
                              <w:sz w:val="22"/>
                              <w:szCs w:val="22"/>
                              <w:lang w:eastAsia="lt-LT"/>
                            </w:rPr>
                          </w:pPr>
                          <w:sdt>
                            <w:sdtPr>
                              <w:alias w:val="Numeris"/>
                              <w:tag w:val="nr_daa1c3bacdd4445494a11cdd7c6bb8ef"/>
                              <w:lock w:val="sdtLocked"/>
                              <w:richText/>
                            </w:sdtPr>
                            <w:sdtContent>
                              <w:r>
                                <w:rPr>
                                  <w:sz w:val="22"/>
                                  <w:szCs w:val="22"/>
                                </w:rPr>
                                <w:t>5</w:t>
                              </w:r>
                            </w:sdtContent>
                          </w:sdt>
                          <w:r>
                            <w:rPr>
                              <w:sz w:val="22"/>
                              <w:szCs w:val="22"/>
                            </w:rPr>
                            <w:t>)</w:t>
                          </w:r>
                          <w:r>
                            <w:rPr>
                              <w:b/>
                              <w:bCs/>
                              <w:sz w:val="22"/>
                              <w:szCs w:val="22"/>
                              <w:lang w:eastAsia="lt-LT"/>
                            </w:rPr>
                            <w:t xml:space="preserve"> </w:t>
                          </w:r>
                          <w:r>
                            <w:rPr>
                              <w:bCs/>
                              <w:sz w:val="22"/>
                              <w:szCs w:val="22"/>
                              <w:lang w:eastAsia="lt-LT"/>
                            </w:rPr>
                            <w:t>savo nustatyta tvarka, sąlygomis ir terminais gali duoti paskolas, užtikrintas įkeičiamu Lietuvos bankui pakankamu turtu, Lietuvos Respublikoje įregistruotoms kredito įstaigoms, jei tai neprieštarauja reikalavimams, atsirandantiems dėl Lietuvos banko dalyvavimo Europos centrinių bankų sistemoje, ypač reikalavimams, atsirandantiems dėl viešosios teisės subjektų vardu atliekamų operacijų;</w:t>
                          </w:r>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p."/>
                        <w:tag w:val="part_59c3486b05ba4ef9bca941d5e6533a1f"/>
                        <w:lock w:val="sdtLocked"/>
                        <w:richText/>
                      </w:sdtPr>
                      <w:sdtContent>
                        <w:p>
                          <w:pPr>
                            <w:ind w:firstLine="720"/>
                            <w:jc w:val="both"/>
                            <w:rPr>
                              <w:bCs/>
                              <w:sz w:val="22"/>
                              <w:szCs w:val="22"/>
                              <w:lang w:eastAsia="lt-LT"/>
                            </w:rPr>
                          </w:pPr>
                          <w:sdt>
                            <w:sdtPr>
                              <w:alias w:val="Numeris"/>
                              <w:tag w:val="nr_59c3486b05ba4ef9bca941d5e6533a1f"/>
                              <w:lock w:val="sdtLocked"/>
                              <w:richText/>
                            </w:sdtPr>
                            <w:sdtContent>
                              <w:r>
                                <w:rPr>
                                  <w:sz w:val="22"/>
                                  <w:szCs w:val="22"/>
                                </w:rPr>
                                <w:t>8</w:t>
                              </w:r>
                            </w:sdtContent>
                          </w:sdt>
                          <w:r>
                            <w:rPr>
                              <w:sz w:val="22"/>
                              <w:szCs w:val="22"/>
                            </w:rPr>
                            <w:t>) vykdo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(OL 2014 L 225, p. 1) (toliau – Reglamentas (ES) Nr. 806/2014) nuostatas šias funkcijas atlieka Bendra pertvarkymo valdyba, taip pat pagal Reglamentą (ES) Nr. 806/2014 atlieka nacionalinei pertvarkymo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Content>
                </w:sdt>
                <w:sdt>
                  <w:sdtPr>
                    <w:alias w:val="8 str. 3 d."/>
                    <w:tag w:val="part_c4c9a1fd929247d2b57859d577dc1857"/>
                    <w:lock w:val="sdtLocked"/>
                    <w:richText/>
                  </w:sdtPr>
                  <w:sdtContent>
                    <w:p>
                      <w:pPr>
                        <w:ind w:firstLine="720"/>
                        <w:jc w:val="both"/>
                        <w:rPr>
                          <w:bCs/>
                          <w:sz w:val="22"/>
                          <w:szCs w:val="22"/>
                          <w:lang w:eastAsia="lt-LT"/>
                        </w:rPr>
                      </w:pPr>
                      <w:sdt>
                        <w:sdtPr>
                          <w:alias w:val="Numeris"/>
                          <w:tag w:val="nr_c4c9a1fd929247d2b57859d577dc1857"/>
                          <w:lock w:val="sdtLocked"/>
                          <w:richText/>
                        </w:sdtPr>
                        <w:sdtContent>
                          <w:r>
                            <w:rPr>
                              <w:bCs/>
                              <w:sz w:val="22"/>
                              <w:szCs w:val="22"/>
                              <w:lang w:eastAsia="lt-LT"/>
                            </w:rPr>
                            <w:t>3</w:t>
                          </w:r>
                        </w:sdtContent>
                      </w:sdt>
                      <w:r>
                        <w:rPr>
                          <w:bCs/>
                          <w:sz w:val="22"/>
                          <w:szCs w:val="22"/>
                          <w:lang w:eastAsia="lt-LT"/>
                        </w:rPr>
                        <w:t>. Lietuvos bankas vykdo veiklą, reikalingą šio straipsnio 1 ir 2 dalyse numatytoms funkcijoms įgyvendinti ir tam reikalingai infrastruktūrai sukurti bei palaikyti.</w:t>
                      </w:r>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4"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5"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7"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28"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29"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0"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1"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4"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35"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2"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3"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36c9f41ebdd84472a03cdda061af946b"/>
                <w:lock w:val="sdtLocked"/>
                <w:richText/>
              </w:sdtPr>
              <w:sdtContent>
                <w:p>
                  <w:pPr>
                    <w:ind w:firstLine="720"/>
                    <w:jc w:val="both"/>
                    <w:rPr>
                      <w:b/>
                      <w:sz w:val="22"/>
                    </w:rPr>
                  </w:pPr>
                  <w:sdt>
                    <w:sdtPr>
                      <w:alias w:val="Numeris"/>
                      <w:tag w:val="nr_36c9f41ebdd84472a03cdda061af946b"/>
                      <w:lock w:val="sdtLocked"/>
                      <w:richText/>
                    </w:sdtPr>
                    <w:sdtContent>
                      <w:r>
                        <w:rPr>
                          <w:b/>
                          <w:sz w:val="22"/>
                        </w:rPr>
                        <w:t>11</w:t>
                      </w:r>
                    </w:sdtContent>
                  </w:sdt>
                  <w:r>
                    <w:rPr>
                      <w:b/>
                      <w:sz w:val="22"/>
                    </w:rPr>
                    <w:t xml:space="preserve"> straipsnis. </w:t>
                  </w:r>
                  <w:sdt>
                    <w:sdtPr>
                      <w:alias w:val="Pavadinimas"/>
                      <w:tag w:val="title_36c9f41ebdd84472a03cdda061af946b"/>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71cb0639615e46adbb3cbfd72ece5901"/>
                        <w:lock w:val="sdtLocked"/>
                        <w:richText/>
                      </w:sdtPr>
                      <w:sdtContent>
                        <w:p>
                          <w:pPr>
                            <w:ind w:firstLine="720"/>
                            <w:jc w:val="both"/>
                            <w:rPr>
                              <w:sz w:val="22"/>
                              <w:szCs w:val="22"/>
                            </w:rPr>
                          </w:pPr>
                          <w:sdt>
                            <w:sdtPr>
                              <w:alias w:val="Numeris"/>
                              <w:tag w:val="nr_71cb0639615e46adbb3cbfd72ece5901"/>
                              <w:lock w:val="sdtLocked"/>
                              <w:richText/>
                            </w:sdtPr>
                            <w:sdtContent>
                              <w:r>
                                <w:rPr>
                                  <w:sz w:val="22"/>
                                  <w:szCs w:val="22"/>
                                </w:rPr>
                                <w:t>13</w:t>
                              </w:r>
                            </w:sdtContent>
                          </w:sdt>
                          <w:r>
                            <w:rPr>
                              <w:sz w:val="22"/>
                              <w:szCs w:val="22"/>
                            </w:rPr>
                            <w:t>) šio įstatymo 42 straipsnio 1 dalyje nurodytiems finansų rinkos dalyviams (toliau – prižiūrimi finansų rinkos dalyviai) taiko įstatymų ir Europos Sąjungos teisės aktų nustatytas poveikio priemones</w:t>
                          </w:r>
                          <w:r>
                            <w:rPr>
                              <w:bCs/>
                              <w:sz w:val="22"/>
                              <w:szCs w:val="22"/>
                            </w:rPr>
                            <w:t xml:space="preserve">, finansų rinką reglamentuojančiuose teisės aktuose nustatytus nurodymus, įpareigojimus, draudimus ir kitas kitiems asmenims privalomas vykdyti priemones, </w:t>
                          </w:r>
                          <w:r>
                            <w:rPr>
                              <w:bCs/>
                              <w:sz w:val="22"/>
                              <w:szCs w:val="22"/>
                              <w:lang w:eastAsia="lt-LT"/>
                            </w:rPr>
                            <w:t xml:space="preserve">išskyrus atvejus, kai pagal </w:t>
                          </w:r>
                          <w:r>
                            <w:rPr>
                              <w:sz w:val="22"/>
                              <w:szCs w:val="22"/>
                            </w:rPr>
                            <w:t>Reglamento (ES) Nr. 1024/2013 nuostatas tai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14 p."/>
                        <w:tag w:val="part_a47201e5d73242d385154eb50eb6f2d7"/>
                        <w:lock w:val="sdtLocked"/>
                        <w:richText/>
                      </w:sdtPr>
                      <w:sdtContent>
                        <w:p>
                          <w:pPr>
                            <w:ind w:firstLine="720"/>
                            <w:jc w:val="both"/>
                            <w:rPr>
                              <w:sz w:val="22"/>
                              <w:szCs w:val="22"/>
                            </w:rPr>
                          </w:pPr>
                          <w:sdt>
                            <w:sdtPr>
                              <w:alias w:val="Numeris"/>
                              <w:tag w:val="nr_a47201e5d73242d385154eb50eb6f2d7"/>
                              <w:lock w:val="sdtLocked"/>
                              <w:richText/>
                            </w:sdtPr>
                            <w:sdtContent>
                              <w:r>
                                <w:rPr>
                                  <w:sz w:val="22"/>
                                  <w:szCs w:val="22"/>
                                </w:rPr>
                                <w:t>14</w:t>
                              </w:r>
                            </w:sdtContent>
                          </w:sdt>
                          <w:r>
                            <w:rPr>
                              <w:sz w:val="22"/>
                              <w:szCs w:val="22"/>
                            </w:rPr>
                            <w:t>) vadovaudamasi Finansinio tvarumo įstatymo nuostatomis priima sprendimus dėl finansų sektoriaus subjektų pertvarkymo,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0bd9aa83a1414930ac80d6360cd31503"/>
                        <w:lock w:val="sdtLocked"/>
                        <w:richText/>
                      </w:sdtPr>
                      <w:sdtContent>
                        <w:p>
                          <w:pPr>
                            <w:ind w:firstLine="720"/>
                            <w:jc w:val="both"/>
                            <w:rPr>
                              <w:sz w:val="22"/>
                              <w:szCs w:val="22"/>
                            </w:rPr>
                          </w:pPr>
                          <w:sdt>
                            <w:sdtPr>
                              <w:alias w:val="Numeris"/>
                              <w:tag w:val="nr_0bd9aa83a1414930ac80d6360cd31503"/>
                              <w:lock w:val="sdtLocked"/>
                              <w:richText/>
                            </w:sdtPr>
                            <w:sdtContent>
                              <w:r>
                                <w:rPr>
                                  <w:sz w:val="22"/>
                                  <w:szCs w:val="22"/>
                                </w:rPr>
                                <w:t>18</w:t>
                              </w:r>
                            </w:sdtContent>
                          </w:sdt>
                          <w:r>
                            <w:rPr>
                              <w:sz w:val="22"/>
                              <w:szCs w:val="22"/>
                            </w:rPr>
                            <w:t xml:space="preserve">) sprendžia klausimus dėl </w:t>
                          </w:r>
                          <w:r>
                            <w:rPr>
                              <w:bCs/>
                              <w:sz w:val="22"/>
                              <w:szCs w:val="22"/>
                            </w:rPr>
                            <w:t xml:space="preserve">finansų rinką reglamentuojančiuose </w:t>
                          </w:r>
                          <w:r>
                            <w:rPr>
                              <w:sz w:val="22"/>
                              <w:szCs w:val="22"/>
                            </w:rPr>
                            <w:t>įstatymuose nustatytų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išdavimo, jų </w:t>
                          </w:r>
                          <w:r>
                            <w:rPr>
                              <w:bCs/>
                              <w:sz w:val="22"/>
                              <w:szCs w:val="22"/>
                            </w:rPr>
                            <w:t>galiojimo sustabdymo, galiojimo sustabdymo panaikinimo ir</w:t>
                          </w:r>
                          <w:r>
                            <w:rPr>
                              <w:sz w:val="22"/>
                              <w:szCs w:val="22"/>
                            </w:rPr>
                            <w:t xml:space="preserve"> atšaukimo (galiojimo panaikinimo);</w:t>
                          </w:r>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11 str. 1 d. 21 p."/>
                        <w:tag w:val="part_4a3a6d725f314b89a2436bc897a6d691"/>
                        <w:lock w:val="sdtLocked"/>
                        <w:richText/>
                      </w:sdtPr>
                      <w:sdtContent>
                        <w:p>
                          <w:pPr>
                            <w:ind w:firstLine="720"/>
                            <w:jc w:val="both"/>
                            <w:rPr>
                              <w:sz w:val="22"/>
                            </w:rPr>
                          </w:pPr>
                          <w:sdt>
                            <w:sdtPr>
                              <w:alias w:val="Numeris"/>
                              <w:tag w:val="nr_4a3a6d725f314b89a2436bc897a6d691"/>
                              <w:lock w:val="sdtLocked"/>
                              <w:richText/>
                            </w:sdtPr>
                            <w:sdtContent>
                              <w:r>
                                <w:rPr>
                                  <w:sz w:val="22"/>
                                </w:rPr>
                                <w:t>21</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11 str. 2 d."/>
                    <w:tag w:val="part_d9ec73e42d5f4e78bc16cdc9379b35fc"/>
                    <w:lock w:val="sdtLocked"/>
                    <w:richText/>
                  </w:sdtPr>
                  <w:sdtContent>
                    <w:p>
                      <w:pPr>
                        <w:ind w:firstLine="720"/>
                        <w:jc w:val="both"/>
                        <w:rPr>
                          <w:sz w:val="22"/>
                        </w:rPr>
                      </w:pPr>
                      <w:sdt>
                        <w:sdtPr>
                          <w:alias w:val="Numeris"/>
                          <w:tag w:val="nr_d9ec73e42d5f4e78bc16cdc9379b35fc"/>
                          <w:lock w:val="sdtLocked"/>
                          <w:richText/>
                        </w:sdtPr>
                        <w:sdtContent>
                          <w:r>
                            <w:rPr>
                              <w:sz w:val="22"/>
                              <w:szCs w:val="22"/>
                            </w:rPr>
                            <w:t>2</w:t>
                          </w:r>
                        </w:sdtContent>
                      </w:sdt>
                      <w:r>
                        <w:rPr>
                          <w:sz w:val="22"/>
                          <w:szCs w:val="22"/>
                        </w:rPr>
                        <w:t>. Lietuvos banko valdyba gali dalį savo funkcijų pavesti vykdyti valdybos pirmininkui, išskyrus šio straipsnio 1 dalies 4, 6, 7,</w:t>
                      </w:r>
                      <w:r>
                        <w:rPr>
                          <w:b/>
                          <w:sz w:val="22"/>
                          <w:szCs w:val="22"/>
                        </w:rPr>
                        <w:t xml:space="preserve"> </w:t>
                      </w:r>
                      <w:r>
                        <w:rPr>
                          <w:sz w:val="22"/>
                          <w:szCs w:val="22"/>
                        </w:rPr>
                        <w:t>9, 10, 12, 13, 14, 15, 16, 18, 19 ir 20 punktuose numatytas funkcijas.</w:t>
                      </w:r>
                    </w:p>
                  </w:sdtContent>
                </w:sdt>
                <w:sdt>
                  <w:sdtPr>
                    <w:alias w:val="11 str. 3 d."/>
                    <w:tag w:val="part_26998c74641740f3b76b5a87bda5f9d8"/>
                    <w:lock w:val="sdtLocked"/>
                    <w:richText/>
                  </w:sdtPr>
                  <w:sdtContent>
                    <w:p>
                      <w:pPr>
                        <w:ind w:firstLine="720"/>
                        <w:jc w:val="both"/>
                      </w:pPr>
                      <w:sdt>
                        <w:sdtPr>
                          <w:alias w:val="Numeris"/>
                          <w:tag w:val="nr_26998c74641740f3b76b5a87bda5f9d8"/>
                          <w:lock w:val="sdtLocked"/>
                          <w:richText/>
                        </w:sdtPr>
                        <w:sdtContent>
                          <w:r>
                            <w:rPr>
                              <w:bCs/>
                              <w:sz w:val="22"/>
                              <w:szCs w:val="22"/>
                            </w:rPr>
                            <w:t>3</w:t>
                          </w:r>
                        </w:sdtContent>
                      </w:sdt>
                      <w:r>
                        <w:rPr>
                          <w:bCs/>
                          <w:sz w:val="22"/>
                          <w:szCs w:val="22"/>
                        </w:rPr>
                        <w:t>. Lietuvos banko valdyba gali visas ar dalį savo funkcijų, nustatytų šio straipsnio 1 dalies 13, 18 ir 19 punktuose, pavesti vykdyti Lietuvos banko struktūriniams padaliniams, jeigu įstatymai nenustato kitaip.</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6"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9"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0"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1"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2"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3"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4"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45"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48"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c67d288dadca44d4bebee67bc9f460c0"/>
                <w:lock w:val="sdtLocked"/>
                <w:richText/>
              </w:sdtPr>
              <w:sdtContent>
                <w:p>
                  <w:pPr>
                    <w:ind w:firstLine="720"/>
                    <w:jc w:val="both"/>
                    <w:rPr>
                      <w:b/>
                      <w:sz w:val="22"/>
                    </w:rPr>
                  </w:pPr>
                  <w:sdt>
                    <w:sdtPr>
                      <w:alias w:val="Numeris"/>
                      <w:tag w:val="nr_c67d288dadca44d4bebee67bc9f460c0"/>
                      <w:lock w:val="sdtLocked"/>
                      <w:richText/>
                    </w:sdtPr>
                    <w:sdtContent>
                      <w:r>
                        <w:rPr>
                          <w:b/>
                          <w:sz w:val="22"/>
                        </w:rPr>
                        <w:t>15</w:t>
                      </w:r>
                    </w:sdtContent>
                  </w:sdt>
                  <w:r>
                    <w:rPr>
                      <w:b/>
                      <w:sz w:val="22"/>
                    </w:rPr>
                    <w:t xml:space="preserve"> straipsnis. </w:t>
                  </w:r>
                  <w:sdt>
                    <w:sdtPr>
                      <w:alias w:val="Pavadinimas"/>
                      <w:tag w:val="title_c67d288dadca44d4bebee67bc9f460c0"/>
                      <w:lock w:val="sdtLocked"/>
                      <w:richText/>
                    </w:sdtPr>
                    <w:sdtContent>
                      <w:r>
                        <w:rPr>
                          <w:b/>
                          <w:sz w:val="22"/>
                        </w:rPr>
                        <w:t>Lietuvos banko valdybos narių balsavimo teisės apribojimas</w:t>
                      </w:r>
                    </w:sdtContent>
                  </w:sdt>
                </w:p>
                <w:sdt>
                  <w:sdtPr>
                    <w:alias w:val="15 str. 1 d."/>
                    <w:tag w:val="part_306957ea02514e16bd8c4f680eecbab9"/>
                    <w:lock w:val="sdtLocked"/>
                    <w:richText/>
                  </w:sdtPr>
                  <w:sdtContent>
                    <w:p>
                      <w:pPr>
                        <w:ind w:firstLine="720"/>
                        <w:jc w:val="both"/>
                        <w:rPr>
                          <w:sz w:val="22"/>
                        </w:rPr>
                      </w:pPr>
                      <w:r>
                        <w:rPr>
                          <w:sz w:val="22"/>
                        </w:rPr>
                        <w:t>Jei Lietuvos banko valdybos posėdyje sprendžiamas klausimas susijęs su valdybos nario privačiais interesais, keliančiais viešųjų ir privačių interesų konfliktą,</w:t>
                      </w:r>
                      <w:r>
                        <w:rPr>
                          <w:b/>
                          <w:sz w:val="22"/>
                        </w:rPr>
                        <w:t xml:space="preserve"> v</w:t>
                      </w:r>
                      <w:r>
                        <w:rPr>
                          <w:sz w:val="22"/>
                        </w:rPr>
                        <w:t>aldybos narys apie tai raštu</w:t>
                      </w:r>
                      <w:r>
                        <w:rPr>
                          <w:b/>
                          <w:sz w:val="22"/>
                        </w:rPr>
                        <w:t xml:space="preserve"> </w:t>
                      </w:r>
                      <w:r>
                        <w:rPr>
                          <w:sz w:val="22"/>
                        </w:rPr>
                        <w:t xml:space="preserve">praneša prieš svarstymą ir neturi teisės dalyvauti svarstant ir priimant sprendimą. </w:t>
                      </w:r>
                    </w:p>
                    <w:p>
                      <w:pPr>
                        <w:ind w:firstLine="720"/>
                        <w:jc w:val="both"/>
                        <w:rPr>
                          <w:b/>
                          <w:sz w:val="22"/>
                        </w:rPr>
                      </w:pPr>
                    </w:p>
                  </w:sdtContent>
                </w:sdt>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3"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1"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2"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57"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58"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4"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55"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56"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0"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4604f3766f244bce8ba37535094c9636"/>
                <w:lock w:val="sdtLocked"/>
                <w:richText/>
              </w:sdtPr>
              <w:sdtContent>
                <w:p>
                  <w:pPr>
                    <w:ind w:firstLine="720"/>
                    <w:jc w:val="both"/>
                    <w:rPr>
                      <w:sz w:val="22"/>
                    </w:rPr>
                  </w:pPr>
                  <w:sdt>
                    <w:sdtPr>
                      <w:alias w:val="Numeris"/>
                      <w:tag w:val="nr_4604f3766f244bce8ba37535094c9636"/>
                      <w:lock w:val="sdtLocked"/>
                      <w:richText/>
                    </w:sdtPr>
                    <w:sdtContent>
                      <w:r>
                        <w:rPr>
                          <w:b/>
                          <w:sz w:val="22"/>
                        </w:rPr>
                        <w:t>19</w:t>
                      </w:r>
                    </w:sdtContent>
                  </w:sdt>
                  <w:r>
                    <w:rPr>
                      <w:b/>
                      <w:sz w:val="22"/>
                    </w:rPr>
                    <w:t xml:space="preserve"> straipsnis. </w:t>
                  </w:r>
                  <w:sdt>
                    <w:sdtPr>
                      <w:alias w:val="Pavadinimas"/>
                      <w:tag w:val="title_4604f3766f244bce8ba37535094c9636"/>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3"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3dac82758e824077b9cf3fc5aec02c2b"/>
                <w:lock w:val="sdtLocked"/>
                <w:richText/>
              </w:sdtPr>
              <w:sdtContent>
                <w:p>
                  <w:pPr>
                    <w:ind w:firstLine="720"/>
                    <w:jc w:val="both"/>
                    <w:rPr>
                      <w:b/>
                      <w:sz w:val="22"/>
                    </w:rPr>
                  </w:pPr>
                  <w:sdt>
                    <w:sdtPr>
                      <w:alias w:val="Numeris"/>
                      <w:tag w:val="nr_3dac82758e824077b9cf3fc5aec02c2b"/>
                      <w:lock w:val="sdtLocked"/>
                      <w:richText/>
                    </w:sdtPr>
                    <w:sdtContent>
                      <w:r>
                        <w:rPr>
                          <w:b/>
                          <w:sz w:val="22"/>
                        </w:rPr>
                        <w:t>20</w:t>
                      </w:r>
                    </w:sdtContent>
                  </w:sdt>
                  <w:r>
                    <w:rPr>
                      <w:b/>
                      <w:sz w:val="22"/>
                    </w:rPr>
                    <w:t xml:space="preserve"> straipsnis. </w:t>
                  </w:r>
                  <w:sdt>
                    <w:sdtPr>
                      <w:alias w:val="Pavadinimas"/>
                      <w:tag w:val="title_3dac82758e824077b9cf3fc5aec02c2b"/>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6"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57fad126d173448581fef71c614adbad"/>
                <w:lock w:val="sdtLocked"/>
                <w:richText/>
              </w:sdtPr>
              <w:sdtContent>
                <w:p>
                  <w:pPr>
                    <w:ind w:left="2694" w:hanging="1974"/>
                    <w:jc w:val="both"/>
                    <w:rPr>
                      <w:sz w:val="22"/>
                      <w:szCs w:val="22"/>
                    </w:rPr>
                  </w:pPr>
                  <w:sdt>
                    <w:sdtPr>
                      <w:alias w:val="Numeris"/>
                      <w:tag w:val="nr_57fad126d173448581fef71c614adbad"/>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57fad126d173448581fef71c614adbad"/>
                      <w:lock w:val="sdtLocked"/>
                      <w:richText/>
                    </w:sdtPr>
                    <w:sdtContent>
                      <w:r>
                        <w:rPr>
                          <w:b/>
                          <w:sz w:val="22"/>
                          <w:szCs w:val="22"/>
                        </w:rPr>
                        <w:t>Finansų rinkos priežiūros ir finansų sektoriaus subjektų pertvarkymo institucijos veiklos finansavimas</w:t>
                      </w:r>
                    </w:sdtContent>
                  </w:sdt>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9c94d12530c4436e990b437081bd7743"/>
                    <w:lock w:val="sdtLocked"/>
                    <w:richText/>
                  </w:sdtPr>
                  <w:sdtContent>
                    <w:p>
                      <w:pPr>
                        <w:ind w:firstLine="720"/>
                        <w:jc w:val="both"/>
                        <w:rPr>
                          <w:sz w:val="22"/>
                          <w:szCs w:val="22"/>
                        </w:rPr>
                      </w:pPr>
                      <w:sdt>
                        <w:sdtPr>
                          <w:alias w:val="Numeris"/>
                          <w:tag w:val="nr_9c94d12530c4436e990b437081bd774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sz w:val="22"/>
                          <w:szCs w:val="22"/>
                        </w:rPr>
                        <w:t xml:space="preserve"> </w:t>
                      </w:r>
                      <w:r>
                        <w:rPr>
                          <w:sz w:val="22"/>
                          <w:szCs w:val="22"/>
                        </w:rPr>
                        <w:t>Nustatant įmokų dydį, atsižvelgiama į Lietuvos banko atliekamas funkcijas ir patiriamas išlaidas, susijusias su atitinkamais finansų rinkos dalyviais, taip pat į šių finansų rinkos dalyvių veiklos mastą, formą, o prižiūrimų finansų rinkos dalyvių atveju – ir jų prisiimamą riziką. Išsamią prižiūrimų finansų rinkos dalyvių įmokų apskaičiavimo metodiką ir mokėjimo tvarką bei įmokų pertvarkymo institucijos veiklai finansuoti mokėjimo tvarką nustato Lietuvos banko teisės aktai.</w:t>
                      </w:r>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f3fc325c6a784748a573b393b052fac9"/>
                    <w:lock w:val="sdtLocked"/>
                    <w:richText/>
                  </w:sdtPr>
                  <w:sdtContent>
                    <w:p>
                      <w:pPr>
                        <w:ind w:firstLine="720"/>
                        <w:jc w:val="both"/>
                        <w:rPr>
                          <w:sz w:val="22"/>
                          <w:szCs w:val="22"/>
                        </w:rPr>
                      </w:pPr>
                      <w:sdt>
                        <w:sdtPr>
                          <w:alias w:val="Numeris"/>
                          <w:tag w:val="nr_f3fc325c6a784748a573b393b052fac9"/>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Už praleistą įmokų sumokėjimo terminą finansų rinkos dalyviai privalo mokėti delspinigius: 0,05 procento nuo nesumokėtos sumos už kiekvieną dieną. Delspinigių sumokėjimas neatleidžia nuo pareigos sumokėti visą uždelstą sumą.</w:t>
                      </w:r>
                    </w:p>
                    <w:p>
                      <w:pPr>
                        <w:jc w:val="both"/>
                        <w:rPr>
                          <w:i/>
                          <w:sz w:val="20"/>
                        </w:rPr>
                      </w:pPr>
                      <w:r>
                        <w:rPr>
                          <w:b/>
                          <w:i/>
                          <w:sz w:val="20"/>
                        </w:rPr>
                        <w:t>TAR pastaba.</w:t>
                      </w:r>
                      <w:r>
                        <w:rPr>
                          <w:i/>
                          <w:sz w:val="20"/>
                        </w:rPr>
                        <w:t xml:space="preserve"> 21</w:t>
                      </w:r>
                      <w:r>
                        <w:rPr>
                          <w:i/>
                          <w:sz w:val="20"/>
                          <w:vertAlign w:val="superscript"/>
                        </w:rPr>
                        <w:t>1</w:t>
                      </w:r>
                      <w:r>
                        <w:rPr>
                          <w:i/>
                          <w:sz w:val="20"/>
                        </w:rPr>
                        <w:t> straipsnio 5 dalyje nustatyta įmokų surinkimo tvarka pradedama taikyti finansų rinkos dalyvių įmokoms už 2016 metus.</w:t>
                      </w:r>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67"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68"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69"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70"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1"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4"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1"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4"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5"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21de7256178543ee845ecf92a8c0d1e4"/>
            <w:lock w:val="sdtLocked"/>
            <w:richText/>
          </w:sdtPr>
          <w:sdtContent>
            <w:p>
              <w:pPr>
                <w:keepNext/>
                <w:jc w:val="center"/>
                <w:rPr>
                  <w:b/>
                  <w:sz w:val="22"/>
                </w:rPr>
              </w:pPr>
              <w:sdt>
                <w:sdtPr>
                  <w:alias w:val="Numeris"/>
                  <w:tag w:val="nr_21de7256178543ee845ecf92a8c0d1e4"/>
                  <w:lock w:val="sdtLocked"/>
                  <w:richText/>
                </w:sdtPr>
                <w:sdtContent>
                  <w:r>
                    <w:rPr>
                      <w:b/>
                      <w:sz w:val="22"/>
                    </w:rPr>
                    <w:t>ŠEŠTASIS</w:t>
                  </w:r>
                </w:sdtContent>
              </w:sdt>
              <w:r>
                <w:rPr>
                  <w:b/>
                  <w:sz w:val="22"/>
                </w:rPr>
                <w:t xml:space="preserve"> SKIRSNIS</w:t>
              </w:r>
            </w:p>
            <w:p>
              <w:pPr>
                <w:jc w:val="center"/>
                <w:rPr>
                  <w:b/>
                  <w:sz w:val="22"/>
                </w:rPr>
              </w:pPr>
              <w:sdt>
                <w:sdtPr>
                  <w:alias w:val="Pavadinimas"/>
                  <w:tag w:val="title_21de7256178543ee845ecf92a8c0d1e4"/>
                  <w:lock w:val="sdtLocked"/>
                  <w:richText/>
                </w:sdtPr>
                <w:sdtContent>
                  <w:r>
                    <w:rPr>
                      <w:b/>
                      <w:sz w:val="22"/>
                    </w:rPr>
                    <w:t>VALSTYBĖS IŽDO AGENTO FUNKCIJOS</w:t>
                  </w:r>
                </w:sdtContent>
              </w:sdt>
            </w:p>
            <w:p>
              <w:pPr>
                <w:ind w:firstLine="720"/>
                <w:jc w:val="both"/>
                <w:rPr>
                  <w:sz w:val="22"/>
                </w:rPr>
              </w:pPr>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967d593f072348e99b2053571daf09a7"/>
                <w:lock w:val="sdtLocked"/>
                <w:richText/>
              </w:sdtPr>
              <w:sdtContent>
                <w:p>
                  <w:pPr>
                    <w:ind w:firstLine="720"/>
                    <w:jc w:val="both"/>
                    <w:rPr>
                      <w:sz w:val="22"/>
                    </w:rPr>
                  </w:pPr>
                  <w:sdt>
                    <w:sdtPr>
                      <w:alias w:val="Numeris"/>
                      <w:tag w:val="nr_967d593f072348e99b2053571daf09a7"/>
                      <w:lock w:val="sdtLocked"/>
                      <w:richText/>
                    </w:sdtPr>
                    <w:sdtContent>
                      <w:r>
                        <w:rPr>
                          <w:b/>
                          <w:bCs/>
                          <w:sz w:val="22"/>
                        </w:rPr>
                        <w:t>38</w:t>
                      </w:r>
                    </w:sdtContent>
                  </w:sdt>
                  <w:r>
                    <w:rPr>
                      <w:b/>
                      <w:bCs/>
                      <w:sz w:val="22"/>
                    </w:rPr>
                    <w:t xml:space="preserve"> straipsnis</w:t>
                  </w:r>
                  <w:r>
                    <w:rPr>
                      <w:sz w:val="22"/>
                    </w:rPr>
                    <w:t xml:space="preserve">. </w:t>
                  </w:r>
                  <w:sdt>
                    <w:sdtPr>
                      <w:alias w:val="Pavadinimas"/>
                      <w:tag w:val="title_967d593f072348e99b2053571daf09a7"/>
                      <w:lock w:val="sdtLocked"/>
                      <w:richText/>
                    </w:sdtPr>
                    <w:sdtContent>
                      <w:r>
                        <w:rPr>
                          <w:b/>
                          <w:bCs/>
                          <w:sz w:val="22"/>
                        </w:rPr>
                        <w:t>Valstybės iždo sąskaitų atidarymas</w:t>
                      </w:r>
                    </w:sdtContent>
                  </w:sdt>
                </w:p>
                <w:sdt>
                  <w:sdtPr>
                    <w:alias w:val="38 str. 1 d."/>
                    <w:tag w:val="part_5bd6ed36805c407f934c14e0ce28cd69"/>
                    <w:lock w:val="sdtLocked"/>
                    <w:richText/>
                  </w:sdtPr>
                  <w:sdtContent>
                    <w:p>
                      <w:pPr>
                        <w:ind w:firstLine="720"/>
                        <w:jc w:val="both"/>
                      </w:pPr>
                      <w:r>
                        <w:rPr>
                          <w:sz w:val="22"/>
                        </w:rPr>
                        <w:t>Lietuvos bankas turi teisę atidaryti ir tvarkyti Lietuvos Respublikos valstybės iždo sąskaitas.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X-569</w:t>
                    </w:r>
                  </w:hyperlink>
                  <w:r>
                    <w:rPr>
                      <w:rFonts w:eastAsia="MS Mincho"/>
                      <w:i/>
                      <w:iCs/>
                      <w:sz w:val="20"/>
                    </w:rPr>
                    <w:t>, 2006-04-25, Žin., 2006, Nr. 48-1699 (2006-04-29)</w:t>
                  </w:r>
                </w:p>
                <w:p>
                  <w:pPr>
                    <w:tabs>
                      <w:tab w:val="center" w:pos="4153"/>
                      <w:tab w:val="right" w:pos="8306"/>
                    </w:tabs>
                    <w:rPr>
                      <w:sz w:val="22"/>
                    </w:rPr>
                  </w:pPr>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1"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2" w:history="1">
                <w:r>
                  <w:rPr>
                    <w:i/>
                    <w:color w:val="0000FF"/>
                    <w:sz w:val="20"/>
                    <w:u w:val="single"/>
                  </w:rPr>
                  <w:t>XI-1666</w:t>
                </w:r>
              </w:hyperlink>
              <w:r>
                <w:rPr>
                  <w:i/>
                  <w:sz w:val="20"/>
                </w:rPr>
                <w:t>, 2011-11-17, Žin., 2011, Nr. 145-6812 (2011-12-01)</w:t>
              </w:r>
            </w:p>
            <w:p>
              <w:pPr>
                <w:jc w:val="both"/>
                <w:rPr>
                  <w:sz w:val="22"/>
                </w:rPr>
              </w:pPr>
            </w:p>
            <w:sdt>
              <w:sdtPr>
                <w:alias w:val="42 str."/>
                <w:tag w:val="part_a56f001d1a1b4c989c511fe5770e56df"/>
                <w:lock w:val="sdtLocked"/>
                <w:richText/>
              </w:sdtPr>
              <w:sdtContent>
                <w:p>
                  <w:pPr>
                    <w:ind w:left="2268" w:hanging="1548"/>
                    <w:jc w:val="both"/>
                    <w:rPr>
                      <w:b/>
                      <w:bCs/>
                      <w:sz w:val="22"/>
                      <w:szCs w:val="22"/>
                    </w:rPr>
                  </w:pPr>
                  <w:sdt>
                    <w:sdtPr>
                      <w:alias w:val="Numeris"/>
                      <w:tag w:val="nr_a56f001d1a1b4c989c511fe5770e56df"/>
                      <w:lock w:val="sdtLocked"/>
                      <w:richText/>
                    </w:sdtPr>
                    <w:sdtContent>
                      <w:r>
                        <w:rPr>
                          <w:b/>
                          <w:bCs/>
                          <w:sz w:val="22"/>
                          <w:szCs w:val="22"/>
                        </w:rPr>
                        <w:t>42</w:t>
                      </w:r>
                    </w:sdtContent>
                  </w:sdt>
                  <w:r>
                    <w:rPr>
                      <w:b/>
                      <w:bCs/>
                      <w:sz w:val="22"/>
                      <w:szCs w:val="22"/>
                    </w:rPr>
                    <w:t xml:space="preserve"> straipsnis. </w:t>
                  </w:r>
                  <w:sdt>
                    <w:sdtPr>
                      <w:alias w:val="Pavadinimas"/>
                      <w:tag w:val="title_a56f001d1a1b4c989c511fe5770e56df"/>
                      <w:lock w:val="sdtLocked"/>
                      <w:richText/>
                    </w:sdtPr>
                    <w:sdtContent>
                      <w:r>
                        <w:rPr>
                          <w:b/>
                          <w:bCs/>
                          <w:sz w:val="22"/>
                          <w:szCs w:val="22"/>
                        </w:rPr>
                        <w:t>Lietuvos banko tikslas, funkcijos, teisės ir pareigos atliekant finansų rinkos priežiūrą</w:t>
                      </w:r>
                    </w:sdtContent>
                  </w:sdt>
                </w:p>
                <w:sdt>
                  <w:sdtPr>
                    <w:alias w:val="42 str. 1 d."/>
                    <w:tag w:val="part_2f8095bf0adf475ea17ad36ff04b78b0"/>
                    <w:lock w:val="sdtLocked"/>
                    <w:richText/>
                  </w:sdtPr>
                  <w:sdtContent>
                    <w:p>
                      <w:pPr>
                        <w:tabs>
                          <w:tab w:val="center" w:pos="4153"/>
                          <w:tab w:val="right" w:pos="8306"/>
                        </w:tabs>
                        <w:ind w:firstLine="720"/>
                        <w:jc w:val="both"/>
                        <w:rPr>
                          <w:b/>
                          <w:bCs/>
                          <w:i/>
                          <w:sz w:val="20"/>
                        </w:rPr>
                      </w:pPr>
                      <w:sdt>
                        <w:sdtPr>
                          <w:alias w:val="Numeris"/>
                          <w:tag w:val="nr_2f8095bf0adf475ea17ad36ff04b78b0"/>
                          <w:lock w:val="sdtLocked"/>
                          <w:richText/>
                        </w:sdtPr>
                        <w:sdtContent>
                          <w:r>
                            <w:rPr>
                              <w:sz w:val="22"/>
                              <w:szCs w:val="22"/>
                              <w:lang w:eastAsia="lt-LT"/>
                            </w:rPr>
                            <w:t>1</w:t>
                          </w:r>
                        </w:sdtContent>
                      </w:sdt>
                      <w:r>
                        <w:rPr>
                          <w:sz w:val="22"/>
                          <w:szCs w:val="22"/>
                          <w:lang w:eastAsia="lt-LT"/>
                        </w:rPr>
                        <w:t xml:space="preserve">. </w:t>
                      </w:r>
                      <w:r>
                        <w:rPr>
                          <w:sz w:val="22"/>
                          <w:szCs w:val="22"/>
                        </w:rPr>
                        <w:t>Prižiūrimi finansų rinkos dalyviai yra bankai, užsienio valstybių bankų filialai, įsteigti Lietuvos Respublikoje, Centrinė kredito unija,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patarėjo įmonės, reguliuojamos rinkos operatoriai, valdymo įmonės, investicinės bendrovės, depozitoriumai, užsienio valstybių finansų maklerio įmonės ir valdymo įmonių filialai, įsteigti Lietuvos Respublikoje, pensijų asociacijos, kontroliuojančiosios investicinės bendrovės ir emitentai, mokėjimo įstaigos ir mokėjimo įstaigų tarpininkai, vartojimo kredito davėjai ir vartojimo kredito tarpininkai, mokėjimo ir vertybinių popierių atsiskaitymo sistemų operatoriai ir valiutos keityklų operatoriai.</w:t>
                      </w:r>
                    </w:p>
                  </w:sdtContent>
                </w:sdt>
                <w:sdt>
                  <w:sdtPr>
                    <w:alias w:val="42 str. 2 d."/>
                    <w:tag w:val="part_222f459abe6a47018ca4765b46e4961c"/>
                    <w:lock w:val="sdtLocked"/>
                    <w:richText/>
                  </w:sdtPr>
                  <w:sdtContent>
                    <w:p>
                      <w:pPr>
                        <w:ind w:firstLine="720"/>
                        <w:jc w:val="both"/>
                        <w:rPr>
                          <w:bCs/>
                          <w:sz w:val="22"/>
                          <w:szCs w:val="22"/>
                        </w:rPr>
                      </w:pPr>
                      <w:sdt>
                        <w:sdtPr>
                          <w:alias w:val="Numeris"/>
                          <w:tag w:val="nr_222f459abe6a47018ca4765b46e4961c"/>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6ad3f2b4e5dd4997b1d82db51d1d2ec9"/>
                        <w:lock w:val="sdtLocked"/>
                        <w:richText/>
                      </w:sdtPr>
                      <w:sdtContent>
                        <w:p>
                          <w:pPr>
                            <w:ind w:firstLine="720"/>
                            <w:jc w:val="both"/>
                            <w:rPr>
                              <w:bCs/>
                              <w:sz w:val="22"/>
                              <w:szCs w:val="22"/>
                            </w:rPr>
                          </w:pPr>
                          <w:sdt>
                            <w:sdtPr>
                              <w:alias w:val="Numeris"/>
                              <w:tag w:val="nr_6ad3f2b4e5dd4997b1d82db51d1d2ec9"/>
                              <w:lock w:val="sdtLocked"/>
                              <w:richText/>
                            </w:sdtPr>
                            <w:sdtContent>
                              <w:r>
                                <w:rPr>
                                  <w:bCs/>
                                  <w:sz w:val="22"/>
                                  <w:szCs w:val="22"/>
                                </w:rPr>
                                <w:t>1</w:t>
                              </w:r>
                            </w:sdtContent>
                          </w:sdt>
                          <w:r>
                            <w:rPr>
                              <w:bCs/>
                              <w:sz w:val="22"/>
                              <w:szCs w:val="22"/>
                            </w:rPr>
                            <w:t>) atlieka bankų, užsienio valstybių bankų filialų, įsteigtų Lietuvos Respublikoje, Centrinės kredito unijos, kredito unijų priežiūrą ir kitas Lietuvos Respublikos bankų įstatymo, Lietuvos Respublikos centrinės kredito unijos įstatymo ir Lietuvos Respublikos kredito unijų įstatymo Lietuvos bankui priskirtas funkcijas;</w:t>
                          </w:r>
                        </w:p>
                      </w:sdtContent>
                    </w:sdt>
                    <w:sdt>
                      <w:sdtPr>
                        <w:alias w:val="42 str. 2 d. 2 p."/>
                        <w:tag w:val="part_eba793c2980f4b7ab08e1b91d09470e5"/>
                        <w:lock w:val="sdtLocked"/>
                        <w:richText/>
                      </w:sdtPr>
                      <w:sdtContent>
                        <w:p>
                          <w:pPr>
                            <w:ind w:firstLine="720"/>
                            <w:jc w:val="both"/>
                            <w:rPr>
                              <w:bCs/>
                              <w:sz w:val="22"/>
                              <w:szCs w:val="22"/>
                            </w:rPr>
                          </w:pPr>
                          <w:sdt>
                            <w:sdtPr>
                              <w:alias w:val="Numeris"/>
                              <w:tag w:val="nr_eba793c2980f4b7ab08e1b91d09470e5"/>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5562d087550a4831a4e554e300e35e41"/>
                        <w:lock w:val="sdtLocked"/>
                        <w:richText/>
                      </w:sdtPr>
                      <w:sdtContent>
                        <w:p>
                          <w:pPr>
                            <w:ind w:firstLine="720"/>
                            <w:jc w:val="both"/>
                            <w:rPr>
                              <w:bCs/>
                              <w:sz w:val="22"/>
                              <w:szCs w:val="22"/>
                            </w:rPr>
                          </w:pPr>
                          <w:sdt>
                            <w:sdtPr>
                              <w:alias w:val="Numeris"/>
                              <w:tag w:val="nr_5562d087550a4831a4e554e300e35e41"/>
                              <w:lock w:val="sdtLocked"/>
                              <w:richText/>
                            </w:sdtPr>
                            <w:sdtContent>
                              <w:r>
                                <w:rPr>
                                  <w:bCs/>
                                  <w:sz w:val="22"/>
                                  <w:szCs w:val="22"/>
                                </w:rPr>
                                <w:t>3</w:t>
                              </w:r>
                            </w:sdtContent>
                          </w:sdt>
                          <w:r>
                            <w:rPr>
                              <w:bCs/>
                              <w:sz w:val="22"/>
                              <w:szCs w:val="22"/>
                            </w:rPr>
                            <w:t xml:space="preserve">)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sdtContent>
                    </w:sdt>
                    <w:sdt>
                      <w:sdtPr>
                        <w:alias w:val="42 str. 2 d. 4 p."/>
                        <w:tag w:val="part_534c09eed3bc4658947279ffdea278e9"/>
                        <w:lock w:val="sdtLocked"/>
                        <w:richText/>
                      </w:sdtPr>
                      <w:sdtContent>
                        <w:p>
                          <w:pPr>
                            <w:tabs>
                              <w:tab w:val="left" w:pos="720"/>
                            </w:tabs>
                            <w:ind w:right="6" w:firstLine="720"/>
                            <w:jc w:val="both"/>
                            <w:rPr>
                              <w:bCs/>
                              <w:sz w:val="22"/>
                              <w:szCs w:val="22"/>
                            </w:rPr>
                          </w:pPr>
                          <w:sdt>
                            <w:sdtPr>
                              <w:alias w:val="Numeris"/>
                              <w:tag w:val="nr_534c09eed3bc4658947279ffdea278e9"/>
                              <w:lock w:val="sdtLocked"/>
                              <w:richText/>
                            </w:sdtPr>
                            <w:sdtContent>
                              <w:r>
                                <w:rPr>
                                  <w:sz w:val="22"/>
                                  <w:szCs w:val="22"/>
                                  <w:lang w:eastAsia="lt-LT" w:bidi="he-IL"/>
                                </w:rPr>
                                <w:t>4</w:t>
                              </w:r>
                            </w:sdtContent>
                          </w:sdt>
                          <w:r>
                            <w:rPr>
                              <w:sz w:val="22"/>
                              <w:szCs w:val="22"/>
                              <w:lang w:eastAsia="lt-LT" w:bidi="he-IL"/>
                            </w:rPr>
                            <w:t>) atlieka finansų maklerio įmonių, finansų patarėjo įmonių, reguliuojamų rinkų operatorių, valdymo įmonių, investicinių bendrovių,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valdymo įmonių įstatymo, Lietuvos Respublikos informuotiesiems investuotojams skirtų kolektyvinio investavimo subjektų įstatymo, Lietuvos Respublikos profesionaliesiems investuotojams skirtų kolektyvinio investavimo subjektų valdymo įmonių įstatymo,</w:t>
                          </w:r>
                          <w:r>
                            <w:rPr>
                              <w:b/>
                              <w:sz w:val="22"/>
                              <w:szCs w:val="22"/>
                              <w:lang w:eastAsia="lt-LT" w:bidi="he-IL"/>
                            </w:rPr>
                            <w:t xml:space="preserve"> </w:t>
                          </w:r>
                          <w:r>
                            <w:rPr>
                              <w:sz w:val="22"/>
                              <w:szCs w:val="22"/>
                              <w:lang w:eastAsia="lt-LT" w:bidi="he-IL"/>
                            </w:rPr>
                            <w:t>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8818090b911e4bb408baba2bdddf3">
                            <w:r w:rsidRPr="00532B9F">
                              <w:rPr>
                                <w:rFonts w:ascii="Times New Roman" w:eastAsia="MS Mincho" w:hAnsi="Times New Roman"/>
                                <w:sz w:val="20"/>
                                <w:i/>
                                <w:iCs/>
                                <w:color w:val="0000FF" w:themeColor="hyperlink"/>
                                <w:u w:val="single"/>
                              </w:rPr>
                              <w:t>XII-1473</w:t>
                            </w:r>
                          </w:fldSimple>
                          <w:r>
                            <w:rPr>
                              <w:rFonts w:ascii="Times New Roman" w:eastAsia="MS Mincho" w:hAnsi="Times New Roman"/>
                              <w:sz w:val="20"/>
                              <w:i/>
                              <w:iCs/>
                            </w:rPr>
                            <w:t>,
2014-12-18,
paskelbta TAR 2014-12-31, i. k. 2014-21134            </w:t>
                          </w:r>
                        </w:p>
                        <w:p/>
                      </w:sdtContent>
                    </w:sdt>
                    <w:sdt>
                      <w:sdtPr>
                        <w:alias w:val="42 str. 2 d. 5 p."/>
                        <w:tag w:val="part_21798314417b43e6acd91606eebb2d0d"/>
                        <w:lock w:val="sdtLocked"/>
                        <w:richText/>
                      </w:sdtPr>
                      <w:sdtContent>
                        <w:p>
                          <w:pPr>
                            <w:ind w:firstLine="720"/>
                            <w:jc w:val="both"/>
                            <w:rPr>
                              <w:bCs/>
                              <w:sz w:val="22"/>
                              <w:szCs w:val="22"/>
                            </w:rPr>
                          </w:pPr>
                          <w:sdt>
                            <w:sdtPr>
                              <w:alias w:val="Numeris"/>
                              <w:tag w:val="nr_21798314417b43e6acd91606eebb2d0d"/>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e13ce716baec48ad8ecdaf4019c12074"/>
                        <w:lock w:val="sdtLocked"/>
                        <w:richText/>
                      </w:sdtPr>
                      <w:sdtContent>
                        <w:p>
                          <w:pPr>
                            <w:ind w:firstLine="720"/>
                            <w:jc w:val="both"/>
                            <w:rPr>
                              <w:bCs/>
                              <w:sz w:val="22"/>
                              <w:szCs w:val="22"/>
                            </w:rPr>
                          </w:pPr>
                          <w:sdt>
                            <w:sdtPr>
                              <w:alias w:val="Numeris"/>
                              <w:tag w:val="nr_e13ce716baec48ad8ecdaf4019c12074"/>
                              <w:lock w:val="sdtLocked"/>
                              <w:richText/>
                            </w:sdtPr>
                            <w:sdtContent>
                              <w:r>
                                <w:rPr>
                                  <w:bCs/>
                                  <w:sz w:val="22"/>
                                  <w:szCs w:val="22"/>
                                </w:rPr>
                                <w:t>6</w:t>
                              </w:r>
                            </w:sdtContent>
                          </w:sdt>
                          <w:r>
                            <w:rPr>
                              <w:bCs/>
                              <w:sz w:val="22"/>
                              <w:szCs w:val="22"/>
                            </w:rPr>
                            <w:t>) atlieka Lietuvos Respublikos finansų įstaigų įstatymo, Lietuvos Respublikos įmonių, priklausančių finansų konglomeratui, papildomos priežiūros įstatymo, Lietuvos Respublikos pinigų plovimo ir teroristų finansavimo prevencijos įstatymo, Lietuvos Respublikos mokėjimų įstatymo ir kitų įstatymų Lietuvos bankui priskirtas funkcijas;</w:t>
                          </w:r>
                        </w:p>
                      </w:sdtContent>
                    </w:sdt>
                    <w:sdt>
                      <w:sdtPr>
                        <w:alias w:val="42 str. 2 d. 7 p."/>
                        <w:tag w:val="part_710d6e173a1b42cfb485646ee835031e"/>
                        <w:lock w:val="sdtLocked"/>
                        <w:richText/>
                      </w:sdtPr>
                      <w:sdtContent>
                        <w:p>
                          <w:pPr>
                            <w:ind w:firstLine="720"/>
                            <w:jc w:val="both"/>
                            <w:rPr>
                              <w:bCs/>
                              <w:sz w:val="22"/>
                              <w:szCs w:val="22"/>
                            </w:rPr>
                          </w:pPr>
                          <w:sdt>
                            <w:sdtPr>
                              <w:alias w:val="Numeris"/>
                              <w:tag w:val="nr_710d6e173a1b42cfb485646ee835031e"/>
                              <w:lock w:val="sdtLocked"/>
                              <w:richText/>
                            </w:sdtPr>
                            <w:sdtContent>
                              <w:r>
                                <w:rPr>
                                  <w:bCs/>
                                  <w:sz w:val="22"/>
                                  <w:szCs w:val="22"/>
                                </w:rPr>
                                <w:t>7</w:t>
                              </w:r>
                            </w:sdtContent>
                          </w:sdt>
                          <w:r>
                            <w:rPr>
                              <w:bCs/>
                              <w:sz w:val="22"/>
                              <w:szCs w:val="22"/>
                            </w:rPr>
                            <w:t>) atlieka vartojimo kredito davėjų ir vartojimo kredito tarpininkų priežiūrą ir kitas Lietuvos Respublikos vartojimo kredito įstatymo Lietuvos bankui priskirtas funkcijas;</w:t>
                          </w:r>
                        </w:p>
                      </w:sdtContent>
                    </w:sdt>
                    <w:sdt>
                      <w:sdtPr>
                        <w:alias w:val="42 str. 2 d. 8 p."/>
                        <w:tag w:val="part_983d04183f054ae690ca98a3a44dd382"/>
                        <w:lock w:val="sdtLocked"/>
                        <w:richText/>
                      </w:sdtPr>
                      <w:sdtContent>
                        <w:p>
                          <w:pPr>
                            <w:ind w:firstLine="720"/>
                            <w:jc w:val="both"/>
                            <w:rPr>
                              <w:b/>
                              <w:bCs/>
                              <w:i/>
                              <w:sz w:val="20"/>
                            </w:rPr>
                          </w:pPr>
                          <w:sdt>
                            <w:sdtPr>
                              <w:alias w:val="Numeris"/>
                              <w:tag w:val="nr_983d04183f054ae690ca98a3a44dd382"/>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beb3881955284336aef9ae6af7e79103"/>
                        <w:lock w:val="sdtLocked"/>
                        <w:richText/>
                      </w:sdtPr>
                      <w:sdtContent>
                        <w:p>
                          <w:pPr>
                            <w:ind w:firstLine="720"/>
                            <w:jc w:val="both"/>
                            <w:rPr>
                              <w:sz w:val="22"/>
                              <w:szCs w:val="22"/>
                            </w:rPr>
                          </w:pPr>
                          <w:r>
                            <w:rPr>
                              <w:sz w:val="22"/>
                              <w:szCs w:val="22"/>
                            </w:rPr>
                            <w:t>9) atlieka valiutos keityklų operatorių priežiūrą ir kitas Lietuvos Respublikos valiutos keityklos operatorių įstatyme Lietuvos bankui priskirtas funkcijas;</w:t>
                          </w:r>
                        </w:p>
                      </w:sdtContent>
                    </w:sdt>
                    <w:sdt>
                      <w:sdtPr>
                        <w:alias w:val="10 p."/>
                        <w:tag w:val="part_07ceadcb47134f34a72827b453a23b49"/>
                        <w:lock w:val="sdtLocked"/>
                        <w:richText/>
                      </w:sdtPr>
                      <w:sdtContent>
                        <w:p>
                          <w:pPr>
                            <w:tabs>
                              <w:tab w:val="left" w:pos="720"/>
                            </w:tabs>
                            <w:ind w:right="6" w:firstLine="720"/>
                            <w:jc w:val="both"/>
                            <w:rPr>
                              <w:bCs/>
                              <w:sz w:val="22"/>
                              <w:szCs w:val="22"/>
                            </w:rPr>
                          </w:pPr>
                          <w:sdt>
                            <w:sdtPr>
                              <w:alias w:val="Numeris"/>
                              <w:tag w:val="nr_07ceadcb47134f34a72827b453a23b49"/>
                              <w:lock w:val="sdtLocked"/>
                              <w:richText/>
                            </w:sdtPr>
                            <w:sdtContent>
                              <w:r>
                                <w:rPr>
                                  <w:sz w:val="22"/>
                                  <w:szCs w:val="22"/>
                                  <w:lang w:eastAsia="lt-LT" w:bidi="he-IL"/>
                                </w:rPr>
                                <w:t>10</w:t>
                              </w:r>
                            </w:sdtContent>
                          </w:sdt>
                          <w:r>
                            <w:rPr>
                              <w:sz w:val="22"/>
                              <w:szCs w:val="22"/>
                              <w:lang w:eastAsia="lt-LT" w:bidi="he-IL"/>
                            </w:rPr>
                            <w:t>) atlieka R</w:t>
                          </w:r>
                          <w:r>
                            <w:rPr>
                              <w:bCs/>
                              <w:sz w:val="22"/>
                              <w:szCs w:val="22"/>
                              <w:lang w:eastAsia="lt-LT"/>
                            </w:rPr>
                            <w:t>eglamento (EB) Nr. 1060/2009 kompetentingai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8818090b911e4bb408baba2bdddf3">
                            <w:r w:rsidRPr="00532B9F">
                              <w:rPr>
                                <w:rFonts w:ascii="Times New Roman" w:eastAsia="MS Mincho" w:hAnsi="Times New Roman"/>
                                <w:sz w:val="20"/>
                                <w:i/>
                                <w:iCs/>
                                <w:color w:val="0000FF" w:themeColor="hyperlink"/>
                                <w:u w:val="single"/>
                              </w:rPr>
                              <w:t>XII-1473</w:t>
                            </w:r>
                          </w:fldSimple>
                          <w:r>
                            <w:rPr>
                              <w:rFonts w:ascii="Times New Roman" w:eastAsia="MS Mincho" w:hAnsi="Times New Roman"/>
                              <w:sz w:val="20"/>
                              <w:i/>
                              <w:iCs/>
                            </w:rPr>
                            <w:t>,
2014-12-18,
paskelbta TAR 2014-12-31, i. k. 2014-21134        </w:t>
                          </w:r>
                        </w:p>
                        <w:p/>
                      </w:sdtContent>
                    </w:sdt>
                  </w:sdtContent>
                </w:sdt>
                <w:sdt>
                  <w:sdtPr>
                    <w:alias w:val="2-1 d."/>
                    <w:tag w:val="part_2af65cd3a38d49dcb45e3e9ed6cf1449"/>
                    <w:lock w:val="sdtLocked"/>
                    <w:richText/>
                  </w:sdtPr>
                  <w:sdtContent>
                    <w:p>
                      <w:pPr>
                        <w:ind w:firstLine="720"/>
                        <w:jc w:val="both"/>
                        <w:rPr>
                          <w:bCs/>
                          <w:sz w:val="22"/>
                          <w:szCs w:val="22"/>
                        </w:rPr>
                      </w:pPr>
                      <w:sdt>
                        <w:sdtPr>
                          <w:alias w:val="Numeris"/>
                          <w:tag w:val="nr_2af65cd3a38d49dcb45e3e9ed6cf1449"/>
                          <w:lock w:val="sdtLocked"/>
                          <w:richText/>
                        </w:sdtPr>
                        <w:sdtContent>
                          <w:r>
                            <w:rPr>
                              <w:bCs/>
                              <w:sz w:val="22"/>
                              <w:szCs w:val="22"/>
                            </w:rPr>
                            <w:t>2</w:t>
                          </w:r>
                          <w:r>
                            <w:rPr>
                              <w:bCs/>
                              <w:sz w:val="22"/>
                              <w:szCs w:val="22"/>
                              <w:vertAlign w:val="superscript"/>
                            </w:rPr>
                            <w:t>1</w:t>
                          </w:r>
                        </w:sdtContent>
                      </w:sdt>
                      <w:r>
                        <w:rPr>
                          <w:bCs/>
                          <w:sz w:val="22"/>
                          <w:szCs w:val="22"/>
                        </w:rPr>
                        <w:t>. Lietuvos bankas finansų rinkos priežiūrą atlieka tiek, kiek pagal Reglamento (ES) Nr. 1024/2013 nuostatas tai nepavesta Europos centriniam bankui.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3 d."/>
                    <w:tag w:val="part_eb67969674f9435b8b44f3a3048027bc"/>
                    <w:lock w:val="sdtLocked"/>
                    <w:richText/>
                  </w:sdtPr>
                  <w:sdtContent>
                    <w:p>
                      <w:pPr>
                        <w:ind w:firstLine="720"/>
                        <w:jc w:val="both"/>
                        <w:rPr>
                          <w:sz w:val="22"/>
                          <w:szCs w:val="22"/>
                        </w:rPr>
                      </w:pPr>
                      <w:sdt>
                        <w:sdtPr>
                          <w:alias w:val="Numeris"/>
                          <w:tag w:val="nr_eb67969674f9435b8b44f3a3048027bc"/>
                          <w:lock w:val="sdtLocked"/>
                          <w:richText/>
                        </w:sdtPr>
                        <w:sdtContent>
                          <w:r>
                            <w:rPr>
                              <w:bCs/>
                              <w:sz w:val="22"/>
                              <w:szCs w:val="22"/>
                            </w:rPr>
                            <w:t>3</w:t>
                          </w:r>
                        </w:sdtContent>
                      </w:sdt>
                      <w:r>
                        <w:rPr>
                          <w:bCs/>
                          <w:sz w:val="22"/>
                          <w:szCs w:val="22"/>
                        </w:rPr>
                        <w:t xml:space="preserve">. </w:t>
                      </w:r>
                      <w:r>
                        <w:rPr>
                          <w:sz w:val="22"/>
                          <w:szCs w:val="22"/>
                        </w:rPr>
                        <w:t>Lietuvos bankas, atlikdamas finansų rinkos priežiūrą, turi teisę:</w:t>
                      </w:r>
                    </w:p>
                    <w:sdt>
                      <w:sdtPr>
                        <w:alias w:val="3 d. 1 p."/>
                        <w:tag w:val="part_2277b48d00804ab5ba4cbb3477bde428"/>
                        <w:lock w:val="sdtLocked"/>
                        <w:richText/>
                      </w:sdtPr>
                      <w:sdtContent>
                        <w:p>
                          <w:pPr>
                            <w:ind w:firstLine="720"/>
                            <w:jc w:val="both"/>
                            <w:rPr>
                              <w:sz w:val="22"/>
                              <w:szCs w:val="22"/>
                            </w:rPr>
                          </w:pPr>
                          <w:sdt>
                            <w:sdtPr>
                              <w:alias w:val="Numeris"/>
                              <w:tag w:val="nr_2277b48d00804ab5ba4cbb3477bde428"/>
                              <w:lock w:val="sdtLocked"/>
                              <w:richText/>
                            </w:sdtPr>
                            <w:sdtContent>
                              <w:r>
                                <w:rPr>
                                  <w:sz w:val="22"/>
                                  <w:szCs w:val="22"/>
                                </w:rPr>
                                <w:t>1</w:t>
                              </w:r>
                            </w:sdtContent>
                          </w:sdt>
                          <w:r>
                            <w:rPr>
                              <w:sz w:val="22"/>
                              <w:szCs w:val="22"/>
                            </w:rPr>
                            <w:t>) leisti teisės aktus ir rekomendacijas dėl prižiūrimų finansų rinkos dalyvių veiklos ir priežiūros;</w:t>
                          </w:r>
                        </w:p>
                      </w:sdtContent>
                    </w:sdt>
                    <w:sdt>
                      <w:sdtPr>
                        <w:alias w:val="3 d. 2 p."/>
                        <w:tag w:val="part_f7baded11b034180b8a319ffdcf9acbf"/>
                        <w:lock w:val="sdtLocked"/>
                        <w:richText/>
                      </w:sdtPr>
                      <w:sdtContent>
                        <w:p>
                          <w:pPr>
                            <w:ind w:firstLine="720"/>
                            <w:jc w:val="both"/>
                            <w:rPr>
                              <w:sz w:val="22"/>
                              <w:szCs w:val="22"/>
                            </w:rPr>
                          </w:pPr>
                          <w:sdt>
                            <w:sdtPr>
                              <w:alias w:val="Numeris"/>
                              <w:tag w:val="nr_f7baded11b034180b8a319ffdcf9acbf"/>
                              <w:lock w:val="sdtLocked"/>
                              <w:richText/>
                            </w:sdtPr>
                            <w:sdtContent>
                              <w:r>
                                <w:rPr>
                                  <w:sz w:val="22"/>
                                  <w:szCs w:val="22"/>
                                </w:rPr>
                                <w:t>2</w:t>
                              </w:r>
                            </w:sdtContent>
                          </w:sdt>
                          <w:r>
                            <w:rPr>
                              <w:sz w:val="22"/>
                              <w:szCs w:val="22"/>
                            </w:rPr>
                            <w:t>) gauti priežiūrai atlikti reikalingą informaciją iš valstybės institucijų, prižiūrimų finansų rinkos dalyvių ir kitų įmonių, įstaigų, organizacijų;</w:t>
                          </w:r>
                        </w:p>
                      </w:sdtContent>
                    </w:sdt>
                    <w:sdt>
                      <w:sdtPr>
                        <w:alias w:val="3 d. 3 p."/>
                        <w:tag w:val="part_cb6f3a95642e40d4884d69870e630d9f"/>
                        <w:lock w:val="sdtLocked"/>
                        <w:richText/>
                      </w:sdtPr>
                      <w:sdtContent>
                        <w:p>
                          <w:pPr>
                            <w:ind w:firstLine="720"/>
                            <w:jc w:val="both"/>
                            <w:rPr>
                              <w:sz w:val="22"/>
                              <w:szCs w:val="22"/>
                            </w:rPr>
                          </w:pPr>
                          <w:sdt>
                            <w:sdtPr>
                              <w:alias w:val="Numeris"/>
                              <w:tag w:val="nr_cb6f3a95642e40d4884d69870e630d9f"/>
                              <w:lock w:val="sdtLocked"/>
                              <w:richText/>
                            </w:sdtPr>
                            <w:sdtContent>
                              <w:r>
                                <w:rPr>
                                  <w:sz w:val="22"/>
                                  <w:szCs w:val="22"/>
                                </w:rPr>
                                <w:t>3</w:t>
                              </w:r>
                            </w:sdtContent>
                          </w:sdt>
                          <w:r>
                            <w:rPr>
                              <w:sz w:val="22"/>
                              <w:szCs w:val="22"/>
                            </w:rPr>
                            <w:t>) inspektuoti (tikrinti) prižiūrimus finansų rinkos dalyvius, o įstatymų nustatytais atvejais – ir kitus asmenis;</w:t>
                          </w:r>
                        </w:p>
                      </w:sdtContent>
                    </w:sdt>
                    <w:sdt>
                      <w:sdtPr>
                        <w:alias w:val="3 d. 4 p."/>
                        <w:tag w:val="part_9a5b44423ccc47ad96f1ee2661c11812"/>
                        <w:lock w:val="sdtLocked"/>
                        <w:richText/>
                      </w:sdtPr>
                      <w:sdtContent>
                        <w:p>
                          <w:pPr>
                            <w:ind w:firstLine="720"/>
                            <w:jc w:val="both"/>
                            <w:rPr>
                              <w:sz w:val="22"/>
                              <w:szCs w:val="22"/>
                            </w:rPr>
                          </w:pPr>
                          <w:sdt>
                            <w:sdtPr>
                              <w:alias w:val="Numeris"/>
                              <w:tag w:val="nr_9a5b44423ccc47ad96f1ee2661c11812"/>
                              <w:lock w:val="sdtLocked"/>
                              <w:richText/>
                            </w:sdtPr>
                            <w:sdtContent>
                              <w:r>
                                <w:rPr>
                                  <w:sz w:val="22"/>
                                  <w:szCs w:val="22"/>
                                </w:rPr>
                                <w:t>4</w:t>
                              </w:r>
                            </w:sdtContent>
                          </w:sdt>
                          <w:r>
                            <w:rPr>
                              <w:sz w:val="22"/>
                              <w:szCs w:val="22"/>
                            </w:rPr>
                            <w:t>) įstatymų ir Europos Sąjungos teisės aktų nustatytais atvejais ir tvarka taikyti poveikio priemones prižiūrimiems finansų rinkos dalyviams ir kitiems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3 d. 5 p."/>
                        <w:tag w:val="part_e8b7b3ea98684122a56365ef69ef14d2"/>
                        <w:lock w:val="sdtLocked"/>
                        <w:richText/>
                      </w:sdtPr>
                      <w:sdtContent>
                        <w:p>
                          <w:pPr>
                            <w:ind w:firstLine="720"/>
                            <w:jc w:val="both"/>
                            <w:rPr>
                              <w:bCs/>
                              <w:sz w:val="22"/>
                              <w:szCs w:val="22"/>
                            </w:rPr>
                          </w:pPr>
                          <w:sdt>
                            <w:sdtPr>
                              <w:alias w:val="Numeris"/>
                              <w:tag w:val="nr_e8b7b3ea98684122a56365ef69ef14d2"/>
                              <w:lock w:val="sdtLocked"/>
                              <w:richText/>
                            </w:sdtPr>
                            <w:sdtContent>
                              <w:r>
                                <w:rPr>
                                  <w:sz w:val="22"/>
                                  <w:szCs w:val="22"/>
                                </w:rPr>
                                <w:t>5</w:t>
                              </w:r>
                            </w:sdtContent>
                          </w:sdt>
                          <w:r>
                            <w:rPr>
                              <w:sz w:val="22"/>
                              <w:szCs w:val="22"/>
                            </w:rPr>
                            <w:t xml:space="preserve">) turėti kitokių teisių, nustatytų </w:t>
                          </w:r>
                          <w:r>
                            <w:rPr>
                              <w:bCs/>
                              <w:sz w:val="22"/>
                              <w:szCs w:val="22"/>
                            </w:rPr>
                            <w:t>šio straipsnio 2 ir 2</w:t>
                          </w:r>
                          <w:r>
                            <w:rPr>
                              <w:bCs/>
                              <w:sz w:val="22"/>
                              <w:szCs w:val="22"/>
                              <w:vertAlign w:val="superscript"/>
                            </w:rPr>
                            <w:t>1</w:t>
                          </w:r>
                          <w:r>
                            <w:rPr>
                              <w:bCs/>
                              <w:sz w:val="22"/>
                              <w:szCs w:val="22"/>
                            </w:rPr>
                            <w:t xml:space="preserve"> dalyse nurodytuose teisės aktuose ir jų įgyvendinamuosiuose teisės aktuose.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Content>
                </w:sdt>
                <w:sdt>
                  <w:sdtPr>
                    <w:alias w:val="4 d."/>
                    <w:tag w:val="part_93ae26d7a4ea48c7992566d4d42a9827"/>
                    <w:lock w:val="sdtLocked"/>
                    <w:richText/>
                  </w:sdtPr>
                  <w:sdtContent>
                    <w:p>
                      <w:pPr>
                        <w:ind w:firstLine="720"/>
                        <w:jc w:val="both"/>
                        <w:rPr>
                          <w:sz w:val="22"/>
                          <w:szCs w:val="22"/>
                          <w:lang w:eastAsia="lt-LT"/>
                        </w:rPr>
                      </w:pPr>
                      <w:sdt>
                        <w:sdtPr>
                          <w:alias w:val="Numeris"/>
                          <w:tag w:val="nr_93ae26d7a4ea48c7992566d4d42a9827"/>
                          <w:lock w:val="sdtLocked"/>
                          <w:richText/>
                        </w:sdtPr>
                        <w:sdtContent>
                          <w:r>
                            <w:rPr>
                              <w:sz w:val="22"/>
                              <w:szCs w:val="22"/>
                              <w:lang w:eastAsia="lt-LT"/>
                            </w:rPr>
                            <w:t>4</w:t>
                          </w:r>
                        </w:sdtContent>
                      </w:sdt>
                      <w:r>
                        <w:rPr>
                          <w:sz w:val="22"/>
                          <w:szCs w:val="22"/>
                          <w:lang w:eastAsia="lt-LT"/>
                        </w:rPr>
                        <w:t>. Šio straipsnio 3 dalyje numatytomis teisėmis Lietuvos bankas naudojasi:</w:t>
                      </w:r>
                    </w:p>
                    <w:sdt>
                      <w:sdtPr>
                        <w:alias w:val="4 d. 1 p."/>
                        <w:tag w:val="part_8a4948183c3d442c8ba26ef314a1b1ac"/>
                        <w:lock w:val="sdtLocked"/>
                        <w:richText/>
                      </w:sdtPr>
                      <w:sdtContent>
                        <w:p>
                          <w:pPr>
                            <w:ind w:firstLine="720"/>
                            <w:jc w:val="both"/>
                            <w:rPr>
                              <w:sz w:val="22"/>
                              <w:szCs w:val="22"/>
                              <w:lang w:eastAsia="lt-LT"/>
                            </w:rPr>
                          </w:pPr>
                          <w:sdt>
                            <w:sdtPr>
                              <w:alias w:val="Numeris"/>
                              <w:tag w:val="nr_8a4948183c3d442c8ba26ef314a1b1ac"/>
                              <w:lock w:val="sdtLocked"/>
                              <w:richText/>
                            </w:sdtPr>
                            <w:sdtContent>
                              <w:r>
                                <w:rPr>
                                  <w:sz w:val="22"/>
                                  <w:szCs w:val="22"/>
                                  <w:lang w:eastAsia="lt-LT"/>
                                </w:rPr>
                                <w:t>1</w:t>
                              </w:r>
                            </w:sdtContent>
                          </w:sdt>
                          <w:r>
                            <w:rPr>
                              <w:sz w:val="22"/>
                              <w:szCs w:val="22"/>
                              <w:lang w:eastAsia="lt-LT"/>
                            </w:rPr>
                            <w:t>) tiesiogiai;</w:t>
                          </w:r>
                        </w:p>
                      </w:sdtContent>
                    </w:sdt>
                    <w:sdt>
                      <w:sdtPr>
                        <w:alias w:val="4 d. 2 p."/>
                        <w:tag w:val="part_8df56807af464b9e95b1fce92b39bd10"/>
                        <w:lock w:val="sdtLocked"/>
                        <w:richText/>
                      </w:sdtPr>
                      <w:sdtContent>
                        <w:p>
                          <w:pPr>
                            <w:tabs>
                              <w:tab w:val="left" w:pos="709"/>
                            </w:tabs>
                            <w:ind w:firstLine="720"/>
                            <w:jc w:val="both"/>
                            <w:rPr>
                              <w:sz w:val="22"/>
                              <w:szCs w:val="22"/>
                              <w:lang w:eastAsia="lt-LT"/>
                            </w:rPr>
                          </w:pPr>
                          <w:sdt>
                            <w:sdtPr>
                              <w:alias w:val="Numeris"/>
                              <w:tag w:val="nr_8df56807af464b9e95b1fce92b39bd10"/>
                              <w:lock w:val="sdtLocked"/>
                              <w:richText/>
                            </w:sdtPr>
                            <w:sdtContent>
                              <w:r>
                                <w:rPr>
                                  <w:sz w:val="22"/>
                                  <w:szCs w:val="22"/>
                                  <w:lang w:eastAsia="lt-LT"/>
                                </w:rPr>
                                <w:t>2</w:t>
                              </w:r>
                            </w:sdtContent>
                          </w:sdt>
                          <w:r>
                            <w:rPr>
                              <w:sz w:val="22"/>
                              <w:szCs w:val="22"/>
                              <w:lang w:eastAsia="lt-LT"/>
                            </w:rPr>
                            <w:t>) bendradarbiaudamas su kitomis priežiūros, valstybės ir savivaldybių institucijomis;</w:t>
                          </w:r>
                        </w:p>
                      </w:sdtContent>
                    </w:sdt>
                    <w:sdt>
                      <w:sdtPr>
                        <w:alias w:val="4 d. 3 p."/>
                        <w:tag w:val="part_1b0b6d0566c544f1bb7a05ecd33b31a8"/>
                        <w:lock w:val="sdtLocked"/>
                        <w:richText/>
                      </w:sdtPr>
                      <w:sdtContent>
                        <w:p>
                          <w:pPr>
                            <w:ind w:firstLine="720"/>
                            <w:jc w:val="both"/>
                            <w:rPr>
                              <w:sz w:val="22"/>
                              <w:szCs w:val="22"/>
                              <w:lang w:eastAsia="lt-LT"/>
                            </w:rPr>
                          </w:pPr>
                          <w:sdt>
                            <w:sdtPr>
                              <w:alias w:val="Numeris"/>
                              <w:tag w:val="nr_1b0b6d0566c544f1bb7a05ecd33b31a8"/>
                              <w:lock w:val="sdtLocked"/>
                              <w:richText/>
                            </w:sdtPr>
                            <w:sdtContent>
                              <w:r>
                                <w:rPr>
                                  <w:sz w:val="22"/>
                                  <w:szCs w:val="22"/>
                                  <w:lang w:eastAsia="lt-LT"/>
                                </w:rPr>
                                <w:t>3</w:t>
                              </w:r>
                            </w:sdtContent>
                          </w:sdt>
                          <w:r>
                            <w:rPr>
                              <w:sz w:val="22"/>
                              <w:szCs w:val="22"/>
                              <w:lang w:eastAsia="lt-LT"/>
                            </w:rPr>
                            <w:t>) pasitelkdamas kitus asmenis tam tikriems veiksmams atlikti;</w:t>
                          </w:r>
                        </w:p>
                      </w:sdtContent>
                    </w:sdt>
                    <w:sdt>
                      <w:sdtPr>
                        <w:alias w:val="4 d. 4 p."/>
                        <w:tag w:val="part_e8b0f69785324ca8a66d6a76ac963c34"/>
                        <w:lock w:val="sdtLocked"/>
                        <w:richText/>
                      </w:sdtPr>
                      <w:sdtContent>
                        <w:p>
                          <w:pPr>
                            <w:ind w:firstLine="720"/>
                            <w:jc w:val="both"/>
                            <w:rPr>
                              <w:bCs/>
                              <w:sz w:val="22"/>
                              <w:szCs w:val="22"/>
                            </w:rPr>
                          </w:pPr>
                          <w:sdt>
                            <w:sdtPr>
                              <w:alias w:val="Numeris"/>
                              <w:tag w:val="nr_e8b0f69785324ca8a66d6a76ac963c34"/>
                              <w:lock w:val="sdtLocked"/>
                              <w:richText/>
                            </w:sdtPr>
                            <w:sdtContent>
                              <w:r>
                                <w:rPr>
                                  <w:sz w:val="22"/>
                                  <w:szCs w:val="22"/>
                                  <w:lang w:eastAsia="lt-LT"/>
                                </w:rPr>
                                <w:t>4</w:t>
                              </w:r>
                            </w:sdtContent>
                          </w:sdt>
                          <w:r>
                            <w:rPr>
                              <w:sz w:val="22"/>
                              <w:szCs w:val="22"/>
                              <w:lang w:eastAsia="lt-LT"/>
                            </w:rPr>
                            <w:t>) pasitelkdamas teisėsaugos institucijas.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6e5f099c611e58fd1fc0b9bba68a7">
                        <w:r w:rsidRPr="00532B9F">
                          <w:rPr>
                            <w:rFonts w:ascii="Times New Roman" w:eastAsia="MS Mincho" w:hAnsi="Times New Roman"/>
                            <w:sz w:val="20"/>
                            <w:i/>
                            <w:iCs/>
                            <w:color w:val="0000FF" w:themeColor="hyperlink"/>
                            <w:u w:val="single"/>
                          </w:rPr>
                          <w:t>XII-2075</w:t>
                        </w:r>
                      </w:fldSimple>
                      <w:r>
                        <w:rPr>
                          <w:rFonts w:ascii="Times New Roman" w:eastAsia="MS Mincho" w:hAnsi="Times New Roman"/>
                          <w:sz w:val="20"/>
                          <w:i/>
                          <w:iCs/>
                        </w:rPr>
                        <w:t>,
2015-11-26,
paskelbta TAR 2015-12-03, i. k. 2015-19283        </w:t>
                      </w:r>
                    </w:p>
                    <w:p/>
                  </w:sdtContent>
                </w:sdt>
                <w:sdt>
                  <w:sdtPr>
                    <w:alias w:val="42 str. 5 d."/>
                    <w:tag w:val="part_2fb9be5aff544eabb886946e024a0c2f"/>
                    <w:lock w:val="sdtLocked"/>
                    <w:richText/>
                  </w:sdtPr>
                  <w:sdtContent>
                    <w:p>
                      <w:pPr>
                        <w:shd w:val="clear" w:color="auto" w:fill="FFFFFF"/>
                        <w:ind w:firstLine="720"/>
                        <w:jc w:val="both"/>
                      </w:pPr>
                      <w:sdt>
                        <w:sdtPr>
                          <w:alias w:val="Numeris"/>
                          <w:tag w:val="nr_2fb9be5aff544eabb886946e024a0c2f"/>
                          <w:lock w:val="sdtLocked"/>
                          <w:richText/>
                        </w:sdtPr>
                        <w:sdtContent>
                          <w:r>
                            <w:rPr>
                              <w:bCs/>
                              <w:sz w:val="22"/>
                              <w:szCs w:val="22"/>
                            </w:rPr>
                            <w:t>5</w:t>
                          </w:r>
                        </w:sdtContent>
                      </w:sdt>
                      <w:r>
                        <w:rPr>
                          <w:bCs/>
                          <w:sz w:val="22"/>
                          <w:szCs w:val="22"/>
                        </w:rPr>
                        <w:t xml:space="preserve">. Lietuvos bankas konsultuoja Lietuvos banko atliekamos priežiūros kompetencijos klausimais ir imasi kitų </w:t>
                      </w:r>
                      <w:r>
                        <w:rPr>
                          <w:sz w:val="22"/>
                          <w:szCs w:val="22"/>
                          <w:lang w:eastAsia="lt-LT"/>
                        </w:rPr>
                        <w:t>Lietuvos Respublikos viešojo administravimo įstatyme ir kituose teisės aktuose nustatytų</w:t>
                      </w:r>
                      <w:r>
                        <w:rPr>
                          <w:bCs/>
                          <w:sz w:val="22"/>
                          <w:szCs w:val="22"/>
                        </w:rPr>
                        <w:t xml:space="preserve"> prevencinių veiksmų, skirtų užkirsti kelią galimiems teisės aktų pažeidimams.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6e5f099c611e58fd1fc0b9bba68a7">
                        <w:r w:rsidRPr="00532B9F">
                          <w:rPr>
                            <w:rFonts w:ascii="Times New Roman" w:eastAsia="MS Mincho" w:hAnsi="Times New Roman"/>
                            <w:sz w:val="20"/>
                            <w:i/>
                            <w:iCs/>
                            <w:color w:val="0000FF" w:themeColor="hyperlink"/>
                            <w:u w:val="single"/>
                          </w:rPr>
                          <w:t>XII-2075</w:t>
                        </w:r>
                      </w:fldSimple>
                      <w:r>
                        <w:rPr>
                          <w:rFonts w:ascii="Times New Roman" w:eastAsia="MS Mincho" w:hAnsi="Times New Roman"/>
                          <w:sz w:val="20"/>
                          <w:i/>
                          <w:iCs/>
                        </w:rPr>
                        <w:t>,
2015-11-26,
paskelbta TAR 2015-12-03, i. k. 2015-19283        </w:t>
                      </w:r>
                    </w:p>
                    <w:p/>
                  </w:sdtContent>
                </w:sdt>
                <w:sdt>
                  <w:sdtPr>
                    <w:alias w:val="42 str. 6 d."/>
                    <w:tag w:val="part_8f5b88349cc142719daf2ec775e7c518"/>
                    <w:lock w:val="sdtLocked"/>
                    <w:richText/>
                  </w:sdtPr>
                  <w:sdtContent>
                    <w:p>
                      <w:pPr>
                        <w:ind w:firstLine="720"/>
                        <w:jc w:val="both"/>
                      </w:pPr>
                      <w:sdt>
                        <w:sdtPr>
                          <w:alias w:val="Numeris"/>
                          <w:tag w:val="nr_8f5b88349cc142719daf2ec775e7c518"/>
                          <w:lock w:val="sdtLocked"/>
                          <w:richText/>
                        </w:sdtPr>
                        <w:sdtContent>
                          <w:r>
                            <w:rPr>
                              <w:sz w:val="22"/>
                              <w:szCs w:val="22"/>
                            </w:rPr>
                            <w:t>6</w:t>
                          </w:r>
                        </w:sdtContent>
                      </w:sdt>
                      <w:r>
                        <w:rPr>
                          <w:sz w:val="22"/>
                          <w:szCs w:val="22"/>
                        </w:rPr>
                        <w:t>. Lietuvos bankas, nustatęs faktus, liudijančius galimai nusikalstamą veiklą, apie juos praneša atitinkamoms teisėsaugos institucijoms.</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3"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4"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5" w:history="1">
                        <w:r>
                          <w:rPr>
                            <w:i/>
                            <w:color w:val="0000FF"/>
                            <w:sz w:val="20"/>
                            <w:u w:val="single"/>
                          </w:rPr>
                          <w:t>XI-1666</w:t>
                        </w:r>
                      </w:hyperlink>
                      <w:r>
                        <w:rPr>
                          <w:i/>
                          <w:sz w:val="20"/>
                        </w:rPr>
                        <w:t>, 2011-11-17, Žin., 2011, Nr. 145-6812 (2011-12-01)</w:t>
                      </w:r>
                    </w:p>
                    <w:p>
                      <w:pPr>
                        <w:jc w:val="both"/>
                        <w:rPr>
                          <w:i/>
                          <w:sz w:val="20"/>
                        </w:rPr>
                      </w:pPr>
                      <w:r>
                        <w:rPr>
                          <w:i/>
                          <w:sz w:val="20"/>
                        </w:rPr>
                        <w:t xml:space="preserve">Nr. </w:t>
                      </w:r>
                      <w:hyperlink r:id="rId96" w:history="1">
                        <w:r>
                          <w:rPr>
                            <w:i/>
                            <w:color w:val="0000FF"/>
                            <w:sz w:val="20"/>
                            <w:u w:val="single"/>
                          </w:rPr>
                          <w:t>XII-1035</w:t>
                        </w:r>
                      </w:hyperlink>
                      <w:r>
                        <w:rPr>
                          <w:i/>
                          <w:sz w:val="20"/>
                        </w:rPr>
                        <w:t>, 2014-07-17, paskelbta TAR 2014-08-04, i. k. 2014-10871</w:t>
                      </w:r>
                    </w:p>
                    <w:p>
                      <w:pPr>
                        <w:jc w:val="both"/>
                        <w:rPr>
                          <w:i/>
                          <w:sz w:val="20"/>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6e5f099c611e58fd1fc0b9bba68a7">
                        <w:r w:rsidRPr="00532B9F">
                          <w:rPr>
                            <w:rFonts w:ascii="Times New Roman" w:eastAsia="MS Mincho" w:hAnsi="Times New Roman"/>
                            <w:sz w:val="20"/>
                            <w:i/>
                            <w:iCs/>
                            <w:color w:val="0000FF" w:themeColor="hyperlink"/>
                            <w:u w:val="single"/>
                          </w:rPr>
                          <w:t>XII-2075</w:t>
                        </w:r>
                      </w:fldSimple>
                      <w:r>
                        <w:rPr>
                          <w:rFonts w:ascii="Times New Roman" w:eastAsia="MS Mincho" w:hAnsi="Times New Roman"/>
                          <w:sz w:val="20"/>
                          <w:i/>
                          <w:iCs/>
                        </w:rPr>
                        <w:t>,
2015-11-26,
paskelbta TAR 2015-12-03, i. k. 2015-19283        </w:t>
                      </w:r>
                    </w:p>
                    <w:p/>
                  </w:sdtContent>
                </w:sdt>
              </w:sdtContent>
            </w:sdt>
            <w:sdt>
              <w:sdtPr>
                <w:alias w:val="43 str."/>
                <w:tag w:val="part_da56f831353b49e98b7bf8d117842b53"/>
                <w:lock w:val="sdtLocked"/>
                <w:richText/>
              </w:sdtPr>
              <w:sdtContent>
                <w:p>
                  <w:pPr>
                    <w:ind w:firstLine="720"/>
                    <w:jc w:val="both"/>
                    <w:rPr>
                      <w:b/>
                      <w:bCs/>
                      <w:sz w:val="22"/>
                      <w:szCs w:val="22"/>
                    </w:rPr>
                  </w:pPr>
                  <w:sdt>
                    <w:sdtPr>
                      <w:alias w:val="Numeris"/>
                      <w:tag w:val="nr_da56f831353b49e98b7bf8d117842b53"/>
                      <w:lock w:val="sdtLocked"/>
                      <w:richText/>
                    </w:sdtPr>
                    <w:sdtContent>
                      <w:r>
                        <w:rPr>
                          <w:b/>
                          <w:bCs/>
                          <w:sz w:val="22"/>
                          <w:szCs w:val="22"/>
                        </w:rPr>
                        <w:t>43</w:t>
                      </w:r>
                    </w:sdtContent>
                  </w:sdt>
                  <w:r>
                    <w:rPr>
                      <w:b/>
                      <w:bCs/>
                      <w:sz w:val="22"/>
                      <w:szCs w:val="22"/>
                    </w:rPr>
                    <w:t xml:space="preserve"> straipsnis. </w:t>
                  </w:r>
                  <w:sdt>
                    <w:sdtPr>
                      <w:alias w:val="Pavadinimas"/>
                      <w:tag w:val="title_da56f831353b49e98b7bf8d117842b53"/>
                      <w:lock w:val="sdtLocked"/>
                      <w:richText/>
                    </w:sdtPr>
                    <w:sdtContent>
                      <w:r>
                        <w:rPr>
                          <w:b/>
                          <w:bCs/>
                          <w:sz w:val="22"/>
                          <w:szCs w:val="22"/>
                        </w:rPr>
                        <w:t>Finansų rinkos priežiūros tikslais gautos informacijos apsauga</w:t>
                      </w:r>
                    </w:sdtContent>
                  </w:sdt>
                </w:p>
                <w:sdt>
                  <w:sdtPr>
                    <w:alias w:val="43 str. 1 d."/>
                    <w:tag w:val="part_03f7ac2f851240ffb030005884f95e21"/>
                    <w:lock w:val="sdtLocked"/>
                    <w:richText/>
                  </w:sdtPr>
                  <w:sdtContent>
                    <w:p>
                      <w:pPr>
                        <w:ind w:firstLine="720"/>
                        <w:jc w:val="both"/>
                      </w:pPr>
                      <w:r>
                        <w:rPr>
                          <w:bCs/>
                          <w:sz w:val="22"/>
                          <w:szCs w:val="22"/>
                        </w:rPr>
                        <w:t>Informacijos, kurią Lietuvos bankas gauna finansų rinkos priežiūros tikslais, apsaugai taikomos šio įstatymo 19 straipsnio ir finansų rinką reglamentuojančių teisės aktų nuostatos.</w:t>
                      </w:r>
                    </w:p>
                  </w:sdtContent>
                </w:sdt>
                <w:p>
                  <w:pPr>
                    <w:rPr>
                      <w:rFonts w:eastAsia="MS Mincho"/>
                      <w:i/>
                      <w:iCs/>
                      <w:sz w:val="20"/>
                    </w:rPr>
                  </w:pPr>
                  <w:r>
                    <w:rPr>
                      <w:rFonts w:eastAsia="MS Mincho"/>
                      <w:i/>
                      <w:iCs/>
                      <w:sz w:val="20"/>
                    </w:rPr>
                    <w:t xml:space="preserve"> 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8"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9"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619886674c684f6da25c8e4d689c030f"/>
                    <w:lock w:val="sdtLocked"/>
                    <w:richText/>
                  </w:sdtPr>
                  <w:sdtContent>
                    <w:p>
                      <w:pPr>
                        <w:ind w:firstLine="720"/>
                        <w:jc w:val="both"/>
                        <w:rPr>
                          <w:bCs/>
                          <w:sz w:val="22"/>
                          <w:szCs w:val="22"/>
                        </w:rPr>
                      </w:pPr>
                      <w:sdt>
                        <w:sdtPr>
                          <w:alias w:val="Numeris"/>
                          <w:tag w:val="nr_619886674c684f6da25c8e4d689c030f"/>
                          <w:lock w:val="sdtLocked"/>
                          <w:richText/>
                        </w:sdtPr>
                        <w:sdtContent>
                          <w:r>
                            <w:rPr>
                              <w:bCs/>
                              <w:sz w:val="22"/>
                              <w:szCs w:val="22"/>
                            </w:rPr>
                            <w:t>2</w:t>
                          </w:r>
                        </w:sdtContent>
                      </w:sdt>
                      <w:r>
                        <w:rPr>
                          <w:bCs/>
                          <w:sz w:val="22"/>
                          <w:szCs w:val="22"/>
                        </w:rPr>
                        <w:t>. Lietuvos bankas Lietuvos banko tarnautojams ir jame dirbusiems tarnautojams išmoka kompensaciją, lygią jų išlaidoms, turėtoms dėl iškeltų baudžiamųjų ar administracinių teisės pažeidimų bylų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795ba16d030d4f2ab1d51e8451e272da"/>
                        <w:lock w:val="sdtLocked"/>
                        <w:richText/>
                      </w:sdtPr>
                      <w:sdtContent>
                        <w:p>
                          <w:pPr>
                            <w:ind w:firstLine="720"/>
                            <w:jc w:val="both"/>
                            <w:rPr>
                              <w:bCs/>
                              <w:sz w:val="22"/>
                              <w:szCs w:val="22"/>
                            </w:rPr>
                          </w:pPr>
                          <w:sdt>
                            <w:sdtPr>
                              <w:alias w:val="Numeris"/>
                              <w:tag w:val="nr_795ba16d030d4f2ab1d51e8451e272da"/>
                              <w:lock w:val="sdtLocked"/>
                              <w:richText/>
                            </w:sdtPr>
                            <w:sdtContent>
                              <w:r>
                                <w:rPr>
                                  <w:bCs/>
                                  <w:sz w:val="22"/>
                                  <w:szCs w:val="22"/>
                                </w:rPr>
                                <w:t>1</w:t>
                              </w:r>
                            </w:sdtContent>
                          </w:sdt>
                          <w:r>
                            <w:rPr>
                              <w:bCs/>
                              <w:sz w:val="22"/>
                              <w:szCs w:val="22"/>
                            </w:rPr>
                            <w:t>) kai jis, išnagrinėjus baudžiamąją ar administracinių teisės pažeidimų bylą, pripažintas kaltu padaręs nusikalstamą veiką ar administracinį teisės pažeidimą arba teismo sprendimu pripažintas kaltu dėl žalos padarymo;</w:t>
                          </w:r>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0"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1"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102"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3"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4"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105"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06"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07"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08"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09"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e2100b65423942bb84510e1de531ea22"/>
                <w:lock w:val="sdtLocked"/>
                <w:richText/>
              </w:sdtPr>
              <w:sdtContent>
                <w:p>
                  <w:pPr>
                    <w:ind w:left="2127" w:hanging="1407"/>
                    <w:jc w:val="both"/>
                    <w:rPr>
                      <w:b/>
                      <w:bCs/>
                      <w:sz w:val="22"/>
                      <w:szCs w:val="22"/>
                    </w:rPr>
                  </w:pPr>
                  <w:sdt>
                    <w:sdtPr>
                      <w:alias w:val="Numeris"/>
                      <w:tag w:val="nr_e2100b65423942bb84510e1de531ea22"/>
                      <w:lock w:val="sdtLocked"/>
                      <w:richText/>
                    </w:sdtPr>
                    <w:sdtContent>
                      <w:r>
                        <w:rPr>
                          <w:b/>
                          <w:sz w:val="22"/>
                          <w:szCs w:val="22"/>
                        </w:rPr>
                        <w:t>47</w:t>
                      </w:r>
                    </w:sdtContent>
                  </w:sdt>
                  <w:r>
                    <w:rPr>
                      <w:b/>
                      <w:sz w:val="22"/>
                      <w:szCs w:val="22"/>
                    </w:rPr>
                    <w:t xml:space="preserve"> straipsnis. </w:t>
                  </w:r>
                  <w:sdt>
                    <w:sdtPr>
                      <w:alias w:val="Pavadinimas"/>
                      <w:tag w:val="title_e2100b65423942bb84510e1de531ea22"/>
                      <w:lock w:val="sdtLocked"/>
                      <w:richText/>
                    </w:sdtPr>
                    <w:sdtContent>
                      <w:r>
                        <w:rPr>
                          <w:b/>
                          <w:sz w:val="22"/>
                          <w:szCs w:val="22"/>
                        </w:rPr>
                        <w:t>V</w:t>
                      </w:r>
                      <w:r>
                        <w:rPr>
                          <w:b/>
                          <w:bCs/>
                          <w:sz w:val="22"/>
                          <w:szCs w:val="22"/>
                        </w:rPr>
                        <w:t xml:space="preserve">artotojų ir finansų rinkos dalyvių ginčų nagrinėjimo ne teisme tvarka </w:t>
                      </w:r>
                    </w:sdtContent>
                  </w:sdt>
                </w:p>
                <w:sdt>
                  <w:sdtPr>
                    <w:alias w:val="47 str. 1 d."/>
                    <w:tag w:val="part_a7e52db7f93f4617a60e93856daff0f1"/>
                    <w:lock w:val="sdtLocked"/>
                    <w:richText/>
                  </w:sdtPr>
                  <w:sdtContent>
                    <w:p>
                      <w:pPr>
                        <w:ind w:firstLine="720"/>
                        <w:jc w:val="both"/>
                        <w:rPr>
                          <w:sz w:val="22"/>
                          <w:szCs w:val="22"/>
                        </w:rPr>
                      </w:pPr>
                      <w:sdt>
                        <w:sdtPr>
                          <w:alias w:val="Numeris"/>
                          <w:tag w:val="nr_a7e52db7f93f4617a60e93856daff0f1"/>
                          <w:lock w:val="sdtLocked"/>
                          <w:richText/>
                        </w:sdtPr>
                        <w:sdtContent>
                          <w:r>
                            <w:rPr>
                              <w:sz w:val="22"/>
                              <w:szCs w:val="22"/>
                            </w:rPr>
                            <w:t>1</w:t>
                          </w:r>
                        </w:sdtContent>
                      </w:sdt>
                      <w:r>
                        <w:rPr>
                          <w:sz w:val="22"/>
                          <w:szCs w:val="22"/>
                        </w:rPr>
                        <w:t>. Lietuvos bankas nagrinėja šio straipsnio 2 dalyje nurodytų vartotojų (toliau – vartotojai) ginčus su draudimo, finansinių paslaugų ir (arba) papildomų investicinių paslaugų teikėjais, kylančius iš finansinių ir (arba) papildomų investicinių paslaugų teikimo, taip pat iš draudimo paslaugų sutarties ar susijusius su ja, jeigu tokiai sutarčiai yra taikytina Lietuvos Respublikos teisė. Lietuvos bankas taip pat nagrinėja vartotojų – Lietuvoje įsteigtų kolektyvinio investavimo subjektų, pensijų fondų dalyvių ginčus su šių subjektų ar fondų valdytojais, kylančius iš dalyvavimo atitinkamame subjekte ar fonde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p>
                  </w:sdtContent>
                </w:sdt>
                <w:sdt>
                  <w:sdtPr>
                    <w:alias w:val="47 str. 2 d."/>
                    <w:tag w:val="part_6eb534be874043aba4042c1e2af1eda1"/>
                    <w:lock w:val="sdtLocked"/>
                    <w:richText/>
                  </w:sdtPr>
                  <w:sdtContent>
                    <w:p>
                      <w:pPr>
                        <w:ind w:firstLine="720"/>
                        <w:jc w:val="both"/>
                        <w:rPr>
                          <w:sz w:val="22"/>
                          <w:szCs w:val="22"/>
                        </w:rPr>
                      </w:pPr>
                      <w:sdt>
                        <w:sdtPr>
                          <w:alias w:val="Numeris"/>
                          <w:tag w:val="nr_6eb534be874043aba4042c1e2af1eda1"/>
                          <w:lock w:val="sdtLocked"/>
                          <w:richText/>
                        </w:sdtPr>
                        <w:sdtContent>
                          <w:r>
                            <w:rPr>
                              <w:sz w:val="22"/>
                              <w:szCs w:val="22"/>
                            </w:rPr>
                            <w:t>2</w:t>
                          </w:r>
                        </w:sdtContent>
                      </w:sdt>
                      <w:r>
                        <w:rPr>
                          <w:sz w:val="22"/>
                          <w:szCs w:val="22"/>
                        </w:rPr>
                        <w:t>. Šiame straipsnyje vartotojas yra fizinis asmuo:</w:t>
                      </w:r>
                    </w:p>
                    <w:sdt>
                      <w:sdtPr>
                        <w:alias w:val="47 str. 2 d. 1 p."/>
                        <w:tag w:val="part_0dd4517c463c420b8ad0bff1f88d0b35"/>
                        <w:lock w:val="sdtLocked"/>
                        <w:richText/>
                      </w:sdtPr>
                      <w:sdtContent>
                        <w:p>
                          <w:pPr>
                            <w:ind w:firstLine="720"/>
                            <w:jc w:val="both"/>
                            <w:rPr>
                              <w:bCs/>
                              <w:sz w:val="22"/>
                              <w:szCs w:val="22"/>
                            </w:rPr>
                          </w:pPr>
                          <w:sdt>
                            <w:sdtPr>
                              <w:alias w:val="Numeris"/>
                              <w:tag w:val="nr_0dd4517c463c420b8ad0bff1f88d0b35"/>
                              <w:lock w:val="sdtLocked"/>
                              <w:richText/>
                            </w:sdtPr>
                            <w:sdtContent>
                              <w:r>
                                <w:rPr>
                                  <w:sz w:val="22"/>
                                  <w:szCs w:val="22"/>
                                </w:rPr>
                                <w:t>1</w:t>
                              </w:r>
                            </w:sdtContent>
                          </w:sdt>
                          <w:r>
                            <w:rPr>
                              <w:sz w:val="22"/>
                              <w:szCs w:val="22"/>
                            </w:rPr>
                            <w:t>) sudarantis su finansų rinkos dalyviu finansinių paslaugų sutartį, išskyrus profesionaliuosius klientus, asmeniniams, šeimos ar namų ūkio poreikiams tenkinti;</w:t>
                          </w:r>
                        </w:p>
                      </w:sdtContent>
                    </w:sdt>
                    <w:sdt>
                      <w:sdtPr>
                        <w:alias w:val="47 str. 2 d. 2 p."/>
                        <w:tag w:val="part_ad9568c04a2e4784ac5615be4b22404e"/>
                        <w:lock w:val="sdtLocked"/>
                        <w:richText/>
                      </w:sdtPr>
                      <w:sdtContent>
                        <w:p>
                          <w:pPr>
                            <w:ind w:firstLine="720"/>
                            <w:jc w:val="both"/>
                            <w:rPr>
                              <w:sz w:val="22"/>
                              <w:szCs w:val="22"/>
                            </w:rPr>
                          </w:pPr>
                          <w:sdt>
                            <w:sdtPr>
                              <w:alias w:val="Numeris"/>
                              <w:tag w:val="nr_ad9568c04a2e4784ac5615be4b22404e"/>
                              <w:lock w:val="sdtLocked"/>
                              <w:richText/>
                            </w:sdtPr>
                            <w:sdtContent>
                              <w:r>
                                <w:rPr>
                                  <w:bCs/>
                                  <w:sz w:val="22"/>
                                  <w:szCs w:val="22"/>
                                </w:rPr>
                                <w:t>2</w:t>
                              </w:r>
                            </w:sdtContent>
                          </w:sdt>
                          <w:r>
                            <w:rPr>
                              <w:bCs/>
                              <w:sz w:val="22"/>
                              <w:szCs w:val="22"/>
                            </w:rPr>
                            <w:t>)</w:t>
                          </w:r>
                          <w:r>
                            <w:rPr>
                              <w:sz w:val="22"/>
                              <w:szCs w:val="22"/>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sdtContent>
                    </w:sdt>
                    <w:sdt>
                      <w:sdtPr>
                        <w:alias w:val="47 str. 2 d. 3 p."/>
                        <w:tag w:val="part_884acb8077124606a00a8403397c5c0f"/>
                        <w:lock w:val="sdtLocked"/>
                        <w:richText/>
                      </w:sdtPr>
                      <w:sdtContent>
                        <w:p>
                          <w:pPr>
                            <w:ind w:firstLine="720"/>
                            <w:jc w:val="both"/>
                            <w:rPr>
                              <w:sz w:val="22"/>
                              <w:szCs w:val="22"/>
                            </w:rPr>
                          </w:pPr>
                          <w:sdt>
                            <w:sdtPr>
                              <w:alias w:val="Numeris"/>
                              <w:tag w:val="nr_884acb8077124606a00a8403397c5c0f"/>
                              <w:lock w:val="sdtLocked"/>
                              <w:richText/>
                            </w:sdtPr>
                            <w:sdtContent>
                              <w:r>
                                <w:rPr>
                                  <w:sz w:val="22"/>
                                  <w:szCs w:val="22"/>
                                </w:rPr>
                                <w:t>3</w:t>
                              </w:r>
                            </w:sdtContent>
                          </w:sdt>
                          <w:r>
                            <w:rPr>
                              <w:sz w:val="22"/>
                              <w:szCs w:val="22"/>
                            </w:rPr>
                            <w:t>)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sdtContent>
                    </w:sdt>
                  </w:sdtContent>
                </w:sdt>
                <w:sdt>
                  <w:sdtPr>
                    <w:alias w:val="47 str. 3 d."/>
                    <w:tag w:val="part_7fdcbfbb815f4ba49e0cedd78e239c50"/>
                    <w:lock w:val="sdtLocked"/>
                    <w:richText/>
                  </w:sdtPr>
                  <w:sdtContent>
                    <w:p>
                      <w:pPr>
                        <w:ind w:firstLine="720"/>
                        <w:jc w:val="both"/>
                        <w:rPr>
                          <w:sz w:val="22"/>
                          <w:szCs w:val="22"/>
                        </w:rPr>
                      </w:pPr>
                      <w:sdt>
                        <w:sdtPr>
                          <w:alias w:val="Numeris"/>
                          <w:tag w:val="nr_7fdcbfbb815f4ba49e0cedd78e239c50"/>
                          <w:lock w:val="sdtLocked"/>
                          <w:richText/>
                        </w:sdtPr>
                        <w:sdtContent>
                          <w:r>
                            <w:rPr>
                              <w:sz w:val="22"/>
                              <w:szCs w:val="22"/>
                              <w:lang w:eastAsia="lt-LT"/>
                            </w:rPr>
                            <w:t>3</w:t>
                          </w:r>
                        </w:sdtContent>
                      </w:sdt>
                      <w:r>
                        <w:rPr>
                          <w:sz w:val="22"/>
                          <w:szCs w:val="22"/>
                          <w:lang w:eastAsia="lt-LT"/>
                        </w:rPr>
                        <w:t xml:space="preserve">. Vartotojas, manantis, kad finansų rinkos dalyvis pažeidė jo sutartinių ar susijusių santykių teises ar teisėtus interesus, turi teisę kreiptis į teismą arba į išankstinio ginčų sprendimo ne teisme instituciją – Lietuvos banką. </w:t>
                      </w:r>
                      <w:r>
                        <w:rPr>
                          <w:sz w:val="22"/>
                          <w:szCs w:val="22"/>
                        </w:rPr>
                        <w:t>Vartotojo kreipimasis į Lietuvos banką neatima vartotojo teisės kreiptis į teismą.</w:t>
                      </w:r>
                    </w:p>
                  </w:sdtContent>
                </w:sdt>
                <w:sdt>
                  <w:sdtPr>
                    <w:alias w:val="47 str. 4 d."/>
                    <w:tag w:val="part_a3e4e6031b904b7b9591f767cc275597"/>
                    <w:lock w:val="sdtLocked"/>
                    <w:richText/>
                  </w:sdtPr>
                  <w:sdtContent>
                    <w:p>
                      <w:pPr>
                        <w:ind w:firstLine="720"/>
                        <w:jc w:val="both"/>
                        <w:rPr>
                          <w:sz w:val="22"/>
                          <w:szCs w:val="22"/>
                        </w:rPr>
                      </w:pPr>
                      <w:sdt>
                        <w:sdtPr>
                          <w:alias w:val="Numeris"/>
                          <w:tag w:val="nr_a3e4e6031b904b7b9591f767cc275597"/>
                          <w:lock w:val="sdtLocked"/>
                          <w:richText/>
                        </w:sdtPr>
                        <w:sdtContent>
                          <w:r>
                            <w:rPr>
                              <w:bCs/>
                              <w:sz w:val="22"/>
                              <w:szCs w:val="22"/>
                            </w:rPr>
                            <w:t>4</w:t>
                          </w:r>
                        </w:sdtContent>
                      </w:sdt>
                      <w:r>
                        <w:rPr>
                          <w:bCs/>
                          <w:sz w:val="22"/>
                          <w:szCs w:val="22"/>
                        </w:rPr>
                        <w:t xml:space="preserve">. </w:t>
                      </w:r>
                      <w:r>
                        <w:rPr>
                          <w:sz w:val="22"/>
                          <w:szCs w:val="22"/>
                        </w:rPr>
                        <w:t>Vartotojas, manantis, kad finansų rinkos dalyvis pažeidė jo sutartinių ar susijusių santykių teises ar teisėtus interesus, ir ketinantis dėl kilusio ginčo nagrinėjimo kreiptis į Lietuvos banką, prieš kreipdamasis į Lietuvos banką privalo raštu kreiptis į finansų rinkos dalyvį, nurodydamas ginčo aplinkybes ir savo reikalavimą. Finansų rinkos dalyvis privalo išnagrinėti vartotojo kreipimąsi ir pateikti vartotojui motyvuotą atsakymą dėl jo reikalavimo ne vėliau kaip per 30 kalendorinių dienų nuo vartotojo kreipimosi gavimo dienos, jei kiti įstatymai nenustato kitaip. Finansų rinkos dalyviai vartotojų kreipimusis nagrinėja neatlygintinai.</w:t>
                      </w:r>
                    </w:p>
                  </w:sdtContent>
                </w:sdt>
                <w:sdt>
                  <w:sdtPr>
                    <w:alias w:val="47 str. 5 d."/>
                    <w:tag w:val="part_cf5df7a6b1f74c47bf3136e8541d5b63"/>
                    <w:lock w:val="sdtLocked"/>
                    <w:richText/>
                  </w:sdtPr>
                  <w:sdtContent>
                    <w:p>
                      <w:pPr>
                        <w:ind w:firstLine="720"/>
                        <w:jc w:val="both"/>
                        <w:rPr>
                          <w:sz w:val="22"/>
                          <w:szCs w:val="22"/>
                        </w:rPr>
                      </w:pPr>
                      <w:sdt>
                        <w:sdtPr>
                          <w:alias w:val="Numeris"/>
                          <w:tag w:val="nr_cf5df7a6b1f74c47bf3136e8541d5b63"/>
                          <w:lock w:val="sdtLocked"/>
                          <w:richText/>
                        </w:sdtPr>
                        <w:sdtContent>
                          <w:r>
                            <w:rPr>
                              <w:sz w:val="22"/>
                              <w:szCs w:val="22"/>
                            </w:rPr>
                            <w:t>5</w:t>
                          </w:r>
                        </w:sdtContent>
                      </w:sdt>
                      <w:r>
                        <w:rPr>
                          <w:sz w:val="22"/>
                          <w:szCs w:val="22"/>
                        </w:rPr>
                        <w:t xml:space="preserve">. Vartotojas, kurio finansų rinkos dalyvio atsakymas netenkina, turi teisę dėl to paties ginčo dalyko kreiptis į Lietuvos banką per 3 mėnesius nuo jį netenkinančio finansų rinkos dalyvio atsakymo gavimo dienos. Jeigu finansų rinkos dalyvis per šio straipsnio 4 dalyje nurodytą terminą vartotojui neatsako, vartotojas turi teisę kreiptis į Lietuvos banką dėl ginčo nagrinėjimo per 3 mėnesius nuo šio termino pabaigos. Vartotojo kreipimosi į Lietuvos banką formos ir turinio detalius reikalavimus nustato Lietuvos banko valdyba. </w:t>
                      </w:r>
                    </w:p>
                  </w:sdtContent>
                </w:sdt>
                <w:sdt>
                  <w:sdtPr>
                    <w:alias w:val="47 str. 6 d."/>
                    <w:tag w:val="part_44fcf729f615425e9f3bb8ea919ee8df"/>
                    <w:lock w:val="sdtLocked"/>
                    <w:richText/>
                  </w:sdtPr>
                  <w:sdtContent>
                    <w:p>
                      <w:pPr>
                        <w:ind w:firstLine="720"/>
                        <w:jc w:val="both"/>
                        <w:rPr>
                          <w:sz w:val="22"/>
                          <w:szCs w:val="22"/>
                        </w:rPr>
                      </w:pPr>
                      <w:sdt>
                        <w:sdtPr>
                          <w:alias w:val="Numeris"/>
                          <w:tag w:val="nr_44fcf729f615425e9f3bb8ea919ee8df"/>
                          <w:lock w:val="sdtLocked"/>
                          <w:richText/>
                        </w:sdtPr>
                        <w:sdtContent>
                          <w:r>
                            <w:rPr>
                              <w:sz w:val="22"/>
                              <w:szCs w:val="22"/>
                            </w:rPr>
                            <w:t>6</w:t>
                          </w:r>
                        </w:sdtContent>
                      </w:sdt>
                      <w:r>
                        <w:rPr>
                          <w:sz w:val="22"/>
                          <w:szCs w:val="22"/>
                        </w:rPr>
                        <w:t>. Lietuvos bankas vartotojų ginčus su finansų rinkos dalyviais nagrinėja neatlygintinai.</w:t>
                      </w:r>
                    </w:p>
                  </w:sdtContent>
                </w:sdt>
                <w:sdt>
                  <w:sdtPr>
                    <w:alias w:val="47 str. 7 d."/>
                    <w:tag w:val="part_1d6942319eac4603bc354ae0927ca3c8"/>
                    <w:lock w:val="sdtLocked"/>
                    <w:richText/>
                  </w:sdtPr>
                  <w:sdtContent>
                    <w:p>
                      <w:pPr>
                        <w:ind w:firstLine="720"/>
                        <w:jc w:val="both"/>
                        <w:rPr>
                          <w:sz w:val="22"/>
                          <w:szCs w:val="22"/>
                        </w:rPr>
                      </w:pPr>
                      <w:sdt>
                        <w:sdtPr>
                          <w:alias w:val="Numeris"/>
                          <w:tag w:val="nr_1d6942319eac4603bc354ae0927ca3c8"/>
                          <w:lock w:val="sdtLocked"/>
                          <w:richText/>
                        </w:sdtPr>
                        <w:sdtContent>
                          <w:r>
                            <w:rPr>
                              <w:sz w:val="22"/>
                              <w:szCs w:val="22"/>
                            </w:rPr>
                            <w:t>7</w:t>
                          </w:r>
                        </w:sdtContent>
                      </w:sdt>
                      <w:r>
                        <w:rPr>
                          <w:sz w:val="22"/>
                          <w:szCs w:val="22"/>
                        </w:rPr>
                        <w:t>. Lietuvos bankas atsisako nagrinėti vartotojo ginčą su finansų rinkos dalyviu arba nutraukia ginčo nagrinėjimą, jeigu:</w:t>
                      </w:r>
                    </w:p>
                    <w:sdt>
                      <w:sdtPr>
                        <w:alias w:val="47 str. 7 d. 1 p."/>
                        <w:tag w:val="part_913e08f4fcea41b7ad7d422f74d582c3"/>
                        <w:lock w:val="sdtLocked"/>
                        <w:richText/>
                      </w:sdtPr>
                      <w:sdtContent>
                        <w:p>
                          <w:pPr>
                            <w:ind w:firstLine="720"/>
                            <w:jc w:val="both"/>
                            <w:rPr>
                              <w:sz w:val="22"/>
                              <w:szCs w:val="22"/>
                            </w:rPr>
                          </w:pPr>
                          <w:sdt>
                            <w:sdtPr>
                              <w:alias w:val="Numeris"/>
                              <w:tag w:val="nr_913e08f4fcea41b7ad7d422f74d582c3"/>
                              <w:lock w:val="sdtLocked"/>
                              <w:richText/>
                            </w:sdtPr>
                            <w:sdtContent>
                              <w:r>
                                <w:rPr>
                                  <w:sz w:val="22"/>
                                  <w:szCs w:val="22"/>
                                </w:rPr>
                                <w:t>1</w:t>
                              </w:r>
                            </w:sdtContent>
                          </w:sdt>
                          <w:r>
                            <w:rPr>
                              <w:sz w:val="22"/>
                              <w:szCs w:val="22"/>
                            </w:rPr>
                            <w:t>) jis neįgaliotas priimti sprendimo dėl vartotojo kreipimesi nurodyto reikalavimo;</w:t>
                          </w:r>
                        </w:p>
                      </w:sdtContent>
                    </w:sdt>
                    <w:sdt>
                      <w:sdtPr>
                        <w:alias w:val="47 str. 7 d. 2 p."/>
                        <w:tag w:val="part_aa509a62e23046d0818e0e3299d52ceb"/>
                        <w:lock w:val="sdtLocked"/>
                        <w:richText/>
                      </w:sdtPr>
                      <w:sdtContent>
                        <w:p>
                          <w:pPr>
                            <w:ind w:firstLine="720"/>
                            <w:jc w:val="both"/>
                            <w:rPr>
                              <w:sz w:val="22"/>
                              <w:szCs w:val="22"/>
                            </w:rPr>
                          </w:pPr>
                          <w:sdt>
                            <w:sdtPr>
                              <w:alias w:val="Numeris"/>
                              <w:tag w:val="nr_aa509a62e23046d0818e0e3299d52ceb"/>
                              <w:lock w:val="sdtLocked"/>
                              <w:richText/>
                            </w:sdtPr>
                            <w:sdtContent>
                              <w:r>
                                <w:rPr>
                                  <w:sz w:val="22"/>
                                  <w:szCs w:val="22"/>
                                </w:rPr>
                                <w:t>2</w:t>
                              </w:r>
                            </w:sdtContent>
                          </w:sdt>
                          <w:r>
                            <w:rPr>
                              <w:sz w:val="22"/>
                              <w:szCs w:val="22"/>
                            </w:rPr>
                            <w:t>) tarp vartotojo ir finansų rinkos dalyvio yra sudarytas susitarimas perduoti ginčo sprendimą arbitražui, kuriame ginčas būtų nagrinėjamas tarpininkavimo, taikinimo ar kitais alternatyviais ginčų nagrinėjimo būdais;</w:t>
                          </w:r>
                        </w:p>
                      </w:sdtContent>
                    </w:sdt>
                    <w:sdt>
                      <w:sdtPr>
                        <w:alias w:val="47 str. 7 d. 3 p."/>
                        <w:tag w:val="part_0627bf5d06d14178a21d0cdd4a132ca4"/>
                        <w:lock w:val="sdtLocked"/>
                        <w:richText/>
                      </w:sdtPr>
                      <w:sdtContent>
                        <w:p>
                          <w:pPr>
                            <w:ind w:firstLine="720"/>
                            <w:jc w:val="both"/>
                            <w:rPr>
                              <w:sz w:val="22"/>
                              <w:szCs w:val="22"/>
                            </w:rPr>
                          </w:pPr>
                          <w:sdt>
                            <w:sdtPr>
                              <w:alias w:val="Numeris"/>
                              <w:tag w:val="nr_0627bf5d06d14178a21d0cdd4a132ca4"/>
                              <w:lock w:val="sdtLocked"/>
                              <w:richText/>
                            </w:sdtPr>
                            <w:sdtContent>
                              <w:r>
                                <w:rPr>
                                  <w:sz w:val="22"/>
                                  <w:szCs w:val="22"/>
                                </w:rPr>
                                <w:t>3</w:t>
                              </w:r>
                            </w:sdtContent>
                          </w:sdt>
                          <w:r>
                            <w:rPr>
                              <w:sz w:val="22"/>
                              <w:szCs w:val="22"/>
                            </w:rPr>
                            <w:t>) ginčas yra nagrinėjamas (išnagrinėtas) arbitraže taikant tarpininkavimo, taikinimo ar kitą alternatyvų ginčų nagrinėjimo būdą;</w:t>
                          </w:r>
                        </w:p>
                      </w:sdtContent>
                    </w:sdt>
                    <w:sdt>
                      <w:sdtPr>
                        <w:alias w:val="47 str. 7 d. 4 p."/>
                        <w:tag w:val="part_13353b1591cb4e7c988fa4de619e60f6"/>
                        <w:lock w:val="sdtLocked"/>
                        <w:richText/>
                      </w:sdtPr>
                      <w:sdtContent>
                        <w:p>
                          <w:pPr>
                            <w:ind w:firstLine="720"/>
                            <w:jc w:val="both"/>
                            <w:rPr>
                              <w:sz w:val="22"/>
                              <w:szCs w:val="22"/>
                            </w:rPr>
                          </w:pPr>
                          <w:sdt>
                            <w:sdtPr>
                              <w:alias w:val="Numeris"/>
                              <w:tag w:val="nr_13353b1591cb4e7c988fa4de619e60f6"/>
                              <w:lock w:val="sdtLocked"/>
                              <w:richText/>
                            </w:sdtPr>
                            <w:sdtContent>
                              <w:r>
                                <w:rPr>
                                  <w:sz w:val="22"/>
                                  <w:szCs w:val="22"/>
                                </w:rPr>
                                <w:t>4</w:t>
                              </w:r>
                            </w:sdtContent>
                          </w:sdt>
                          <w:r>
                            <w:rPr>
                              <w:sz w:val="22"/>
                              <w:szCs w:val="22"/>
                            </w:rPr>
                            <w:t>) ginčas yra nagrinėjamas (išnagrinėtas) Lietuvos banke ar teisme;</w:t>
                          </w:r>
                        </w:p>
                      </w:sdtContent>
                    </w:sdt>
                    <w:sdt>
                      <w:sdtPr>
                        <w:alias w:val="47 str. 7 d. 5 p."/>
                        <w:tag w:val="part_8d61299b38694b128bbde379866148ba"/>
                        <w:lock w:val="sdtLocked"/>
                        <w:richText/>
                      </w:sdtPr>
                      <w:sdtContent>
                        <w:p>
                          <w:pPr>
                            <w:ind w:firstLine="720"/>
                            <w:jc w:val="both"/>
                            <w:rPr>
                              <w:sz w:val="22"/>
                              <w:szCs w:val="22"/>
                            </w:rPr>
                          </w:pPr>
                          <w:sdt>
                            <w:sdtPr>
                              <w:alias w:val="Numeris"/>
                              <w:tag w:val="nr_8d61299b38694b128bbde379866148ba"/>
                              <w:lock w:val="sdtLocked"/>
                              <w:richText/>
                            </w:sdtPr>
                            <w:sdtContent>
                              <w:r>
                                <w:rPr>
                                  <w:sz w:val="22"/>
                                  <w:szCs w:val="22"/>
                                </w:rPr>
                                <w:t>5</w:t>
                              </w:r>
                            </w:sdtContent>
                          </w:sdt>
                          <w:r>
                            <w:rPr>
                              <w:sz w:val="22"/>
                              <w:szCs w:val="22"/>
                            </w:rPr>
                            <w:t>) vartotojo vardu kreipimąsi padavė neįgaliotas asmuo;</w:t>
                          </w:r>
                        </w:p>
                      </w:sdtContent>
                    </w:sdt>
                    <w:sdt>
                      <w:sdtPr>
                        <w:alias w:val="47 str. 7 d. 6 p."/>
                        <w:tag w:val="part_b4308a26cca14c1c8532b386dbb3c2f1"/>
                        <w:lock w:val="sdtLocked"/>
                        <w:richText/>
                      </w:sdtPr>
                      <w:sdtContent>
                        <w:p>
                          <w:pPr>
                            <w:ind w:firstLine="720"/>
                            <w:jc w:val="both"/>
                            <w:rPr>
                              <w:sz w:val="22"/>
                              <w:szCs w:val="22"/>
                            </w:rPr>
                          </w:pPr>
                          <w:sdt>
                            <w:sdtPr>
                              <w:alias w:val="Numeris"/>
                              <w:tag w:val="nr_b4308a26cca14c1c8532b386dbb3c2f1"/>
                              <w:lock w:val="sdtLocked"/>
                              <w:richText/>
                            </w:sdtPr>
                            <w:sdtContent>
                              <w:r>
                                <w:rPr>
                                  <w:sz w:val="22"/>
                                  <w:szCs w:val="22"/>
                                </w:rPr>
                                <w:t>6</w:t>
                              </w:r>
                            </w:sdtContent>
                          </w:sdt>
                          <w:r>
                            <w:rPr>
                              <w:sz w:val="22"/>
                              <w:szCs w:val="22"/>
                            </w:rPr>
                            <w:t>) vartotojas kreipėsi į Lietuvos banką vėliau negu per šio straipsnio 5 dalyje nurodytą terminą arba prieš tai nesikreipė į finansų rinkos dalyvį šio straipsnio 4 dalyje nustatyta tvarka;</w:t>
                          </w:r>
                        </w:p>
                      </w:sdtContent>
                    </w:sdt>
                    <w:sdt>
                      <w:sdtPr>
                        <w:alias w:val="47 str. 7 d. 7 p."/>
                        <w:tag w:val="part_53a3a62cd41a4f46a9cefcd03e798176"/>
                        <w:lock w:val="sdtLocked"/>
                        <w:richText/>
                      </w:sdtPr>
                      <w:sdtContent>
                        <w:p>
                          <w:pPr>
                            <w:ind w:firstLine="720"/>
                            <w:jc w:val="both"/>
                            <w:rPr>
                              <w:sz w:val="22"/>
                              <w:szCs w:val="22"/>
                            </w:rPr>
                          </w:pPr>
                          <w:sdt>
                            <w:sdtPr>
                              <w:alias w:val="Numeris"/>
                              <w:tag w:val="nr_53a3a62cd41a4f46a9cefcd03e798176"/>
                              <w:lock w:val="sdtLocked"/>
                              <w:richText/>
                            </w:sdtPr>
                            <w:sdtContent>
                              <w:r>
                                <w:rPr>
                                  <w:sz w:val="22"/>
                                  <w:szCs w:val="22"/>
                                </w:rPr>
                                <w:t>7</w:t>
                              </w:r>
                            </w:sdtContent>
                          </w:sdt>
                          <w:r>
                            <w:rPr>
                              <w:sz w:val="22"/>
                              <w:szCs w:val="22"/>
                            </w:rPr>
                            <w:t>) vartotojo kreipimasis neatitinka Lietuvos banko priimtuose teisės aktuose nustatytų formos ir turinio reikalavimų ir tokie trūkumai nebuvo pašalinti per Lietuvos banko nurodytą terminą;</w:t>
                          </w:r>
                        </w:p>
                      </w:sdtContent>
                    </w:sdt>
                    <w:sdt>
                      <w:sdtPr>
                        <w:alias w:val="47 str. 7 d. 8 p."/>
                        <w:tag w:val="part_f200bff7fa524e7d8537ff706005c313"/>
                        <w:lock w:val="sdtLocked"/>
                        <w:richText/>
                      </w:sdtPr>
                      <w:sdtContent>
                        <w:p>
                          <w:pPr>
                            <w:ind w:firstLine="720"/>
                            <w:jc w:val="both"/>
                            <w:rPr>
                              <w:sz w:val="22"/>
                              <w:szCs w:val="22"/>
                            </w:rPr>
                          </w:pPr>
                          <w:sdt>
                            <w:sdtPr>
                              <w:alias w:val="Numeris"/>
                              <w:tag w:val="nr_f200bff7fa524e7d8537ff706005c313"/>
                              <w:lock w:val="sdtLocked"/>
                              <w:richText/>
                            </w:sdtPr>
                            <w:sdtContent>
                              <w:r>
                                <w:rPr>
                                  <w:sz w:val="22"/>
                                  <w:szCs w:val="22"/>
                                </w:rPr>
                                <w:t>8</w:t>
                              </w:r>
                            </w:sdtContent>
                          </w:sdt>
                          <w:r>
                            <w:rPr>
                              <w:sz w:val="22"/>
                              <w:szCs w:val="22"/>
                            </w:rPr>
                            <w:t>) kitais įstatymuose numatytais atvejais.</w:t>
                          </w:r>
                        </w:p>
                      </w:sdtContent>
                    </w:sdt>
                  </w:sdtContent>
                </w:sdt>
                <w:sdt>
                  <w:sdtPr>
                    <w:alias w:val="47 str. 8 d."/>
                    <w:tag w:val="part_02bfa7f2c7c64b2e8c324b01057dd83e"/>
                    <w:lock w:val="sdtLocked"/>
                    <w:richText/>
                  </w:sdtPr>
                  <w:sdtContent>
                    <w:p>
                      <w:pPr>
                        <w:ind w:firstLine="720"/>
                        <w:jc w:val="both"/>
                        <w:rPr>
                          <w:sz w:val="22"/>
                          <w:szCs w:val="22"/>
                        </w:rPr>
                      </w:pPr>
                      <w:sdt>
                        <w:sdtPr>
                          <w:alias w:val="Numeris"/>
                          <w:tag w:val="nr_02bfa7f2c7c64b2e8c324b01057dd83e"/>
                          <w:lock w:val="sdtLocked"/>
                          <w:richText/>
                        </w:sdtPr>
                        <w:sdtContent>
                          <w:r>
                            <w:rPr>
                              <w:sz w:val="22"/>
                              <w:szCs w:val="22"/>
                            </w:rPr>
                            <w:t>8</w:t>
                          </w:r>
                        </w:sdtContent>
                      </w:sdt>
                      <w:r>
                        <w:rPr>
                          <w:sz w:val="22"/>
                          <w:szCs w:val="22"/>
                        </w:rPr>
                        <w:t xml:space="preserve">. Lietuvos bankas vartotojų ir finansų rinkos dalyvių ginčus paprastai nagrinėja rašytinio proceso tvarka pagal ginčo šalių jam pateiktus įrodymus. </w:t>
                      </w:r>
                    </w:p>
                  </w:sdtContent>
                </w:sdt>
                <w:sdt>
                  <w:sdtPr>
                    <w:alias w:val="47 str. 9 d."/>
                    <w:tag w:val="part_146553b99f204df094d82d56526f3b79"/>
                    <w:lock w:val="sdtLocked"/>
                    <w:richText/>
                  </w:sdtPr>
                  <w:sdtContent>
                    <w:p>
                      <w:pPr>
                        <w:ind w:firstLine="720"/>
                        <w:jc w:val="both"/>
                        <w:rPr>
                          <w:sz w:val="22"/>
                          <w:szCs w:val="22"/>
                        </w:rPr>
                      </w:pPr>
                      <w:sdt>
                        <w:sdtPr>
                          <w:alias w:val="Numeris"/>
                          <w:tag w:val="nr_146553b99f204df094d82d56526f3b79"/>
                          <w:lock w:val="sdtLocked"/>
                          <w:richText/>
                        </w:sdtPr>
                        <w:sdtContent>
                          <w:r>
                            <w:rPr>
                              <w:sz w:val="22"/>
                              <w:szCs w:val="22"/>
                            </w:rPr>
                            <w:t>9</w:t>
                          </w:r>
                        </w:sdtContent>
                      </w:sdt>
                      <w:r>
                        <w:rPr>
                          <w:sz w:val="22"/>
                          <w:szCs w:val="22"/>
                        </w:rPr>
                        <w:t xml:space="preserve">. Vartotojo ginčas su finansų rinkos dalyviu turi būti išnagrinėtas per 2 mėnesius nuo vartotojo kreipimosi, atitinkančio kreipimuisi keliamus reikalavimus, gavimo Lietuvos banke dienos. Ypatingais atvejais, atsižvelgdamas į ginčo sudėtingumą, Lietuvos bankas turi teisę pratęsti šį terminą, bet ne daugiau kaip papildomais 2 mėnesiais. </w:t>
                      </w:r>
                    </w:p>
                  </w:sdtContent>
                </w:sdt>
                <w:sdt>
                  <w:sdtPr>
                    <w:alias w:val="47 str. 10 d."/>
                    <w:tag w:val="part_378fa31a309e4a81b35538e5daf0dff3"/>
                    <w:lock w:val="sdtLocked"/>
                    <w:richText/>
                  </w:sdtPr>
                  <w:sdtContent>
                    <w:p>
                      <w:pPr>
                        <w:ind w:firstLine="720"/>
                        <w:jc w:val="both"/>
                        <w:rPr>
                          <w:sz w:val="22"/>
                          <w:szCs w:val="22"/>
                        </w:rPr>
                      </w:pPr>
                      <w:sdt>
                        <w:sdtPr>
                          <w:alias w:val="Numeris"/>
                          <w:tag w:val="nr_378fa31a309e4a81b35538e5daf0dff3"/>
                          <w:lock w:val="sdtLocked"/>
                          <w:richText/>
                        </w:sdtPr>
                        <w:sdtContent>
                          <w:r>
                            <w:rPr>
                              <w:sz w:val="22"/>
                              <w:szCs w:val="22"/>
                            </w:rPr>
                            <w:t>10</w:t>
                          </w:r>
                        </w:sdtContent>
                      </w:sdt>
                      <w:r>
                        <w:rPr>
                          <w:sz w:val="22"/>
                          <w:szCs w:val="22"/>
                        </w:rPr>
                        <w:t xml:space="preserve">. Ginčo nagrinėjimo Lietuvos banke sustabdymui ir nutraukimui </w:t>
                      </w:r>
                      <w:r>
                        <w:rPr>
                          <w:i/>
                          <w:sz w:val="22"/>
                          <w:szCs w:val="22"/>
                        </w:rPr>
                        <w:t>mutatis mutandis</w:t>
                      </w:r>
                      <w:r>
                        <w:rPr>
                          <w:sz w:val="22"/>
                          <w:szCs w:val="22"/>
                        </w:rPr>
                        <w:t xml:space="preserve"> taikomi atitinkamai Lietuvos Respublikos civilinio proceso kodekso 163, 164, 166, 167, 293 ir 294 straipsniai.</w:t>
                      </w:r>
                    </w:p>
                  </w:sdtContent>
                </w:sdt>
                <w:sdt>
                  <w:sdtPr>
                    <w:alias w:val="47 str. 11 d."/>
                    <w:tag w:val="part_a2727bbce7fe4f78a3af6880dcdc6f92"/>
                    <w:lock w:val="sdtLocked"/>
                    <w:richText/>
                  </w:sdtPr>
                  <w:sdtContent>
                    <w:p>
                      <w:pPr>
                        <w:ind w:firstLine="720"/>
                        <w:jc w:val="both"/>
                        <w:rPr>
                          <w:sz w:val="22"/>
                          <w:szCs w:val="22"/>
                        </w:rPr>
                      </w:pPr>
                      <w:sdt>
                        <w:sdtPr>
                          <w:alias w:val="Numeris"/>
                          <w:tag w:val="nr_a2727bbce7fe4f78a3af6880dcdc6f92"/>
                          <w:lock w:val="sdtLocked"/>
                          <w:richText/>
                        </w:sdtPr>
                        <w:sdtContent>
                          <w:r>
                            <w:rPr>
                              <w:sz w:val="22"/>
                              <w:szCs w:val="22"/>
                            </w:rPr>
                            <w:t>11</w:t>
                          </w:r>
                        </w:sdtContent>
                      </w:sdt>
                      <w:r>
                        <w:rPr>
                          <w:sz w:val="22"/>
                          <w:szCs w:val="22"/>
                        </w:rPr>
                        <w:t>. Lietuvos bankas privalo tarpininkauti, kad ginčo šalys pasiektų abi šalis tenkinantį susitarimą, jei, atsižvelgiant į ginčo aplinkybes, taikus susitarimas yra įmanomas. Jei tokio susitarimo pasiekti nepavyksta, Lietuvos bankas priima sprendimą dėl ginčo esmės. Dėl ginčo esmės Lietuvos bankas priima vieną iš šių sprendimų:</w:t>
                      </w:r>
                    </w:p>
                    <w:sdt>
                      <w:sdtPr>
                        <w:alias w:val="47 str. 11 d. 1 p."/>
                        <w:tag w:val="part_347f39f9b62d462e8811d197f092a32c"/>
                        <w:lock w:val="sdtLocked"/>
                        <w:richText/>
                      </w:sdtPr>
                      <w:sdtContent>
                        <w:p>
                          <w:pPr>
                            <w:ind w:firstLine="720"/>
                            <w:jc w:val="both"/>
                            <w:rPr>
                              <w:sz w:val="22"/>
                              <w:szCs w:val="22"/>
                            </w:rPr>
                          </w:pPr>
                          <w:sdt>
                            <w:sdtPr>
                              <w:alias w:val="Numeris"/>
                              <w:tag w:val="nr_347f39f9b62d462e8811d197f092a32c"/>
                              <w:lock w:val="sdtLocked"/>
                              <w:richText/>
                            </w:sdtPr>
                            <w:sdtContent>
                              <w:r>
                                <w:rPr>
                                  <w:sz w:val="22"/>
                                  <w:szCs w:val="22"/>
                                </w:rPr>
                                <w:t>1</w:t>
                              </w:r>
                            </w:sdtContent>
                          </w:sdt>
                          <w:r>
                            <w:rPr>
                              <w:sz w:val="22"/>
                              <w:szCs w:val="22"/>
                            </w:rPr>
                            <w:t>) patenkinti vartotojo reikalavimus;</w:t>
                          </w:r>
                        </w:p>
                      </w:sdtContent>
                    </w:sdt>
                    <w:sdt>
                      <w:sdtPr>
                        <w:alias w:val="47 str. 11 d. 2 p."/>
                        <w:tag w:val="part_3399f91de3b94c299e872cb6587c336e"/>
                        <w:lock w:val="sdtLocked"/>
                        <w:richText/>
                      </w:sdtPr>
                      <w:sdtContent>
                        <w:p>
                          <w:pPr>
                            <w:ind w:firstLine="720"/>
                            <w:jc w:val="both"/>
                            <w:rPr>
                              <w:sz w:val="22"/>
                              <w:szCs w:val="22"/>
                            </w:rPr>
                          </w:pPr>
                          <w:sdt>
                            <w:sdtPr>
                              <w:alias w:val="Numeris"/>
                              <w:tag w:val="nr_3399f91de3b94c299e872cb6587c336e"/>
                              <w:lock w:val="sdtLocked"/>
                              <w:richText/>
                            </w:sdtPr>
                            <w:sdtContent>
                              <w:r>
                                <w:rPr>
                                  <w:sz w:val="22"/>
                                  <w:szCs w:val="22"/>
                                </w:rPr>
                                <w:t>2</w:t>
                              </w:r>
                            </w:sdtContent>
                          </w:sdt>
                          <w:r>
                            <w:rPr>
                              <w:sz w:val="22"/>
                              <w:szCs w:val="22"/>
                            </w:rPr>
                            <w:t>) iš dalies patenkinti vartotojo reikalavimus;</w:t>
                          </w:r>
                        </w:p>
                      </w:sdtContent>
                    </w:sdt>
                    <w:sdt>
                      <w:sdtPr>
                        <w:alias w:val="47 str. 11 d. 3 p."/>
                        <w:tag w:val="part_44a0bcf40c0f4dba8b84857af5fb986c"/>
                        <w:lock w:val="sdtLocked"/>
                        <w:richText/>
                      </w:sdtPr>
                      <w:sdtContent>
                        <w:p>
                          <w:pPr>
                            <w:ind w:firstLine="720"/>
                            <w:jc w:val="both"/>
                            <w:rPr>
                              <w:sz w:val="22"/>
                              <w:szCs w:val="22"/>
                            </w:rPr>
                          </w:pPr>
                          <w:sdt>
                            <w:sdtPr>
                              <w:alias w:val="Numeris"/>
                              <w:tag w:val="nr_44a0bcf40c0f4dba8b84857af5fb986c"/>
                              <w:lock w:val="sdtLocked"/>
                              <w:richText/>
                            </w:sdtPr>
                            <w:sdtContent>
                              <w:r>
                                <w:rPr>
                                  <w:sz w:val="22"/>
                                  <w:szCs w:val="22"/>
                                </w:rPr>
                                <w:t>3</w:t>
                              </w:r>
                            </w:sdtContent>
                          </w:sdt>
                          <w:r>
                            <w:rPr>
                              <w:sz w:val="22"/>
                              <w:szCs w:val="22"/>
                            </w:rPr>
                            <w:t>) atmesti vartotojo reikalavimus.</w:t>
                          </w:r>
                        </w:p>
                      </w:sdtContent>
                    </w:sdt>
                  </w:sdtContent>
                </w:sdt>
                <w:sdt>
                  <w:sdtPr>
                    <w:alias w:val="47 str. 12 d."/>
                    <w:tag w:val="part_817aeb45664440eab051189c51cdbc93"/>
                    <w:lock w:val="sdtLocked"/>
                    <w:richText/>
                  </w:sdtPr>
                  <w:sdtContent>
                    <w:p>
                      <w:pPr>
                        <w:ind w:firstLine="720"/>
                        <w:jc w:val="both"/>
                        <w:rPr>
                          <w:sz w:val="22"/>
                          <w:szCs w:val="22"/>
                        </w:rPr>
                      </w:pPr>
                      <w:sdt>
                        <w:sdtPr>
                          <w:alias w:val="Numeris"/>
                          <w:tag w:val="nr_817aeb45664440eab051189c51cdbc93"/>
                          <w:lock w:val="sdtLocked"/>
                          <w:richText/>
                        </w:sdtPr>
                        <w:sdtContent>
                          <w:r>
                            <w:rPr>
                              <w:sz w:val="22"/>
                              <w:szCs w:val="22"/>
                            </w:rPr>
                            <w:t>12</w:t>
                          </w:r>
                        </w:sdtContent>
                      </w:sdt>
                      <w:r>
                        <w:rPr>
                          <w:sz w:val="22"/>
                          <w:szCs w:val="22"/>
                        </w:rPr>
                        <w:t>. Lietuvos bankas, priimdamas sprendimą, esant galimybei pasisako ir dėl vartotojui atlygintinos žalos dydžio. Lietuvos bankas, priimdamas sprendimą, kuriuo visiškai arba iš dalies patenkinami vartotojo reikalavimai, nustato terminą, per kurį finansų rinkos dalyviui rekomenduojama imtis sprendime nurodytų veiksmų. Lietuvos bankas savo interneto svetainėje skelbia informaciją apie finansų rinkos dalyvius, nevykdančius Lietuvos banko sprendimų.</w:t>
                      </w:r>
                    </w:p>
                  </w:sdtContent>
                </w:sdt>
                <w:sdt>
                  <w:sdtPr>
                    <w:alias w:val="47 str. 13 d."/>
                    <w:tag w:val="part_4540a918d65946ef978dcbd24a6d09c1"/>
                    <w:lock w:val="sdtLocked"/>
                    <w:richText/>
                  </w:sdtPr>
                  <w:sdtContent>
                    <w:p>
                      <w:pPr>
                        <w:ind w:firstLine="720"/>
                        <w:jc w:val="both"/>
                        <w:rPr>
                          <w:sz w:val="22"/>
                          <w:szCs w:val="22"/>
                        </w:rPr>
                      </w:pPr>
                      <w:sdt>
                        <w:sdtPr>
                          <w:alias w:val="Numeris"/>
                          <w:tag w:val="nr_4540a918d65946ef978dcbd24a6d09c1"/>
                          <w:lock w:val="sdtLocked"/>
                          <w:richText/>
                        </w:sdtPr>
                        <w:sdtContent>
                          <w:r>
                            <w:rPr>
                              <w:sz w:val="22"/>
                              <w:szCs w:val="22"/>
                            </w:rPr>
                            <w:t>13</w:t>
                          </w:r>
                        </w:sdtContent>
                      </w:sdt>
                      <w:r>
                        <w:rPr>
                          <w:sz w:val="22"/>
                          <w:szCs w:val="22"/>
                        </w:rPr>
                        <w:t>. Lietuvos banko sprendimas yra rekomendacinio pobūdžio ir teismui neskundžiamas.</w:t>
                      </w:r>
                    </w:p>
                  </w:sdtContent>
                </w:sdt>
                <w:sdt>
                  <w:sdtPr>
                    <w:alias w:val="47 str. 14 d."/>
                    <w:tag w:val="part_3a00d18ff4c94545889c5c4caac7cbe0"/>
                    <w:lock w:val="sdtLocked"/>
                    <w:richText/>
                  </w:sdtPr>
                  <w:sdtContent>
                    <w:p>
                      <w:pPr>
                        <w:ind w:firstLine="720"/>
                        <w:jc w:val="both"/>
                        <w:rPr>
                          <w:sz w:val="22"/>
                          <w:szCs w:val="22"/>
                        </w:rPr>
                      </w:pPr>
                      <w:sdt>
                        <w:sdtPr>
                          <w:alias w:val="Numeris"/>
                          <w:tag w:val="nr_3a00d18ff4c94545889c5c4caac7cbe0"/>
                          <w:lock w:val="sdtLocked"/>
                          <w:richText/>
                        </w:sdtPr>
                        <w:sdtContent>
                          <w:r>
                            <w:rPr>
                              <w:sz w:val="22"/>
                              <w:szCs w:val="22"/>
                            </w:rPr>
                            <w:t>14</w:t>
                          </w:r>
                        </w:sdtContent>
                      </w:sdt>
                      <w:r>
                        <w:rPr>
                          <w:sz w:val="22"/>
                          <w:szCs w:val="22"/>
                        </w:rPr>
                        <w:t>. Lietuvos banko išnagrinėtų ginčų bylų medžiaga laikoma konfidencialia informacija ir tretiesiems asmenims neteikiama, išskyrus įstatymų nustatytus atvejus. Lietuvos bankas skelbia apibendrintą informaciją apie išnagrinėtų ginčų pobūdį, priimtus sprendimus ir jų vykdymo būklę.</w:t>
                      </w:r>
                    </w:p>
                  </w:sdtContent>
                </w:sdt>
                <w:sdt>
                  <w:sdtPr>
                    <w:alias w:val="47 str. 15 d."/>
                    <w:tag w:val="part_e03f704cff4e41ebb51c6257c584ddd4"/>
                    <w:lock w:val="sdtLocked"/>
                    <w:richText/>
                  </w:sdtPr>
                  <w:sdtContent>
                    <w:p>
                      <w:pPr>
                        <w:ind w:firstLine="720"/>
                        <w:jc w:val="both"/>
                        <w:rPr>
                          <w:sz w:val="22"/>
                          <w:szCs w:val="22"/>
                        </w:rPr>
                      </w:pPr>
                      <w:sdt>
                        <w:sdtPr>
                          <w:alias w:val="Numeris"/>
                          <w:tag w:val="nr_e03f704cff4e41ebb51c6257c584ddd4"/>
                          <w:lock w:val="sdtLocked"/>
                          <w:richText/>
                        </w:sdtPr>
                        <w:sdtContent>
                          <w:r>
                            <w:rPr>
                              <w:bCs/>
                              <w:sz w:val="22"/>
                              <w:szCs w:val="22"/>
                            </w:rPr>
                            <w:t>15</w:t>
                          </w:r>
                        </w:sdtContent>
                      </w:sdt>
                      <w:r>
                        <w:rPr>
                          <w:bCs/>
                          <w:sz w:val="22"/>
                          <w:szCs w:val="22"/>
                        </w:rPr>
                        <w:t>. Vartotojo kreipimasis į Lietuvos banką laikantis šiame straipsnyje nustatytų reikalavimų dėl ginčo išnagrinėjimo sustabdo ieškinio senaties terminą.</w:t>
                      </w:r>
                    </w:p>
                  </w:sdtContent>
                </w:sdt>
                <w:sdt>
                  <w:sdtPr>
                    <w:alias w:val="47 str. 16 d."/>
                    <w:tag w:val="part_9dedc26396ba4eb3942827f202ce3e4c"/>
                    <w:lock w:val="sdtLocked"/>
                    <w:richText/>
                  </w:sdtPr>
                  <w:sdtContent>
                    <w:p>
                      <w:pPr>
                        <w:ind w:firstLine="720"/>
                        <w:jc w:val="both"/>
                        <w:rPr>
                          <w:sz w:val="22"/>
                          <w:szCs w:val="22"/>
                        </w:rPr>
                      </w:pPr>
                      <w:sdt>
                        <w:sdtPr>
                          <w:alias w:val="Numeris"/>
                          <w:tag w:val="nr_9dedc26396ba4eb3942827f202ce3e4c"/>
                          <w:lock w:val="sdtLocked"/>
                          <w:richText/>
                        </w:sdtPr>
                        <w:sdtContent>
                          <w:r>
                            <w:rPr>
                              <w:sz w:val="22"/>
                              <w:szCs w:val="22"/>
                            </w:rPr>
                            <w:t>16</w:t>
                          </w:r>
                        </w:sdtContent>
                      </w:sdt>
                      <w:r>
                        <w:rPr>
                          <w:sz w:val="22"/>
                          <w:szCs w:val="22"/>
                        </w:rPr>
                        <w:t xml:space="preserve">. </w:t>
                      </w:r>
                      <w:r>
                        <w:rPr>
                          <w:bCs/>
                          <w:sz w:val="22"/>
                          <w:szCs w:val="22"/>
                        </w:rPr>
                        <w:t>Ginčo šalių teises ir pareigas bei ginčo nagrinėjimo procesą, kiek jų nereglamentuoja šis įstatymas, reglamentuoja Lietuvos Respublikos vartotojų teisių apsaugos įstatymas.</w:t>
                      </w:r>
                      <w:r>
                        <w:rPr>
                          <w:sz w:val="22"/>
                          <w:szCs w:val="22"/>
                        </w:rPr>
                        <w:t xml:space="preserve"> Detalią ginčų nagrinėjimo tvarką nustato Lietuvos banko teisės aktai.</w:t>
                      </w:r>
                    </w:p>
                    <w:p>
                      <w:pPr>
                        <w:ind w:firstLine="720"/>
                        <w:jc w:val="both"/>
                        <w:rPr>
                          <w:sz w:val="22"/>
                          <w:szCs w:val="22"/>
                        </w:rPr>
                      </w:pPr>
                    </w:p>
                  </w:sdtContent>
                </w:sdt>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0e991688cde1421daeca5185694c3a27"/>
                <w:lock w:val="sdtLocked"/>
                <w:richText/>
              </w:sdtPr>
              <w:sdtContent>
                <w:p>
                  <w:pPr>
                    <w:tabs>
                      <w:tab w:val="left" w:pos="10076"/>
                      <w:tab w:val="left" w:pos="10992"/>
                      <w:tab w:val="left" w:pos="11908"/>
                      <w:tab w:val="left" w:pos="12824"/>
                      <w:tab w:val="left" w:pos="13740"/>
                      <w:tab w:val="left" w:pos="14656"/>
                    </w:tabs>
                    <w:ind w:left="2977" w:hanging="2257"/>
                    <w:jc w:val="both"/>
                    <w:rPr>
                      <w:b/>
                      <w:sz w:val="22"/>
                      <w:szCs w:val="22"/>
                    </w:rPr>
                  </w:pPr>
                  <w:sdt>
                    <w:sdtPr>
                      <w:alias w:val="Numeris"/>
                      <w:tag w:val="nr_0e991688cde1421daeca5185694c3a27"/>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0e991688cde1421daeca5185694c3a27"/>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3673e74de64f4655a84854132d8dede3"/>
                <w:lock w:val="sdtLocked"/>
                <w:richText/>
              </w:sdtPr>
              <w:sdtContent>
                <w:p>
                  <w:pPr>
                    <w:ind w:firstLine="720"/>
                    <w:jc w:val="both"/>
                    <w:rPr>
                      <w:sz w:val="22"/>
                      <w:szCs w:val="22"/>
                    </w:rPr>
                  </w:pPr>
                  <w:sdt>
                    <w:sdtPr>
                      <w:alias w:val="Numeris"/>
                      <w:tag w:val="nr_3673e74de64f4655a84854132d8dede3"/>
                      <w:lock w:val="sdtLocked"/>
                      <w:richText/>
                    </w:sdtPr>
                    <w:sdtContent>
                      <w:r>
                        <w:rPr>
                          <w:b/>
                          <w:sz w:val="22"/>
                          <w:szCs w:val="22"/>
                        </w:rPr>
                        <w:t>49</w:t>
                      </w:r>
                    </w:sdtContent>
                  </w:sdt>
                  <w:r>
                    <w:rPr>
                      <w:b/>
                      <w:sz w:val="22"/>
                      <w:szCs w:val="22"/>
                    </w:rPr>
                    <w:t xml:space="preserve"> straipsnis. </w:t>
                  </w:r>
                  <w:sdt>
                    <w:sdtPr>
                      <w:alias w:val="Pavadinimas"/>
                      <w:tag w:val="title_3673e74de64f4655a84854132d8dede3"/>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12"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3"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6"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7"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63"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18"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9e20cab16b4f4a46aa5ec970e832579a"/>
                <w:lock w:val="sdtLocked"/>
                <w:richText/>
              </w:sdtPr>
              <w:sdtContent>
                <w:sdt>
                  <w:sdtPr>
                    <w:alias w:val="Pavadinimas"/>
                    <w:tag w:val="title_9e20cab16b4f4a46aa5ec970e832579a"/>
                    <w:lock w:val="sdtLocked"/>
                    <w:richText/>
                  </w:sdtPr>
                  <w:sdtContent>
                    <w:p>
                      <w:pPr>
                        <w:ind w:left="2520" w:hanging="1800"/>
                        <w:jc w:val="both"/>
                        <w:rPr>
                          <w:b/>
                          <w:sz w:val="22"/>
                        </w:rPr>
                      </w:pPr>
                      <w:sdt>
                        <w:sdtPr>
                          <w:alias w:val="Numeris"/>
                          <w:tag w:val="nr_9e20cab16b4f4a46aa5ec970e832579a"/>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19"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2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23"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2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65"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6"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4ef9404cda284b0897986b801ab726c3"/>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cr/>
                <w:cr/>
                <w:cr/>
                <w:t>RESPUBLIKOS PREZIDENTAS</w:t>
                <w:tab/>
                <w:tab/>
                <w:tab/>
                <w:tab/>
                <w:t>ALGIRDAS BRAZAUSKAS</w:t>
                <w:cr/>
              </w:r>
            </w:p>
            <w:p>
              <w:pPr>
                <w:ind w:firstLine="720"/>
                <w:jc w:val="both"/>
                <w:rPr>
                  <w:sz w:val="22"/>
                </w:rPr>
              </w:pPr>
            </w:p>
            <w:p>
              <w:pPr>
                <w:ind w:firstLine="720"/>
                <w:jc w:val="both"/>
                <w:rPr>
                  <w:sz w:val="22"/>
                </w:rPr>
              </w:pPr>
            </w:p>
          </w:sdtContent>
        </w:sdt>
      </w:sdtContent>
    </w:sdt>
    <w:sdt>
      <w:sdtPr>
        <w:alias w:val="1 pr."/>
        <w:tag w:val="part_57dea99e017544ddb27a1160e44d59ba"/>
        <w:lock w:val="sdtLocked"/>
        <w:richText/>
      </w:sdtPr>
      <w:sdtContent>
        <w:p>
          <w:pPr>
            <w:ind w:firstLine="5760"/>
            <w:rPr>
              <w:bCs/>
              <w:szCs w:val="24"/>
            </w:rPr>
          </w:pPr>
          <w:r>
            <w:rPr>
              <w:bCs/>
              <w:szCs w:val="24"/>
            </w:rPr>
            <w:t>Lietuvos Respublikos</w:t>
          </w:r>
        </w:p>
        <w:p>
          <w:pPr>
            <w:ind w:firstLine="5760"/>
            <w:rPr>
              <w:bCs/>
              <w:szCs w:val="24"/>
            </w:rPr>
          </w:pPr>
          <w:r>
            <w:rPr>
              <w:bCs/>
              <w:szCs w:val="24"/>
            </w:rPr>
            <w:t>Lietuvos banko įstatymo</w:t>
          </w:r>
        </w:p>
        <w:p>
          <w:pPr>
            <w:ind w:firstLine="5760"/>
            <w:rPr>
              <w:bCs/>
              <w:strike/>
              <w:szCs w:val="24"/>
            </w:rPr>
          </w:pPr>
          <w:sdt>
            <w:sdtPr>
              <w:alias w:val="Numeris"/>
              <w:tag w:val="nr_57dea99e017544ddb27a1160e44d59ba"/>
              <w:lock w:val="sdtLocked"/>
              <w:richText/>
            </w:sdtPr>
            <w:sdtContent>
              <w:r>
                <w:rPr>
                  <w:bCs/>
                  <w:szCs w:val="24"/>
                </w:rPr>
                <w:t>1</w:t>
              </w:r>
            </w:sdtContent>
          </w:sdt>
          <w:r>
            <w:rPr>
              <w:bCs/>
              <w:szCs w:val="24"/>
            </w:rPr>
            <w:t xml:space="preserve"> priedas</w:t>
          </w:r>
        </w:p>
        <w:p>
          <w:pPr>
            <w:spacing w:line="240" w:lineRule="atLeast"/>
            <w:ind w:left="284"/>
            <w:rPr>
              <w:bCs/>
              <w:szCs w:val="24"/>
            </w:rPr>
          </w:pPr>
        </w:p>
        <w:p>
          <w:pPr>
            <w:rPr>
              <w:sz w:val="10"/>
              <w:szCs w:val="10"/>
            </w:rPr>
          </w:pPr>
        </w:p>
        <w:p>
          <w:pPr>
            <w:spacing w:line="360" w:lineRule="auto"/>
            <w:jc w:val="center"/>
            <w:rPr>
              <w:b/>
              <w:bCs/>
              <w:szCs w:val="24"/>
            </w:rPr>
          </w:pPr>
          <w:sdt>
            <w:sdtPr>
              <w:alias w:val="Pavadinimas"/>
              <w:tag w:val="title_57dea99e017544ddb27a1160e44d59ba"/>
              <w:lock w:val="sdtLocked"/>
              <w:richText/>
            </w:sdtPr>
            <w:sdtContent>
              <w:r>
                <w:rPr>
                  <w:b/>
                  <w:bCs/>
                  <w:szCs w:val="24"/>
                </w:rPr>
                <w:t xml:space="preserve">FINANSŲ RINKOS DALYVIAI, MOKANTYS ĮMOKAS FINANSŲ RINKOS PRIEŽIŪROS IŠLAIDOMS PADENGTI, ĮMOKŲ BAZĖ IR MAKSIMALŪS ĮMOKŲ DYDŽIAI </w:t>
              </w:r>
            </w:sdtContent>
          </w:sdt>
        </w:p>
        <w:p>
          <w:pPr>
            <w:tabs>
              <w:tab w:val="right" w:pos="8306"/>
            </w:tabs>
            <w:spacing w:line="240" w:lineRule="atLeast"/>
            <w:ind w:firstLine="902"/>
            <w:rPr>
              <w:b/>
              <w:bCs/>
              <w:szCs w:val="24"/>
            </w:rPr>
          </w:pPr>
        </w:p>
        <w:tbl>
          <w:tblPr>
            <w:tblW w:w="9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4280"/>
            <w:gridCol w:w="2410"/>
            <w:gridCol w:w="1617"/>
            <w:gridCol w:w="390"/>
          </w:tblGrid>
          <w:tr>
            <w:trPr>
              <w:tblHeader/>
            </w:trP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Eil. Nr.</w:t>
                </w:r>
              </w:p>
            </w:tc>
            <w:tc>
              <w:tcPr>
                <w:tcW w:w="428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Rinkos dalyviai</w:t>
                </w:r>
              </w:p>
            </w:tc>
            <w:tc>
              <w:tcPr>
                <w:tcW w:w="241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Įmokų bazė</w:t>
                </w:r>
              </w:p>
            </w:tc>
            <w:tc>
              <w:tcPr>
                <w:tcW w:w="16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Maksimalus įmokų dydis</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Kredito įstaigos; kitose negu Europos ekonominės erdvės valstybėse licencijuotų užsienio bankų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Vidutinis metinis turtas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0,017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užsienio bankų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Vidutinis metinis turtas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0,0057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Vartojimo kredito davėjai, išskyrus kredito įstaigas ir jų filialus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Vidutinis metinis turtas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0,0085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Elektroninių pinigų įstaigos; kitose negu Europos ekonominės erdvės valstybėse licencijuotų elektroninių pinigų įstaigų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 xml:space="preserve">Neapmokėtų elektroninių pinigų metinis vidurkis ir </w:t>
                </w:r>
              </w:p>
              <w:p>
                <w:pPr>
                  <w:rPr>
                    <w:szCs w:val="24"/>
                  </w:rPr>
                </w:pPr>
                <w:r>
                  <w:rPr>
                    <w:bCs/>
                    <w:szCs w:val="24"/>
                  </w:rPr>
                  <w:t>mokėjimo paslaugų metinė apyvarta</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0,01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elektroninių pinigų įstaigų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 xml:space="preserve">Neapmokėtų elektroninių pinigų metinis vidurkis ir </w:t>
                </w:r>
              </w:p>
              <w:p>
                <w:pPr>
                  <w:rPr>
                    <w:szCs w:val="24"/>
                  </w:rPr>
                </w:pPr>
                <w:r>
                  <w:rPr>
                    <w:bCs/>
                    <w:szCs w:val="24"/>
                  </w:rPr>
                  <w:t>mokėjimo paslaugų metinė apyvarta</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0,005 proc.</w:t>
                </w:r>
              </w:p>
            </w:tc>
            <w:tc>
              <w:tcPr>
                <w:tcW w:w="390" w:type="dxa"/>
                <w:tcBorders>
                  <w:top w:val="nil"/>
                  <w:left w:val="single" w:sz="4" w:space="0" w:color="auto"/>
                  <w:bottom w:val="nil"/>
                  <w:right w:val="nil"/>
                </w:tcBorders>
              </w:tcPr>
              <w:p>
                <w:pPr>
                  <w:ind w:left="283"/>
                  <w:jc w:val="center"/>
                  <w:rPr>
                    <w:szCs w:val="24"/>
                  </w:rPr>
                </w:pPr>
              </w:p>
            </w:tc>
          </w:tr>
          <w:tr>
            <w:trPr>
              <w:trHeight w:val="591"/>
            </w:trP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Mokėjimo įstaigos</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Mokėjimo paslaugų metinė apyvarta</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0,01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mokėjimo įstaigų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Mokėjimo paslaugų metinė apyvarta</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Draudimo ir perdraudimo įmonės; kitose negu Europos ekonominės erdvės valstybėse licencijuotų draudimo ir perdraudimo įmonių filialai, įsteigti Lietuvos Respublikoje </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Lietuvos Respublikoje pasirašytos draudimo ir perdraudimo įmokos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0,26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draudimo ir perdraudimo įmonių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Lietuvos Respublikoje pasirašytos draudimo ir perdraudimo įmokos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0,13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Finansų maklerio įmonės</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Metinės pajamos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0,3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Kitose Europos ekonominės erdvės valstybėse licencijuotų finansų maklerio įmonių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Metinės pajamos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0,15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Valdymo įmonės, investicinės kintamojo kapitalo bendrovės, uždaro tipo investicinės bendrovės ir šių subjektų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Valdomas kolektyvinio investavimo subjektų ir papildomo savanoriško pensijų kaupimo fondų turtas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4280"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szCs w:val="24"/>
                  </w:rPr>
                  <w:t>Reguliuojamos rinkos operatoriai</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21 721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4280"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szCs w:val="24"/>
                  </w:rPr>
                  <w:t>Centrinis vertybinių popierių depozitoriumas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28 962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Emitentai, kurių nuosavybės vertybiniai popieriai įtraukti į prekybą reguliuojamoje rinkoje Lietuvos Respublikoje ir (ar) kitoje Europos ekonominės erdvės valstybėje ir kurių priežiūrą atlieka Lietuvos bankas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868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Emitentai, kurių ne nuosavybės vertybiniai popieriai įtraukti į prekybą reguliuojamoje rinkoje Lietuvos Respublikoje ir (ar) kitoje Europos ekonominės erdvės valstybėje ir kurių priežiūrą atlieka Lietuvos bankas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434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Draudimo brokerių įmonės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434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4280"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szCs w:val="24"/>
                  </w:rPr>
                  <w:t>Finansų patarėjo įmonės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434 Eur</w:t>
                </w:r>
              </w:p>
            </w:tc>
            <w:tc>
              <w:tcPr>
                <w:tcW w:w="390" w:type="dxa"/>
                <w:tcBorders>
                  <w:top w:val="nil"/>
                  <w:left w:val="single" w:sz="4" w:space="0" w:color="auto"/>
                  <w:bottom w:val="nil"/>
                  <w:right w:val="nil"/>
                </w:tcBorders>
              </w:tcPr>
              <w:p>
                <w:pPr>
                  <w:ind w:left="102"/>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4280"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bCs/>
                    <w:szCs w:val="24"/>
                  </w:rPr>
                  <w:t xml:space="preserve">Valiutos keityklos operatoriai         </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434 Eur“</w:t>
                </w:r>
              </w:p>
            </w:tc>
            <w:tc>
              <w:tcPr>
                <w:tcW w:w="390" w:type="dxa"/>
                <w:tcBorders>
                  <w:top w:val="nil"/>
                  <w:left w:val="single" w:sz="4" w:space="0" w:color="auto"/>
                  <w:bottom w:val="nil"/>
                  <w:right w:val="nil"/>
                </w:tcBorders>
                <w:hideMark/>
              </w:tcPr>
              <w:p/>
            </w:tc>
          </w:tr>
        </w:tbl>
        <w:p>
          <w:pPr>
            <w:tabs>
              <w:tab w:val="center" w:pos="4153"/>
              <w:tab w:val="right" w:pos="8306"/>
            </w:tabs>
            <w:rPr>
              <w:i/>
              <w:sz w:val="20"/>
            </w:rPr>
          </w:pPr>
          <w:r>
            <w:rPr>
              <w:i/>
              <w:sz w:val="20"/>
            </w:rPr>
            <w:t>Įstatymas papildytas nauju 1 priedu:</w:t>
          </w:r>
        </w:p>
        <w:p>
          <w:pPr>
            <w:tabs>
              <w:tab w:val="center" w:pos="4153"/>
              <w:tab w:val="right" w:pos="8306"/>
            </w:tabs>
            <w:rPr>
              <w:i/>
              <w:sz w:val="20"/>
            </w:rPr>
          </w:pPr>
          <w:r>
            <w:rPr>
              <w:i/>
              <w:sz w:val="20"/>
            </w:rPr>
            <w:t xml:space="preserve">Nr. </w:t>
          </w:r>
          <w:hyperlink r:id="rId127" w:history="1">
            <w:r>
              <w:rPr>
                <w:i/>
                <w:color w:val="0000FF"/>
                <w:sz w:val="20"/>
                <w:u w:val="single"/>
              </w:rPr>
              <w:t>XI-1666</w:t>
            </w:r>
          </w:hyperlink>
          <w:r>
            <w:rPr>
              <w:i/>
              <w:sz w:val="20"/>
            </w:rPr>
            <w:t>, 2011-11-17, Žin., 2011, Nr. 145-6812 (2011-12-01)</w:t>
          </w:r>
        </w:p>
        <w:p>
          <w:pPr>
            <w:tabs>
              <w:tab w:val="center" w:pos="4153"/>
              <w:tab w:val="right" w:pos="8306"/>
            </w:tabs>
            <w:rPr>
              <w:i/>
              <w:sz w:val="20"/>
            </w:rPr>
          </w:pPr>
          <w:r>
            <w:rPr>
              <w:i/>
              <w:sz w:val="20"/>
            </w:rPr>
            <w:t>Priedo pakeitimai:</w:t>
          </w:r>
        </w:p>
        <w:p>
          <w:pPr>
            <w:tabs>
              <w:tab w:val="center" w:pos="4153"/>
              <w:tab w:val="right" w:pos="8306"/>
            </w:tabs>
          </w:pPr>
          <w:r>
            <w:rPr>
              <w:i/>
              <w:sz w:val="20"/>
            </w:rPr>
            <w:t xml:space="preserve">Nr. </w:t>
          </w:r>
          <w:hyperlink r:id="rId128" w:history="1">
            <w:r>
              <w:rPr>
                <w:i/>
                <w:color w:val="0000FF"/>
                <w:sz w:val="20"/>
                <w:u w:val="single"/>
              </w:rPr>
              <w:t>XII-1035</w:t>
            </w:r>
          </w:hyperlink>
          <w:r>
            <w:rPr>
              <w:i/>
              <w:sz w:val="20"/>
            </w:rPr>
            <w:t>, 2014-07-17, paskelbta TAR 2014-08-04, i. k. 2014-10871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92119501020d4a8e8d5fdfd8e1c2bbe5"/>
        <w:lock w:val="sdtLocked"/>
        <w:richText/>
      </w:sdtPr>
      <w:sdtContent>
        <w:p>
          <w:pPr>
            <w:ind w:right="-1" w:firstLine="6480"/>
            <w:jc w:val="both"/>
            <w:rPr>
              <w:szCs w:val="24"/>
            </w:rPr>
          </w:pPr>
          <w:r>
            <w:rPr>
              <w:szCs w:val="24"/>
            </w:rPr>
            <w:t>Lietuvos Respublikos</w:t>
          </w:r>
        </w:p>
        <w:p>
          <w:pPr>
            <w:ind w:right="-1" w:firstLine="6480"/>
            <w:jc w:val="both"/>
            <w:rPr>
              <w:szCs w:val="24"/>
            </w:rPr>
          </w:pPr>
          <w:r>
            <w:rPr>
              <w:szCs w:val="24"/>
            </w:rPr>
            <w:t>Lietuvos banko įstatymo</w:t>
          </w:r>
        </w:p>
        <w:p>
          <w:pPr>
            <w:ind w:right="-1" w:firstLine="6480"/>
            <w:jc w:val="both"/>
            <w:rPr>
              <w:b/>
              <w:szCs w:val="24"/>
            </w:rPr>
          </w:pPr>
          <w:sdt>
            <w:sdtPr>
              <w:alias w:val="Numeris"/>
              <w:tag w:val="nr_92119501020d4a8e8d5fdfd8e1c2bbe5"/>
              <w:lock w:val="sdtLocked"/>
              <w:richText/>
            </w:sdtPr>
            <w:sdtContent>
              <w:r>
                <w:rPr>
                  <w:szCs w:val="24"/>
                </w:rPr>
                <w:t>2</w:t>
              </w:r>
            </w:sdtContent>
          </w:sdt>
          <w:r>
            <w:rPr>
              <w:szCs w:val="24"/>
            </w:rPr>
            <w:t xml:space="preserve"> priedas</w:t>
          </w:r>
        </w:p>
        <w:p>
          <w:pPr>
            <w:spacing w:line="360" w:lineRule="auto"/>
            <w:jc w:val="both"/>
            <w:rPr>
              <w:szCs w:val="24"/>
            </w:rPr>
          </w:pPr>
        </w:p>
        <w:p>
          <w:pPr>
            <w:spacing w:line="360" w:lineRule="auto"/>
            <w:jc w:val="center"/>
            <w:rPr>
              <w:b/>
              <w:szCs w:val="24"/>
            </w:rPr>
          </w:pPr>
          <w:sdt>
            <w:sdtPr>
              <w:alias w:val="Pavadinimas"/>
              <w:tag w:val="title_92119501020d4a8e8d5fdfd8e1c2bbe5"/>
              <w:lock w:val="sdtLocked"/>
              <w:richText/>
            </w:sdtPr>
            <w:sdtContent>
              <w:r>
                <w:rPr>
                  <w:b/>
                  <w:szCs w:val="24"/>
                </w:rPr>
                <w:t>FINANSŲ RINKOS DALYVIAI, MOKANTYS ĮMOKAS FINANSŲ SEKTORIAUS SUBJEKTŲ PERTVARKYMO INSTITUCIJOS IŠLAIDOMS PADENGTI, ĮMOKŲ BAZĖ IR MAKSIMALŪS ĮMOKŲ DYDŽIAI</w:t>
              </w:r>
            </w:sdtContent>
          </w:sdt>
        </w:p>
        <w:p>
          <w:pPr>
            <w:ind w:firstLine="567"/>
            <w:jc w:val="both"/>
            <w:rPr>
              <w:b/>
              <w:szCs w:val="24"/>
            </w:rPr>
          </w:pPr>
        </w:p>
        <w:tbl>
          <w:tblPr>
            <w:tblW w:w="950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7"/>
            <w:gridCol w:w="4607"/>
            <w:gridCol w:w="2781"/>
            <w:gridCol w:w="1418"/>
          </w:tblGrid>
          <w:tr>
            <w:tc>
              <w:tcPr>
                <w:tcW w:w="69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Eil. Nr.</w:t>
                </w:r>
              </w:p>
            </w:tc>
            <w:tc>
              <w:tcPr>
                <w:tcW w:w="460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Rinkos dalyviai</w:t>
                </w:r>
              </w:p>
            </w:tc>
            <w:tc>
              <w:tcPr>
                <w:tcW w:w="2781"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Įmokų bazė</w:t>
                </w:r>
              </w:p>
            </w:tc>
            <w:tc>
              <w:tcPr>
                <w:tcW w:w="1418"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Maksimalus įmokų dydis</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1.</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0,0043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0,0014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3.</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licencijuotos finansų maklerio įmonės, kurioms taikomas Finansinių priemonių rinkų įstatymo 12</w:t>
                </w:r>
                <w:r>
                  <w:rPr>
                    <w:szCs w:val="24"/>
                    <w:vertAlign w:val="superscript"/>
                    <w:lang w:eastAsia="lt-LT"/>
                  </w:rPr>
                  <w:t>1</w:t>
                </w:r>
                <w:r>
                  <w:rPr>
                    <w:szCs w:val="24"/>
                    <w:lang w:eastAsia="lt-LT"/>
                  </w:rPr>
                  <w:t xml:space="preserve"> straipsnio 2 dalyje nustatytas reikalavimas</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0,075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4.</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Kitose valstybėse licencijuotų finansų maklerio įmonių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0,038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 xml:space="preserve">5. </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5.1.</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Elektroninių pinigų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Neapmokėtų elektroninių pinigų metinis vidurkis ir 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0,0025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Mokėjimo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5.3.</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Valdomas kolektyvinio investavimo subjektų ir papildomo savanoriško pensijų kaupimo fondų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5.4.</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Finansų patarėjo įmonės</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5.5.</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Valiutos keityklos operatoriai</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bl>
        <w:p>
          <w:pPr>
            <w:spacing w:line="360" w:lineRule="auto"/>
            <w:ind w:firstLine="567"/>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3 pr."/>
        <w:tag w:val="part_c45a8053ed2c455cb86d8025046d7afc"/>
        <w:lock w:val="sdtLocked"/>
        <w:richText/>
      </w:sdtPr>
      <w:sdtContent>
        <w:p>
          <w:pPr>
            <w:ind w:firstLine="6480"/>
            <w:rPr>
              <w:sz w:val="22"/>
              <w:szCs w:val="22"/>
            </w:rPr>
          </w:pPr>
          <w:r>
            <w:rPr>
              <w:sz w:val="22"/>
              <w:szCs w:val="22"/>
            </w:rPr>
            <w:t>Lietuvos Respublikos</w:t>
          </w:r>
        </w:p>
        <w:p>
          <w:pPr>
            <w:ind w:firstLine="6480"/>
            <w:rPr>
              <w:sz w:val="22"/>
              <w:szCs w:val="22"/>
            </w:rPr>
          </w:pPr>
          <w:r>
            <w:rPr>
              <w:sz w:val="22"/>
              <w:szCs w:val="22"/>
            </w:rPr>
            <w:t xml:space="preserve">Lietuvos banko įstatymo </w:t>
          </w:r>
        </w:p>
        <w:p>
          <w:pPr>
            <w:ind w:firstLine="6480"/>
            <w:rPr>
              <w:b/>
              <w:sz w:val="22"/>
              <w:szCs w:val="22"/>
            </w:rPr>
          </w:pPr>
          <w:sdt>
            <w:sdtPr>
              <w:alias w:val="Numeris"/>
              <w:tag w:val="nr_c45a8053ed2c455cb86d8025046d7afc"/>
              <w:lock w:val="sdtLocked"/>
              <w:richText/>
            </w:sdtPr>
            <w:sdtContent>
              <w:r>
                <w:rPr>
                  <w:sz w:val="22"/>
                  <w:szCs w:val="22"/>
                </w:rPr>
                <w:t>3</w:t>
              </w:r>
            </w:sdtContent>
          </w:sdt>
          <w:r>
            <w:rPr>
              <w:b/>
              <w:sz w:val="22"/>
              <w:szCs w:val="22"/>
            </w:rPr>
            <w:t xml:space="preserve"> </w:t>
          </w:r>
          <w:r>
            <w:rPr>
              <w:sz w:val="22"/>
              <w:szCs w:val="22"/>
            </w:rPr>
            <w:t>priedas</w:t>
          </w:r>
        </w:p>
        <w:p>
          <w:pPr>
            <w:ind w:firstLine="720"/>
            <w:rPr>
              <w:sz w:val="22"/>
              <w:szCs w:val="22"/>
            </w:rPr>
          </w:pPr>
        </w:p>
        <w:p>
          <w:pPr>
            <w:jc w:val="center"/>
            <w:rPr>
              <w:b/>
              <w:sz w:val="22"/>
              <w:szCs w:val="22"/>
            </w:rPr>
          </w:pPr>
          <w:sdt>
            <w:sdtPr>
              <w:alias w:val="Pavadinimas"/>
              <w:tag w:val="title_c45a8053ed2c455cb86d8025046d7afc"/>
              <w:lock w:val="sdtLocked"/>
              <w:richText/>
            </w:sdtPr>
            <w:sdtContent>
              <w:r>
                <w:rPr>
                  <w:b/>
                  <w:sz w:val="22"/>
                  <w:szCs w:val="22"/>
                </w:rPr>
                <w:t>ĮGYVENDINAMI EUROPOS SĄJUNGOS TEISĖS AKTAI</w:t>
              </w:r>
            </w:sdtContent>
          </w:sdt>
        </w:p>
        <w:p>
          <w:pPr>
            <w:ind w:firstLine="720"/>
            <w:jc w:val="both"/>
            <w:rPr>
              <w:sz w:val="22"/>
              <w:szCs w:val="22"/>
            </w:rPr>
          </w:pPr>
        </w:p>
        <w:sdt>
          <w:sdtPr>
            <w:alias w:val="3 pr. 1 p."/>
            <w:tag w:val="part_9392a88c6a564eb6a1d27150849c37f7"/>
            <w:lock w:val="sdtLocked"/>
            <w:richText/>
          </w:sdtPr>
          <w:sdtContent>
            <w:p>
              <w:pPr>
                <w:ind w:firstLine="720"/>
                <w:jc w:val="both"/>
                <w:rPr>
                  <w:sz w:val="22"/>
                  <w:szCs w:val="22"/>
                </w:rPr>
              </w:pPr>
              <w:sdt>
                <w:sdtPr>
                  <w:alias w:val="Numeris"/>
                  <w:tag w:val="nr_9392a88c6a564eb6a1d27150849c37f7"/>
                  <w:lock w:val="sdtLocked"/>
                  <w:richText/>
                </w:sdtPr>
                <w:sdtContent>
                  <w:r>
                    <w:rPr>
                      <w:sz w:val="22"/>
                      <w:szCs w:val="22"/>
                    </w:rPr>
                    <w:t>1</w:t>
                  </w:r>
                </w:sdtContent>
              </w:sdt>
              <w:r>
                <w:rPr>
                  <w:sz w:val="22"/>
                  <w:szCs w:val="22"/>
                </w:rPr>
                <w:t xml:space="preserve">. 1957 m. kovo 25 d. Europos Bendrijos steigimo sutartis su paskutiniais pakeitimais, padarytais 2007 m. gruodžio 17 d. Lisabonos sutartimi (OL 2007 C 306, p. 1). </w:t>
              </w:r>
            </w:p>
          </w:sdtContent>
        </w:sdt>
        <w:sdt>
          <w:sdtPr>
            <w:alias w:val="3 pr. 2 p."/>
            <w:tag w:val="part_6ef40e06f6f342498ef9571918bea7a6"/>
            <w:lock w:val="sdtLocked"/>
            <w:richText/>
          </w:sdtPr>
          <w:sdtContent>
            <w:p>
              <w:pPr>
                <w:ind w:firstLine="720"/>
                <w:jc w:val="both"/>
                <w:rPr>
                  <w:sz w:val="22"/>
                  <w:szCs w:val="22"/>
                </w:rPr>
              </w:pPr>
              <w:sdt>
                <w:sdtPr>
                  <w:alias w:val="Numeris"/>
                  <w:tag w:val="nr_6ef40e06f6f342498ef9571918bea7a6"/>
                  <w:lock w:val="sdtLocked"/>
                  <w:richText/>
                </w:sdtPr>
                <w:sdtContent>
                  <w:r>
                    <w:rPr>
                      <w:sz w:val="22"/>
                      <w:szCs w:val="22"/>
                    </w:rPr>
                    <w:t>2</w:t>
                  </w:r>
                </w:sdtContent>
              </w:sdt>
              <w:r>
                <w:rPr>
                  <w:sz w:val="22"/>
                  <w:szCs w:val="22"/>
                </w:rPr>
                <w:t xml:space="preserve">. 1992 m. vasario 7 d. Europos Bendrijos steigimo sutarties Protokolas Nr. 18 dėl Europos centrinių bankų sistemos ir Europos centrinio banko statuto su paskutiniais pakeitimais, padarytais 2007 m. gruodžio 17 d. Lisabonos sutartimi (OL 2007 C 306, p. 1). </w:t>
              </w:r>
            </w:p>
          </w:sdtContent>
        </w:sdt>
        <w:sdt>
          <w:sdtPr>
            <w:alias w:val="3 pr. 3 p."/>
            <w:tag w:val="part_7b28963640a04e48984fe9db3c32e15d"/>
            <w:lock w:val="sdtLocked"/>
            <w:richText/>
          </w:sdtPr>
          <w:sdtContent>
            <w:p>
              <w:pPr>
                <w:ind w:firstLine="720"/>
                <w:jc w:val="both"/>
                <w:rPr>
                  <w:sz w:val="22"/>
                  <w:szCs w:val="22"/>
                </w:rPr>
              </w:pPr>
              <w:sdt>
                <w:sdtPr>
                  <w:alias w:val="Numeris"/>
                  <w:tag w:val="nr_7b28963640a04e48984fe9db3c32e15d"/>
                  <w:lock w:val="sdtLocked"/>
                  <w:richText/>
                </w:sdtPr>
                <w:sdtContent>
                  <w:r>
                    <w:rPr>
                      <w:sz w:val="22"/>
                      <w:szCs w:val="22"/>
                    </w:rPr>
                    <w:t>3</w:t>
                  </w:r>
                </w:sdtContent>
              </w:sdt>
              <w:r>
                <w:rPr>
                  <w:sz w:val="22"/>
                  <w:szCs w:val="22"/>
                </w:rPr>
                <w:t xml:space="preserve">. 1993 m. gruodžio 13 d. Tarybos reglamentas (EB) Nr. 3603/93, nustatantis apibrėžimus, susijusius su Sutarties 104 ir 104b (1) straipsniuose numatytų uždraudimų taikymu (OL </w:t>
              </w:r>
              <w:r>
                <w:rPr>
                  <w:i/>
                  <w:sz w:val="22"/>
                  <w:szCs w:val="22"/>
                </w:rPr>
                <w:t>2004 m. specialusis leidimas</w:t>
              </w:r>
              <w:r>
                <w:rPr>
                  <w:sz w:val="22"/>
                  <w:szCs w:val="22"/>
                </w:rPr>
                <w:t xml:space="preserve">, 10 skyrius, 1 tomas, p. 27). </w:t>
              </w:r>
            </w:p>
          </w:sdtContent>
        </w:sdt>
        <w:sdt>
          <w:sdtPr>
            <w:alias w:val="3 pr. 4 p."/>
            <w:tag w:val="part_1bd45c0ff62a4d7f8ea9e508a0b3205e"/>
            <w:lock w:val="sdtLocked"/>
            <w:richText/>
          </w:sdtPr>
          <w:sdtContent>
            <w:p>
              <w:pPr>
                <w:ind w:firstLine="720"/>
                <w:jc w:val="both"/>
                <w:rPr>
                  <w:sz w:val="22"/>
                  <w:szCs w:val="22"/>
                </w:rPr>
              </w:pPr>
              <w:sdt>
                <w:sdtPr>
                  <w:alias w:val="Numeris"/>
                  <w:tag w:val="nr_1bd45c0ff62a4d7f8ea9e508a0b3205e"/>
                  <w:lock w:val="sdtLocked"/>
                  <w:richText/>
                </w:sdtPr>
                <w:sdtContent>
                  <w:r>
                    <w:rPr>
                      <w:sz w:val="22"/>
                      <w:szCs w:val="22"/>
                    </w:rPr>
                    <w:t>4</w:t>
                  </w:r>
                </w:sdtContent>
              </w:sdt>
              <w:r>
                <w:rPr>
                  <w:sz w:val="22"/>
                  <w:szCs w:val="22"/>
                </w:rPr>
                <w:t xml:space="preserve">. 1993 m. gruodžio 13 d. Tarybos reglamentas (EB) Nr. 3604/93, nustatantis apibrėžimus, susijusius su Sutarties 104a straipsnyje numatytos privilegijos naudotis finansų įstaigomis uždraudimo taikymu (OL </w:t>
              </w:r>
              <w:r>
                <w:rPr>
                  <w:i/>
                  <w:sz w:val="22"/>
                  <w:szCs w:val="22"/>
                </w:rPr>
                <w:t>2004 m. specialusis leidimas</w:t>
              </w:r>
              <w:r>
                <w:rPr>
                  <w:sz w:val="22"/>
                  <w:szCs w:val="22"/>
                </w:rPr>
                <w:t xml:space="preserve">, 10 skyrius, 1 tomas, p. 30). </w:t>
              </w:r>
            </w:p>
          </w:sdtContent>
        </w:sdt>
        <w:sdt>
          <w:sdtPr>
            <w:alias w:val="3 pr. 5 p."/>
            <w:tag w:val="part_9009c7b2bdf64b86b01bb2aa21dd1412"/>
            <w:lock w:val="sdtLocked"/>
            <w:richText/>
          </w:sdtPr>
          <w:sdtContent>
            <w:p>
              <w:pPr>
                <w:ind w:firstLine="720"/>
                <w:jc w:val="both"/>
                <w:rPr>
                  <w:sz w:val="22"/>
                  <w:szCs w:val="22"/>
                </w:rPr>
              </w:pPr>
              <w:sdt>
                <w:sdtPr>
                  <w:alias w:val="Numeris"/>
                  <w:tag w:val="nr_9009c7b2bdf64b86b01bb2aa21dd1412"/>
                  <w:lock w:val="sdtLocked"/>
                  <w:richText/>
                </w:sdtPr>
                <w:sdtContent>
                  <w:r>
                    <w:rPr>
                      <w:sz w:val="22"/>
                      <w:szCs w:val="22"/>
                    </w:rPr>
                    <w:t>5</w:t>
                  </w:r>
                </w:sdtContent>
              </w:sdt>
              <w:r>
                <w:rPr>
                  <w:sz w:val="22"/>
                  <w:szCs w:val="22"/>
                </w:rPr>
                <w:t xml:space="preserve">. 2001 m. birželio 28 d. Tarybos reglamentas (EB) Nr. 1338/2001, nustatantis priemones, būtinas euro apsaugai nuo padirbinėjimo (OL </w:t>
              </w:r>
              <w:r>
                <w:rPr>
                  <w:i/>
                  <w:sz w:val="22"/>
                  <w:szCs w:val="22"/>
                </w:rPr>
                <w:t>2004 m. specialusis leidimas</w:t>
              </w:r>
              <w:r>
                <w:rPr>
                  <w:sz w:val="22"/>
                  <w:szCs w:val="22"/>
                </w:rPr>
                <w:t>, 19 skyrius, 4 tomas, p. 152), su paskutiniais pakeitimais, padarytais 2008 m. gruodžio 18 d. Tarybos reglamentu (EB) Nr. 44/2009 (OL 2009 L 17, p. 1).</w:t>
              </w:r>
            </w:p>
          </w:sdtContent>
        </w:sdt>
        <w:sdt>
          <w:sdtPr>
            <w:alias w:val="3 pr. 6 p."/>
            <w:tag w:val="part_c486f41b512f459190934e503116ae68"/>
            <w:lock w:val="sdtLocked"/>
            <w:richText/>
          </w:sdtPr>
          <w:sdtContent>
            <w:p>
              <w:pPr>
                <w:ind w:firstLine="720"/>
                <w:jc w:val="both"/>
                <w:rPr>
                  <w:sz w:val="22"/>
                  <w:szCs w:val="22"/>
                </w:rPr>
              </w:pPr>
              <w:sdt>
                <w:sdtPr>
                  <w:alias w:val="Numeris"/>
                  <w:tag w:val="nr_c486f41b512f459190934e503116ae68"/>
                  <w:lock w:val="sdtLocked"/>
                  <w:richText/>
                </w:sdtPr>
                <w:sdtContent>
                  <w:r>
                    <w:rPr>
                      <w:sz w:val="22"/>
                      <w:szCs w:val="22"/>
                    </w:rPr>
                    <w:t>6</w:t>
                  </w:r>
                </w:sdtContent>
              </w:sdt>
              <w:r>
                <w:rPr>
                  <w:sz w:val="22"/>
                  <w:szCs w:val="22"/>
                </w:rPr>
                <w:t xml:space="preserve">. 2001 m. birželio 28 d. Tarybos reglamentas (EB) Nr. 1339/2001, išplečiantis Reglamento (EB) Nr. 1338/2001, nustatančio priemones, būtinas euro apsaugai nuo padirbinėjimo, veikimą toms valstybėms narėms, kurios nėra priėmusios euro kaip savo bendros valiutos (OL </w:t>
              </w:r>
              <w:r>
                <w:rPr>
                  <w:i/>
                  <w:sz w:val="22"/>
                  <w:szCs w:val="22"/>
                </w:rPr>
                <w:t>2004 m. specialusis leidimas</w:t>
              </w:r>
              <w:r>
                <w:rPr>
                  <w:sz w:val="22"/>
                  <w:szCs w:val="22"/>
                </w:rPr>
                <w:t>, 19 skyrius, 4 tomas, p. 157).</w:t>
              </w:r>
            </w:p>
          </w:sdtContent>
        </w:sdt>
        <w:sdt>
          <w:sdtPr>
            <w:alias w:val="3 pr. 7 p."/>
            <w:tag w:val="part_3790cc695bb441ef9d19db20321710b8"/>
            <w:lock w:val="sdtLocked"/>
            <w:richText/>
          </w:sdtPr>
          <w:sdtContent>
            <w:p>
              <w:pPr>
                <w:ind w:firstLine="720"/>
                <w:jc w:val="both"/>
                <w:rPr>
                  <w:sz w:val="22"/>
                  <w:szCs w:val="22"/>
                </w:rPr>
              </w:pPr>
              <w:sdt>
                <w:sdtPr>
                  <w:alias w:val="Numeris"/>
                  <w:tag w:val="nr_3790cc695bb441ef9d19db20321710b8"/>
                  <w:lock w:val="sdtLocked"/>
                  <w:richText/>
                </w:sdtPr>
                <w:sdtContent>
                  <w:r>
                    <w:rPr>
                      <w:sz w:val="22"/>
                      <w:szCs w:val="22"/>
                    </w:rPr>
                    <w:t>7</w:t>
                  </w:r>
                </w:sdtContent>
              </w:sdt>
              <w:r>
                <w:rPr>
                  <w:sz w:val="22"/>
                  <w:szCs w:val="22"/>
                </w:rPr>
                <w:t xml:space="preserve">. 2002 m. birželio 6 d. Europos Parlamento ir Tarybos direktyva 2002/47/EB dėl susitarimų dėl finansinio įkaito (OL </w:t>
              </w:r>
              <w:r>
                <w:rPr>
                  <w:i/>
                  <w:sz w:val="22"/>
                  <w:szCs w:val="22"/>
                </w:rPr>
                <w:t>2004 m. specialusis leidimas</w:t>
              </w:r>
              <w:r>
                <w:rPr>
                  <w:sz w:val="22"/>
                  <w:szCs w:val="22"/>
                </w:rPr>
                <w:t>, 10 skyrius, 3 tomas, p. 89).</w:t>
              </w:r>
            </w:p>
          </w:sdtContent>
        </w:sdt>
        <w:sdt>
          <w:sdtPr>
            <w:alias w:val="3 pr. 8 p."/>
            <w:tag w:val="part_f49ae22a00e842049f66ebf7a0953dc1"/>
            <w:lock w:val="sdtLocked"/>
            <w:richText/>
          </w:sdtPr>
          <w:sdtContent>
            <w:p>
              <w:pPr>
                <w:ind w:firstLine="720"/>
                <w:jc w:val="both"/>
                <w:rPr>
                  <w:sz w:val="22"/>
                  <w:szCs w:val="22"/>
                </w:rPr>
              </w:pPr>
              <w:sdt>
                <w:sdtPr>
                  <w:alias w:val="Numeris"/>
                  <w:tag w:val="nr_f49ae22a00e842049f66ebf7a0953dc1"/>
                  <w:lock w:val="sdtLocked"/>
                  <w:richText/>
                </w:sdtPr>
                <w:sdtContent>
                  <w:r>
                    <w:rPr>
                      <w:sz w:val="22"/>
                      <w:szCs w:val="22"/>
                    </w:rPr>
                    <w:t>8</w:t>
                  </w:r>
                </w:sdtContent>
              </w:sdt>
              <w:r>
                <w:rPr>
                  <w:sz w:val="22"/>
                  <w:szCs w:val="22"/>
                </w:rPr>
                <w:t>. 2009 m. rugsėjo 16 d. Europos Parlamento ir Tarybos reglamentas (EB) Nr. 1060/2009 dėl kredito reitingų agentūrų (OL 2009 L 302, p. 1) su paskutiniais pakeitimais, padarytais 2013 m. gegužės 21 d. Europos Parlamento ir Tarybos reglamentu (ES) Nr. 462/2013 (OL 2013 L 146, p. 1).</w:t>
              </w:r>
            </w:p>
          </w:sdtContent>
        </w:sdt>
        <w:sdt>
          <w:sdtPr>
            <w:alias w:val="3 pr. 9 p."/>
            <w:tag w:val="part_bc150edcf79a4ac7bfc6ebd61e1cfb77"/>
            <w:lock w:val="sdtLocked"/>
            <w:richText/>
          </w:sdtPr>
          <w:sdtContent>
            <w:p>
              <w:pPr>
                <w:ind w:firstLine="720"/>
                <w:jc w:val="both"/>
                <w:rPr>
                  <w:sz w:val="22"/>
                  <w:szCs w:val="22"/>
                </w:rPr>
              </w:pPr>
              <w:sdt>
                <w:sdtPr>
                  <w:alias w:val="Numeris"/>
                  <w:tag w:val="nr_bc150edcf79a4ac7bfc6ebd61e1cfb77"/>
                  <w:lock w:val="sdtLocked"/>
                  <w:richText/>
                </w:sdtPr>
                <w:sdtContent>
                  <w:r>
                    <w:rPr>
                      <w:sz w:val="22"/>
                      <w:szCs w:val="22"/>
                    </w:rPr>
                    <w:t>9</w:t>
                  </w:r>
                </w:sdtContent>
              </w:sdt>
              <w:r>
                <w:rPr>
                  <w:sz w:val="22"/>
                  <w:szCs w:val="22"/>
                </w:rPr>
                <w:t>. 2011 m. gruodžio 22 d. Europos sisteminės rizikos valdybos rekomendacija ESRV/2011/3 dėl nacionalinių institucijų įgaliojimų makrolygio rizikos ribojimo srityje (OL 2012 C 41, p. 1).</w:t>
              </w:r>
            </w:p>
          </w:sdtContent>
        </w:sdt>
        <w:sdt>
          <w:sdtPr>
            <w:alias w:val="3 pr. 10 p."/>
            <w:tag w:val="part_6eb77abcc4814c1cb2fdfc79153f7cb4"/>
            <w:lock w:val="sdtLocked"/>
            <w:richText/>
          </w:sdtPr>
          <w:sdtContent>
            <w:p>
              <w:pPr>
                <w:ind w:firstLine="720"/>
                <w:jc w:val="both"/>
              </w:pPr>
              <w:sdt>
                <w:sdtPr>
                  <w:alias w:val="Numeris"/>
                  <w:tag w:val="nr_6eb77abcc4814c1cb2fdfc79153f7cb4"/>
                  <w:lock w:val="sdtLocked"/>
                  <w:richText/>
                </w:sdtPr>
                <w:sdtContent>
                  <w:r>
                    <w:rPr>
                      <w:sz w:val="22"/>
                      <w:szCs w:val="22"/>
                    </w:rPr>
                    <w:t>10</w:t>
                  </w:r>
                </w:sdtContent>
              </w:sdt>
              <w:r>
                <w:rPr>
                  <w:sz w:val="22"/>
                  <w:szCs w:val="22"/>
                </w:rPr>
                <w:t>. 2014 m. gegužės 15 d. Europos Parlamento ir Tarybos direktyva 2014/59/ES, kuria nustatoma kredito įstaigų̨ ir investicinių įmonių̨ gaivinimo ir pertvarkymo sistema ir iš dalies keičiamos Tarybos direktyva 82/891/EEB, direktyvos 2001/24/EB, 2002/47/EB, 2004/25/EB, 2005/56/EB, 2007/36/EB, 2011/35/ES, 2012/30/ES bei 2013/36/ES ir Europos Parlamento ir Tarybos reglamentai (ES) Nr. 1093/2010 bei (ES) Nr. 648/2012 (OL 2014 L 173, p. 190).</w:t>
              </w:r>
            </w:p>
          </w:sdtContent>
        </w:sdt>
        <w:p>
          <w:pPr>
            <w:jc w:val="both"/>
            <w:rPr>
              <w:bCs/>
              <w:i/>
              <w:iCs/>
              <w:sz w:val="20"/>
            </w:rPr>
          </w:pPr>
          <w:r>
            <w:rPr>
              <w:bCs/>
              <w:i/>
              <w:iCs/>
              <w:sz w:val="20"/>
            </w:rPr>
            <w:t>Įstatymas papildytas priedu:</w:t>
          </w:r>
        </w:p>
        <w:p>
          <w:pPr>
            <w:jc w:val="both"/>
            <w:rPr>
              <w:rFonts w:eastAsia="MS Mincho"/>
              <w:bCs/>
              <w:i/>
              <w:iCs/>
              <w:sz w:val="20"/>
            </w:rPr>
          </w:pPr>
          <w:r>
            <w:rPr>
              <w:rFonts w:eastAsia="MS Mincho"/>
              <w:bCs/>
              <w:i/>
              <w:iCs/>
              <w:sz w:val="20"/>
            </w:rPr>
            <w:t xml:space="preserve">Nr. </w:t>
          </w:r>
          <w:hyperlink r:id="rId12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Priedo pakeitimas:</w:t>
          </w:r>
        </w:p>
        <w:p>
          <w:pPr>
            <w:jc w:val="both"/>
            <w:rPr>
              <w:rFonts w:eastAsia="MS Mincho"/>
              <w:i/>
              <w:iCs/>
              <w:sz w:val="20"/>
            </w:rPr>
          </w:pPr>
          <w:r>
            <w:rPr>
              <w:rFonts w:eastAsia="MS Mincho"/>
              <w:i/>
              <w:iCs/>
              <w:sz w:val="20"/>
            </w:rPr>
            <w:t xml:space="preserve">Nr. </w:t>
          </w:r>
          <w:hyperlink r:id="rId13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rFonts w:eastAsia="MS Mincho"/>
              <w:i/>
              <w:iCs/>
              <w:sz w:val="20"/>
            </w:rPr>
          </w:pPr>
          <w:r>
            <w:rPr>
              <w:i/>
              <w:sz w:val="20"/>
            </w:rPr>
            <w:t xml:space="preserve">Nr. </w:t>
          </w:r>
          <w:hyperlink r:id="rId131" w:history="1">
            <w:r>
              <w:rPr>
                <w:i/>
                <w:color w:val="0000FF"/>
                <w:sz w:val="20"/>
                <w:u w:val="single"/>
              </w:rPr>
              <w:t>XI-1667</w:t>
            </w:r>
          </w:hyperlink>
          <w:r>
            <w:rPr>
              <w:i/>
              <w:sz w:val="20"/>
            </w:rPr>
            <w:t>, 2011-11-17, Žin., 2011, Nr. 145-6813 (2011-12-01)</w:t>
          </w:r>
        </w:p>
        <w:p>
          <w:pPr>
            <w:ind w:firstLine="720"/>
            <w:jc w:val="both"/>
            <w:rPr>
              <w:rFonts w:eastAsia="MS Mincho"/>
              <w:i/>
              <w:iCs/>
              <w:sz w:val="20"/>
            </w:rPr>
          </w:pPr>
          <w:r>
            <w:rPr>
              <w:i/>
              <w:sz w:val="20"/>
            </w:rPr>
            <w:t xml:space="preserve">Nr. </w:t>
          </w:r>
          <w:hyperlink r:id="rId132" w:history="1">
            <w:r>
              <w:rPr>
                <w:i/>
                <w:color w:val="0000FF"/>
                <w:sz w:val="20"/>
                <w:u w:val="single"/>
              </w:rPr>
              <w:t>XII-1046</w:t>
            </w:r>
          </w:hyperlink>
          <w:r>
            <w:rPr>
              <w:i/>
              <w:sz w:val="20"/>
            </w:rPr>
            <w:t>, 2014-07-17, paskelbta TAR 2014-08-01, i. k. 2014-10742</w:t>
          </w:r>
        </w:p>
        <w:p>
          <w:pPr>
            <w:jc w:val="both"/>
            <w:rPr>
              <w:i/>
              <w:sz w:val="22"/>
              <w:szCs w:val="22"/>
            </w:rPr>
          </w:pPr>
          <w:r>
            <w:rPr>
              <w:i/>
              <w:sz w:val="20"/>
            </w:rPr>
            <w:t xml:space="preserve">Nr. </w:t>
          </w:r>
          <w:hyperlink r:id="rId133"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priedas"/>
        <w:tag w:val="part_8bf9f3329ac54952ad90f03816cbf52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4"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5"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6"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7"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8"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9"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40" w:history="1">
            <w:r>
              <w:rPr>
                <w:rStyle w:val="Hipersaitas"/>
                <w:sz w:val="20"/>
              </w:rPr>
              <w:t>89-2741</w:t>
            </w:r>
          </w:hyperlink>
          <w:r>
            <w:rPr>
              <w:sz w:val="20"/>
            </w:rPr>
            <w:t xml:space="preserve">) ir Lietuvos Respublikos baudžiamojo proceso kodeksu (Žin., 2002, Nr. </w:t>
          </w:r>
          <w:hyperlink r:id="rId141"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2"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3"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44"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5"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6"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7"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48"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49"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0"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1"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2"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3"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4"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5"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56"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7"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58"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9"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60"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61"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62"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D71F1E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atentStyles>
  <w:style w:type="paragraph" w:default="1" w:styleId="Normal">
    <w:name w:val="Normal"/>
    <w:qFormat/>
  </w:style>
  <w:style w:type="paragraph" w:styleId="Heading2">
    <w:name w:val="heading 2"/>
    <w:basedOn w:val="Normal"/>
    <w:next w:val="Normal"/>
    <w:link w:val="Heading2Char"/>
    <w:unhideWhenUsed/>
    <w:qFormat/>
    <w:pPr>
      <w:keepNext/>
      <w:jc w:val="both"/>
      <w:outlineLvl w:val="1"/>
    </w:pPr>
    <w:rPr>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character" w:customStyle="1" w:styleId="Heading2Char">
    <w:name w:val="Heading 2 Char"/>
    <w:basedOn w:val="DefaultParagraphFont"/>
    <w:link w:val="Heading2"/>
    <w:rPr>
      <w:b/>
      <w:sz w:val="20"/>
    </w:rPr>
  </w:style>
  <w:style w:type="character" w:styleId="Hyperlink">
    <w:name w:val="Hyperlink"/>
    <w:unhideWhenUsed/>
    <w:rPr>
      <w:color w:val="0000FF"/>
      <w:u w:val="single"/>
    </w:rPr>
  </w:style>
  <w:style w:type="paragraph" w:styleId="BodyText">
    <w:name w:val="Body Text"/>
    <w:basedOn w:val="Normal"/>
    <w:link w:val="BodyTextChar"/>
    <w:unhideWhenUsed/>
    <w:pPr>
      <w:jc w:val="both"/>
    </w:pPr>
    <w:rPr>
      <w:sz w:val="22"/>
      <w:lang w:val="x-none"/>
    </w:rPr>
  </w:style>
  <w:style w:type="character" w:customStyle="1" w:styleId="BodyTextChar">
    <w:name w:val="Body Text Char"/>
    <w:basedOn w:val="DefaultParagraphFont"/>
    <w:link w:val="BodyText"/>
    <w:rPr>
      <w:sz w:val="22"/>
      <w:lang w:val="x-none"/>
    </w:rPr>
  </w:style>
  <w:style w:type="paragraph" w:styleId="BodyTextIndent">
    <w:name w:val="Body Text Indent"/>
    <w:basedOn w:val="Normal"/>
    <w:link w:val="BodyTextIndentChar"/>
    <w:unhideWhenUsed/>
    <w:pPr>
      <w:ind w:firstLine="720"/>
      <w:jc w:val="both"/>
    </w:pPr>
    <w:rPr>
      <w:rFonts w:ascii="TimesLT" w:hAnsi="TimesLT"/>
      <w:sz w:val="22"/>
      <w:lang w:val="x-none"/>
    </w:rPr>
  </w:style>
  <w:style w:type="character" w:customStyle="1" w:styleId="BodyTextIndentChar">
    <w:name w:val="Body Text Indent Char"/>
    <w:basedOn w:val="DefaultParagraphFont"/>
    <w:link w:val="BodyTextIndent"/>
    <w:rPr>
      <w:rFonts w:ascii="TimesLT" w:hAnsi="TimesLT"/>
      <w:sz w:val="22"/>
      <w:lang w:val="x-none"/>
    </w:rPr>
  </w:style>
  <w:style w:type="paragraph" w:styleId="BodyTextIndent2">
    <w:name w:val="Body Text Indent 2"/>
    <w:basedOn w:val="Normal"/>
    <w:link w:val="BodyTextIndent2Char"/>
    <w:unhideWhenUsed/>
    <w:pPr>
      <w:ind w:firstLine="720"/>
      <w:jc w:val="both"/>
    </w:pPr>
    <w:rPr>
      <w:rFonts w:ascii="TimesLT" w:hAnsi="TimesLT"/>
    </w:rPr>
  </w:style>
  <w:style w:type="character" w:customStyle="1" w:styleId="BodyTextIndent2Char">
    <w:name w:val="Body Text Indent 2 Char"/>
    <w:basedOn w:val="DefaultParagraphFont"/>
    <w:link w:val="BodyTextIndent2"/>
    <w:rPr>
      <w:rFonts w:ascii="TimesLT" w:hAnsi="TimesLT"/>
    </w:rPr>
  </w:style>
  <w:style w:type="paragraph" w:styleId="PlainText">
    <w:name w:val="Plain Text"/>
    <w:basedOn w:val="Normal"/>
    <w:link w:val="PlainTextChar"/>
    <w:unhideWhenUsed/>
    <w:rPr>
      <w:rFonts w:ascii="Courier New" w:hAnsi="Courier New"/>
      <w:sz w:val="20"/>
    </w:rPr>
  </w:style>
  <w:style w:type="character" w:customStyle="1" w:styleId="PlainTextChar">
    <w:name w:val="Plain Text Char"/>
    <w:basedOn w:val="DefaultParagraphFont"/>
    <w:link w:val="PlainText"/>
    <w:rPr>
      <w:rFonts w:ascii="Courier New" w:hAnsi="Courier New"/>
      <w:sz w:val="20"/>
    </w:rPr>
  </w:style>
  <w:style w:type="character" w:styleId="FollowedHyperlink">
    <w:name w:val="FollowedHyperlink"/>
    <w:basedOn w:val="DefaultParagraphFont"/>
    <w:rPr>
      <w:color w:val="800080" w:themeColor="followed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atentStyles>
  <w:style w:type="paragraph" w:default="1" w:styleId="Normal">
    <w:name w:val="Normal"/>
    <w:qFormat/>
  </w:style>
  <w:style w:type="paragraph" w:styleId="Heading2">
    <w:name w:val="heading 2"/>
    <w:basedOn w:val="Normal"/>
    <w:next w:val="Normal"/>
    <w:link w:val="Heading2Char"/>
    <w:unhideWhenUsed/>
    <w:qFormat/>
    <w:pPr>
      <w:keepNext/>
      <w:jc w:val="both"/>
      <w:outlineLvl w:val="1"/>
    </w:pPr>
    <w:rPr>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character" w:customStyle="1" w:styleId="Heading2Char">
    <w:name w:val="Heading 2 Char"/>
    <w:basedOn w:val="DefaultParagraphFont"/>
    <w:link w:val="Heading2"/>
    <w:rPr>
      <w:b/>
      <w:sz w:val="20"/>
    </w:rPr>
  </w:style>
  <w:style w:type="character" w:styleId="Hyperlink">
    <w:name w:val="Hyperlink"/>
    <w:unhideWhenUsed/>
    <w:rPr>
      <w:color w:val="0000FF"/>
      <w:u w:val="single"/>
    </w:rPr>
  </w:style>
  <w:style w:type="paragraph" w:styleId="BodyText">
    <w:name w:val="Body Text"/>
    <w:basedOn w:val="Normal"/>
    <w:link w:val="BodyTextChar"/>
    <w:unhideWhenUsed/>
    <w:pPr>
      <w:jc w:val="both"/>
    </w:pPr>
    <w:rPr>
      <w:sz w:val="22"/>
      <w:lang w:val="x-none"/>
    </w:rPr>
  </w:style>
  <w:style w:type="character" w:customStyle="1" w:styleId="BodyTextChar">
    <w:name w:val="Body Text Char"/>
    <w:basedOn w:val="DefaultParagraphFont"/>
    <w:link w:val="BodyText"/>
    <w:rPr>
      <w:sz w:val="22"/>
      <w:lang w:val="x-none"/>
    </w:rPr>
  </w:style>
  <w:style w:type="paragraph" w:styleId="BodyTextIndent">
    <w:name w:val="Body Text Indent"/>
    <w:basedOn w:val="Normal"/>
    <w:link w:val="BodyTextIndentChar"/>
    <w:unhideWhenUsed/>
    <w:pPr>
      <w:ind w:firstLine="720"/>
      <w:jc w:val="both"/>
    </w:pPr>
    <w:rPr>
      <w:rFonts w:ascii="TimesLT" w:hAnsi="TimesLT"/>
      <w:sz w:val="22"/>
      <w:lang w:val="x-none"/>
    </w:rPr>
  </w:style>
  <w:style w:type="character" w:customStyle="1" w:styleId="BodyTextIndentChar">
    <w:name w:val="Body Text Indent Char"/>
    <w:basedOn w:val="DefaultParagraphFont"/>
    <w:link w:val="BodyTextIndent"/>
    <w:rPr>
      <w:rFonts w:ascii="TimesLT" w:hAnsi="TimesLT"/>
      <w:sz w:val="22"/>
      <w:lang w:val="x-none"/>
    </w:rPr>
  </w:style>
  <w:style w:type="paragraph" w:styleId="BodyTextIndent2">
    <w:name w:val="Body Text Indent 2"/>
    <w:basedOn w:val="Normal"/>
    <w:link w:val="BodyTextIndent2Char"/>
    <w:unhideWhenUsed/>
    <w:pPr>
      <w:ind w:firstLine="720"/>
      <w:jc w:val="both"/>
    </w:pPr>
    <w:rPr>
      <w:rFonts w:ascii="TimesLT" w:hAnsi="TimesLT"/>
    </w:rPr>
  </w:style>
  <w:style w:type="character" w:customStyle="1" w:styleId="BodyTextIndent2Char">
    <w:name w:val="Body Text Indent 2 Char"/>
    <w:basedOn w:val="DefaultParagraphFont"/>
    <w:link w:val="BodyTextIndent2"/>
    <w:rPr>
      <w:rFonts w:ascii="TimesLT" w:hAnsi="TimesLT"/>
    </w:rPr>
  </w:style>
  <w:style w:type="paragraph" w:styleId="PlainText">
    <w:name w:val="Plain Text"/>
    <w:basedOn w:val="Normal"/>
    <w:link w:val="PlainTextChar"/>
    <w:unhideWhenUsed/>
    <w:rPr>
      <w:rFonts w:ascii="Courier New" w:hAnsi="Courier New"/>
      <w:sz w:val="20"/>
    </w:rPr>
  </w:style>
  <w:style w:type="character" w:customStyle="1" w:styleId="PlainTextChar">
    <w:name w:val="Plain Text Char"/>
    <w:basedOn w:val="DefaultParagraphFont"/>
    <w:link w:val="PlainText"/>
    <w:rPr>
      <w:rFonts w:ascii="Courier New" w:hAnsi="Courier New"/>
      <w:sz w:val="20"/>
    </w:rPr>
  </w:style>
  <w:style w:type="character" w:styleId="FollowedHyperlink">
    <w:name w:val="FollowedHyperlink"/>
    <w:basedOn w:val="DefaultParagraphFont"/>
    <w:rPr>
      <w:color w:val="800080" w:themeColor="followed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Condition1=128873&amp;Condition2="/>
  <Relationship Id="rId100" Type="http://schemas.openxmlformats.org/officeDocument/2006/relationships/hyperlink" TargetMode="External" Target="http://www3.lrs.lt/cgi-bin/preps2?a=230454&amp;b="/>
  <Relationship Id="rId101" Type="http://schemas.openxmlformats.org/officeDocument/2006/relationships/hyperlink" TargetMode="External" Target="http://www3.lrs.lt/cgi-bin/preps2?a=361206&amp;b="/>
  <Relationship Id="rId102" Type="http://schemas.openxmlformats.org/officeDocument/2006/relationships/hyperlink" TargetMode="External" Target="http://www3.lrs.lt/cgi-bin/preps2?a=412373&amp;b="/>
  <Relationship Id="rId103" Type="http://schemas.openxmlformats.org/officeDocument/2006/relationships/hyperlink" TargetMode="External" Target="http://www3.lrs.lt/cgi-bin/preps2?a=230454&amp;b="/>
  <Relationship Id="rId104" Type="http://schemas.openxmlformats.org/officeDocument/2006/relationships/hyperlink" TargetMode="External" Target="http://www3.lrs.lt/cgi-bin/preps2?a=361206&amp;b="/>
  <Relationship Id="rId105" Type="http://schemas.openxmlformats.org/officeDocument/2006/relationships/hyperlink" TargetMode="External" Target="http://www3.lrs.lt/cgi-bin/preps2?a=412373&amp;b="/>
  <Relationship Id="rId106" Type="http://schemas.openxmlformats.org/officeDocument/2006/relationships/hyperlink" TargetMode="External" Target="http://www3.lrs.lt/cgi-bin/preps2?a=227304&amp;b="/>
  <Relationship Id="rId107" Type="http://schemas.openxmlformats.org/officeDocument/2006/relationships/hyperlink" TargetMode="External" Target="http://www3.lrs.lt/cgi-bin/preps2?a=361206&amp;b="/>
  <Relationship Id="rId108" Type="http://schemas.openxmlformats.org/officeDocument/2006/relationships/hyperlink" TargetMode="External" Target="http://www3.lrs.lt/cgi-bin/preps2?a=412373&amp;b="/>
  <Relationship Id="rId109" Type="http://schemas.openxmlformats.org/officeDocument/2006/relationships/hyperlink" TargetMode="External" Target="http://www3.lrs.lt/cgi-bin/preps2?a=412373&amp;b="/>
  <Relationship Id="rId11" Type="http://schemas.openxmlformats.org/officeDocument/2006/relationships/hyperlink" TargetMode="External" Target="http://www3.lrs.lt/cgi-bin/preps2?a=227304&amp;b="/>
  <Relationship Id="rId110" Type="http://schemas.openxmlformats.org/officeDocument/2006/relationships/hyperlink" TargetMode="External" Target="http://www3.lrs.lt/cgi-bin/preps2?a=227304&amp;b="/>
  <Relationship Id="rId111" Type="http://schemas.openxmlformats.org/officeDocument/2006/relationships/hyperlink" TargetMode="External" Target="http://www3.lrs.lt/cgi-bin/preps2?a=274804&amp;b="/>
  <Relationship Id="rId112" Type="http://schemas.openxmlformats.org/officeDocument/2006/relationships/hyperlink" TargetMode="External" Target="http://www3.lrs.lt/cgi-bin/preps2?a=396599&amp;b="/>
  <Relationship Id="rId113" Type="http://schemas.openxmlformats.org/officeDocument/2006/relationships/hyperlink" TargetMode="External" Target="http://www3.lrs.lt/cgi-bin/preps2?a=396597&amp;b="/>
  <Relationship Id="rId114" Type="http://schemas.openxmlformats.org/officeDocument/2006/relationships/hyperlink" TargetMode="External" Target="http://www3.lrs.lt/cgi-bin/preps2?a=227304&amp;b="/>
  <Relationship Id="rId115" Type="http://schemas.openxmlformats.org/officeDocument/2006/relationships/hyperlink" TargetMode="External" Target="http://www3.lrs.lt/cgi-bin/preps2?a=274804&amp;b="/>
  <Relationship Id="rId116" Type="http://schemas.openxmlformats.org/officeDocument/2006/relationships/hyperlink" TargetMode="External" Target="http://www3.lrs.lt/cgi-bin/preps2?a=396599&amp;b="/>
  <Relationship Id="rId117" Type="http://schemas.openxmlformats.org/officeDocument/2006/relationships/hyperlink" TargetMode="External" Target="http://www3.lrs.lt/cgi-bin/preps2?a=396597&amp;b="/>
  <Relationship Id="rId118" Type="http://schemas.openxmlformats.org/officeDocument/2006/relationships/hyperlink" TargetMode="External" Target="http://www3.lrs.lt/cgi-bin/preps2?a=412373&amp;b="/>
  <Relationship Id="rId119" Type="http://schemas.openxmlformats.org/officeDocument/2006/relationships/hyperlink" TargetMode="External" Target="http://www3.lrs.lt/cgi-bin/preps2?a=213881&amp;b="/>
  <Relationship Id="rId12" Type="http://schemas.openxmlformats.org/officeDocument/2006/relationships/hyperlink" TargetMode="External" Target="http://www3.lrs.lt/cgi-bin/preps2?a=274804&amp;b="/>
  <Relationship Id="rId120" Type="http://schemas.openxmlformats.org/officeDocument/2006/relationships/hyperlink" TargetMode="External" Target="http://www3.lrs.lt/cgi-bin/preps2?a=231828&amp;b="/>
  <Relationship Id="rId121" Type="http://schemas.openxmlformats.org/officeDocument/2006/relationships/hyperlink" TargetMode="External" Target="http://www3.lrs.lt/cgi-bin/preps2?a=274804&amp;b="/>
  <Relationship Id="rId122" Type="http://schemas.openxmlformats.org/officeDocument/2006/relationships/hyperlink" TargetMode="External" Target="http://www3.lrs.lt/cgi-bin/preps2?a=274804&amp;b="/>
  <Relationship Id="rId123" Type="http://schemas.openxmlformats.org/officeDocument/2006/relationships/hyperlink" TargetMode="External" Target="http://www3.lrs.lt/cgi-bin/preps2?a=469641&amp;b="/>
  <Relationship Id="rId124" Type="http://schemas.openxmlformats.org/officeDocument/2006/relationships/hyperlink" TargetMode="External" Target="http://www3.lrs.lt/cgi-bin/preps2?a=227304&amp;b="/>
  <Relationship Id="rId125" Type="http://schemas.openxmlformats.org/officeDocument/2006/relationships/hyperlink" TargetMode="External" Target="http://www3.lrs.lt/cgi-bin/preps2?a=274804&amp;b="/>
  <Relationship Id="rId126" Type="http://schemas.openxmlformats.org/officeDocument/2006/relationships/hyperlink" TargetMode="External" Target="http://www3.lrs.lt/cgi-bin/preps2?a=231829&amp;b="/>
  <Relationship Id="rId127" Type="http://schemas.openxmlformats.org/officeDocument/2006/relationships/hyperlink" TargetMode="External" Target="http://www3.lrs.lt/cgi-bin/preps2?a=412373&amp;b="/>
  <Relationship Id="rId128" Type="http://schemas.openxmlformats.org/officeDocument/2006/relationships/hyperlink" TargetMode="External" Target="http://www3.lrs.lt/cgi-bin/preps2?a=478691&amp;b="/>
  <Relationship Id="rId129" Type="http://schemas.openxmlformats.org/officeDocument/2006/relationships/hyperlink" TargetMode="External" Target="http://www3.lrs.lt/cgi-bin/preps2?a=227304&amp;b="/>
  <Relationship Id="rId13" Type="http://schemas.openxmlformats.org/officeDocument/2006/relationships/hyperlink" TargetMode="External" Target="http://www3.lrs.lt/cgi-bin/preps2?a=464959&amp;b="/>
  <Relationship Id="rId130" Type="http://schemas.openxmlformats.org/officeDocument/2006/relationships/hyperlink" TargetMode="External" Target="http://www3.lrs.lt/cgi-bin/preps2?a=274804&amp;b="/>
  <Relationship Id="rId131" Type="http://schemas.openxmlformats.org/officeDocument/2006/relationships/hyperlink" TargetMode="External" Target="http://www3.lrs.lt/cgi-bin/preps2?a=412356&amp;b="/>
  <Relationship Id="rId132" Type="http://schemas.openxmlformats.org/officeDocument/2006/relationships/hyperlink" TargetMode="External" Target="http://www3.lrs.lt/cgi-bin/preps2?a=478702&amp;b="/>
  <Relationship Id="rId133" Type="http://schemas.openxmlformats.org/officeDocument/2006/relationships/hyperlink" TargetMode="External" Target="http://www3.lrs.lt/cgi-bin/preps2?a=412373&amp;b="/>
  <Relationship Id="rId134" Type="http://schemas.openxmlformats.org/officeDocument/2006/relationships/hyperlink" TargetMode="External" Target="http://www3.lrs.lt/cgi-bin/preps2?Condition1=26025&amp;Condition2="/>
  <Relationship Id="rId135" Type="http://schemas.openxmlformats.org/officeDocument/2006/relationships/hyperlink" TargetMode="External" Target="http://www3.lrs.lt/cgi-bin/preps2?Condition1=37819&amp;Condition2="/>
  <Relationship Id="rId136" Type="http://schemas.openxmlformats.org/officeDocument/2006/relationships/hyperlink" TargetMode="External" Target="http://www3.lrs.lt/cgi-bin/preps2?Condition1=41676&amp;Condition2="/>
  <Relationship Id="rId137" Type="http://schemas.openxmlformats.org/officeDocument/2006/relationships/hyperlink" TargetMode="External" Target="http://www3.lrs.lt/cgi-bin/preps2?Condition1=128873&amp;Condition2="/>
  <Relationship Id="rId138" Type="http://schemas.openxmlformats.org/officeDocument/2006/relationships/hyperlink" TargetMode="External" Target="http://www3.lrs.lt/cgi-bin/preps2?a=206757&amp;b="/>
  <Relationship Id="rId139" Type="http://schemas.openxmlformats.org/officeDocument/2006/relationships/hyperlink" TargetMode="External" Target="http://www3.lrs.lt/cgi-bin/preps2?a=209663&amp;b="/>
  <Relationship Id="rId14" Type="http://schemas.openxmlformats.org/officeDocument/2006/relationships/hyperlink" TargetMode="External" Target="http://www3.lrs.lt/cgi-bin/preps2?a=464957&amp;b="/>
  <Relationship Id="rId140" Type="http://schemas.openxmlformats.org/officeDocument/2006/relationships/hyperlink" TargetMode="External" Target="http://www3.lrs.lt/cgi-bin/preps2?a=111555&amp;b="/>
  <Relationship Id="rId141" Type="http://schemas.openxmlformats.org/officeDocument/2006/relationships/hyperlink" TargetMode="External" Target="http://www3.lrs.lt/cgi-bin/preps2?a=163482&amp;b="/>
  <Relationship Id="rId142" Type="http://schemas.openxmlformats.org/officeDocument/2006/relationships/hyperlink" TargetMode="External" Target="http://www3.lrs.lt/cgi-bin/preps2?a=213881&amp;b="/>
  <Relationship Id="rId143" Type="http://schemas.openxmlformats.org/officeDocument/2006/relationships/hyperlink" TargetMode="External" Target="http://www3.lrs.lt/cgi-bin/preps2?a=227304&amp;b="/>
  <Relationship Id="rId144" Type="http://schemas.openxmlformats.org/officeDocument/2006/relationships/hyperlink" TargetMode="External" Target="http://www3.lrs.lt/cgi-bin/preps2?a=230454&amp;b="/>
  <Relationship Id="rId145" Type="http://schemas.openxmlformats.org/officeDocument/2006/relationships/hyperlink" TargetMode="External" Target="http://www3.lrs.lt/cgi-bin/preps2?a=231828&amp;b="/>
  <Relationship Id="rId146" Type="http://schemas.openxmlformats.org/officeDocument/2006/relationships/hyperlink" TargetMode="External" Target="http://www3.lrs.lt/cgi-bin/preps2?a=231829&amp;b="/>
  <Relationship Id="rId147" Type="http://schemas.openxmlformats.org/officeDocument/2006/relationships/hyperlink" TargetMode="External" Target="http://www3.lrs.lt/cgi-bin/preps2?a=274804&amp;b="/>
  <Relationship Id="rId148" Type="http://schemas.openxmlformats.org/officeDocument/2006/relationships/hyperlink" TargetMode="External" Target="http://www3.lrs.lt/cgi-bin/preps2?a=361205&amp;b="/>
  <Relationship Id="rId149" Type="http://schemas.openxmlformats.org/officeDocument/2006/relationships/hyperlink" TargetMode="External" Target="http://www3.lrs.lt/cgi-bin/preps2?a=396599&amp;b="/>
  <Relationship Id="rId15" Type="http://schemas.openxmlformats.org/officeDocument/2006/relationships/hyperlink" TargetMode="External" Target="http://www3.lrs.lt/cgi-bin/preps2?a=227304&amp;b="/>
  <Relationship Id="rId150" Type="http://schemas.openxmlformats.org/officeDocument/2006/relationships/hyperlink" TargetMode="External" Target="http://www3.lrs.lt/cgi-bin/preps2?a=412356&amp;b="/>
  <Relationship Id="rId151" Type="http://schemas.openxmlformats.org/officeDocument/2006/relationships/hyperlink" TargetMode="External" Target="http://www3.lrs.lt/cgi-bin/preps2?a=464959&amp;b="/>
  <Relationship Id="rId152" Type="http://schemas.openxmlformats.org/officeDocument/2006/relationships/hyperlink" TargetMode="External" Target="http://www3.lrs.lt/cgi-bin/preps2?a=469641&amp;b="/>
  <Relationship Id="rId153" Type="http://schemas.openxmlformats.org/officeDocument/2006/relationships/hyperlink" TargetMode="External" Target="http://www3.lrs.lt/cgi-bin/preps2?a=478702&amp;b="/>
  <Relationship Id="rId154" Type="http://schemas.openxmlformats.org/officeDocument/2006/relationships/hyperlink" TargetMode="External" Target="http://www3.lrs.lt/cgi-bin/preps2?a=340369&amp;b="/>
  <Relationship Id="rId155" Type="http://schemas.openxmlformats.org/officeDocument/2006/relationships/hyperlink" TargetMode="External" Target="http://www3.lrs.lt/cgi-bin/preps2?a=359889&amp;b="/>
  <Relationship Id="rId156" Type="http://schemas.openxmlformats.org/officeDocument/2006/relationships/hyperlink" TargetMode="External" Target="http://www3.lrs.lt/cgi-bin/preps2?a=361206&amp;b="/>
  <Relationship Id="rId157" Type="http://schemas.openxmlformats.org/officeDocument/2006/relationships/hyperlink" TargetMode="External" Target="http://www3.lrs.lt/cgi-bin/preps2?a=386459&amp;b="/>
  <Relationship Id="rId158" Type="http://schemas.openxmlformats.org/officeDocument/2006/relationships/hyperlink" TargetMode="External" Target="http://www3.lrs.lt/cgi-bin/preps2?a=396597&amp;b="/>
  <Relationship Id="rId159" Type="http://schemas.openxmlformats.org/officeDocument/2006/relationships/hyperlink" TargetMode="External" Target="http://www3.lrs.lt/cgi-bin/preps2?a=412373&amp;b="/>
  <Relationship Id="rId16" Type="http://schemas.openxmlformats.org/officeDocument/2006/relationships/hyperlink" TargetMode="External" Target="http://www3.lrs.lt/cgi-bin/preps2?a=412373&amp;b="/>
  <Relationship Id="rId160" Type="http://schemas.openxmlformats.org/officeDocument/2006/relationships/hyperlink" TargetMode="External" Target="http://www3.lrs.lt/cgi-bin/preps2?a=415118&amp;b="/>
  <Relationship Id="rId161" Type="http://schemas.openxmlformats.org/officeDocument/2006/relationships/hyperlink" TargetMode="External" Target="http://www3.lrs.lt/cgi-bin/preps2?a=464957&amp;b="/>
  <Relationship Id="rId162" Type="http://schemas.openxmlformats.org/officeDocument/2006/relationships/hyperlink" TargetMode="External" Target="http://www3.lrs.lt/cgi-bin/preps2?a=478691&amp;b="/>
  <Relationship Id="rId163" Type="http://schemas.openxmlformats.org/officeDocument/2006/relationships/hyperlink" TargetMode="External" Target="http://www3.lrs.lt/cgi-bin/preps2?a=412373&amp;b="/>
  <Relationship Id="rId164" Type="http://schemas.openxmlformats.org/officeDocument/2006/relationships/hyperlink" TargetMode="External" Target="http://www3.lrs.lt/cgi-bin/preps2?a=274804&amp;b="/>
  <Relationship Id="rId165" Type="http://schemas.openxmlformats.org/officeDocument/2006/relationships/hyperlink" TargetMode="External" Target="http://www3.lrs.lt/cgi-bin/preps2?a=478702&amp;b="/>
  <Relationship Id="rId166" Type="http://schemas.openxmlformats.org/officeDocument/2006/relationships/customXml" Target="../customXml/item1.xml"/>
  <Relationship Id="rId17" Type="http://schemas.openxmlformats.org/officeDocument/2006/relationships/hyperlink" TargetMode="External" Target="http://www3.lrs.lt/cgi-bin/preps2?a=227304&amp;b="/>
  <Relationship Id="rId18" Type="http://schemas.openxmlformats.org/officeDocument/2006/relationships/hyperlink" TargetMode="External" Target="http://www3.lrs.lt/cgi-bin/preps2?a=274804&amp;b="/>
  <Relationship Id="rId19" Type="http://schemas.openxmlformats.org/officeDocument/2006/relationships/hyperlink" TargetMode="External" Target="http://www3.lrs.lt/cgi-bin/preps2?a=412356&amp;b="/>
  <Relationship Id="rId2" Type="http://schemas.openxmlformats.org/officeDocument/2006/relationships/endnotes" Target="endnotes.xml"/>
  <Relationship Id="rId20" Type="http://schemas.openxmlformats.org/officeDocument/2006/relationships/hyperlink" TargetMode="External" Target="http://www3.lrs.lt/cgi-bin/preps2?a=412373&amp;b="/>
  <Relationship Id="rId21" Type="http://schemas.openxmlformats.org/officeDocument/2006/relationships/hyperlink" TargetMode="External" Target="http://www3.lrs.lt/cgi-bin/preps2?a=227304&amp;b="/>
  <Relationship Id="rId22" Type="http://schemas.openxmlformats.org/officeDocument/2006/relationships/hyperlink" TargetMode="External" Target="http://www3.lrs.lt/cgi-bin/preps2?a=274804&amp;b="/>
  <Relationship Id="rId23" Type="http://schemas.openxmlformats.org/officeDocument/2006/relationships/hyperlink" TargetMode="External" Target="http://www3.lrs.lt/cgi-bin/preps2?a=412356&amp;b="/>
  <Relationship Id="rId24" Type="http://schemas.openxmlformats.org/officeDocument/2006/relationships/hyperlink" TargetMode="External" Target="http://www3.lrs.lt/cgi-bin/preps2?a=213881&amp;b="/>
  <Relationship Id="rId25" Type="http://schemas.openxmlformats.org/officeDocument/2006/relationships/hyperlink" TargetMode="External" Target="http://www3.lrs.lt/cgi-bin/preps2?a=230454&amp;b="/>
  <Relationship Id="rId26" Type="http://schemas.openxmlformats.org/officeDocument/2006/relationships/hyperlink" TargetMode="External" Target="http://www3.lrs.lt/cgi-bin/preps2?a=274804&amp;b="/>
  <Relationship Id="rId27" Type="http://schemas.openxmlformats.org/officeDocument/2006/relationships/hyperlink" TargetMode="External" Target="http://www3.lrs.lt/cgi-bin/preps2?a=361205&amp;b="/>
  <Relationship Id="rId28" Type="http://schemas.openxmlformats.org/officeDocument/2006/relationships/hyperlink" TargetMode="External" Target="http://www3.lrs.lt/cgi-bin/preps2?a=412356&amp;b="/>
  <Relationship Id="rId29" Type="http://schemas.openxmlformats.org/officeDocument/2006/relationships/hyperlink" TargetMode="External" Target="http://www3.lrs.lt/cgi-bin/preps2?a=478702&amp;b="/>
  <Relationship Id="rId3" Type="http://schemas.openxmlformats.org/officeDocument/2006/relationships/fontTable" Target="fontTable.xml"/>
  <Relationship Id="rId30" Type="http://schemas.openxmlformats.org/officeDocument/2006/relationships/hyperlink" TargetMode="External" Target="http://www3.lrs.lt/cgi-bin/preps2?a=361206&amp;b="/>
  <Relationship Id="rId31" Type="http://schemas.openxmlformats.org/officeDocument/2006/relationships/hyperlink" TargetMode="External" Target="http://www3.lrs.lt/cgi-bin/preps2?a=412373&amp;b="/>
  <Relationship Id="rId32" Type="http://schemas.openxmlformats.org/officeDocument/2006/relationships/hyperlink" TargetMode="External" Target="http://www3.lrs.lt/cgi-bin/preps2?a=227304&amp;b="/>
  <Relationship Id="rId33" Type="http://schemas.openxmlformats.org/officeDocument/2006/relationships/hyperlink" TargetMode="External" Target="http://www3.lrs.lt/cgi-bin/preps2?a=396597&amp;b="/>
  <Relationship Id="rId34" Type="http://schemas.openxmlformats.org/officeDocument/2006/relationships/hyperlink" TargetMode="External" Target="http://www3.lrs.lt/cgi-bin/preps2?a=396597&amp;b="/>
  <Relationship Id="rId35" Type="http://schemas.openxmlformats.org/officeDocument/2006/relationships/hyperlink" TargetMode="External" Target="http://www3.lrs.lt/cgi-bin/preps2?a=396597&amp;b="/>
  <Relationship Id="rId36" Type="http://schemas.openxmlformats.org/officeDocument/2006/relationships/hyperlink" TargetMode="External" Target="http://www3.lrs.lt/cgi-bin/preps2?a=227304&amp;b="/>
  <Relationship Id="rId37" Type="http://schemas.openxmlformats.org/officeDocument/2006/relationships/hyperlink" TargetMode="External" Target="http://www3.lrs.lt/cgi-bin/preps2?a=230454&amp;b="/>
  <Relationship Id="rId38" Type="http://schemas.openxmlformats.org/officeDocument/2006/relationships/hyperlink" TargetMode="External" Target="http://www3.lrs.lt/cgi-bin/preps2?a=274804&amp;b="/>
  <Relationship Id="rId39" Type="http://schemas.openxmlformats.org/officeDocument/2006/relationships/hyperlink" TargetMode="External" Target="http://www3.lrs.lt/cgi-bin/preps2?a=396599&amp;b="/>
  <Relationship Id="rId4" Type="http://schemas.openxmlformats.org/officeDocument/2006/relationships/footnotes" Target="footnotes.xml"/>
  <Relationship Id="rId40" Type="http://schemas.openxmlformats.org/officeDocument/2006/relationships/hyperlink" TargetMode="External" Target="http://www3.lrs.lt/cgi-bin/preps2?a=412356&amp;b="/>
  <Relationship Id="rId41" Type="http://schemas.openxmlformats.org/officeDocument/2006/relationships/hyperlink" TargetMode="External" Target="http://www3.lrs.lt/cgi-bin/preps2?a=478702&amp;b="/>
  <Relationship Id="rId42" Type="http://schemas.openxmlformats.org/officeDocument/2006/relationships/hyperlink" TargetMode="External" Target="http://www3.lrs.lt/cgi-bin/preps2?a=340369&amp;b="/>
  <Relationship Id="rId43" Type="http://schemas.openxmlformats.org/officeDocument/2006/relationships/hyperlink" TargetMode="External" Target="http://www3.lrs.lt/cgi-bin/preps2?a=361206&amp;b="/>
  <Relationship Id="rId44" Type="http://schemas.openxmlformats.org/officeDocument/2006/relationships/hyperlink" TargetMode="External" Target="http://www3.lrs.lt/cgi-bin/preps2?a=396597&amp;b="/>
  <Relationship Id="rId45" Type="http://schemas.openxmlformats.org/officeDocument/2006/relationships/hyperlink" TargetMode="External" Target="http://www3.lrs.lt/cgi-bin/preps2?a=412373&amp;b="/>
  <Relationship Id="rId46" Type="http://schemas.openxmlformats.org/officeDocument/2006/relationships/hyperlink" TargetMode="External" Target="http://www3.lrs.lt/cgi-bin/preps2?a=227304&amp;b="/>
  <Relationship Id="rId47" Type="http://schemas.openxmlformats.org/officeDocument/2006/relationships/hyperlink" TargetMode="External" Target="http://www3.lrs.lt/cgi-bin/preps2?a=274804&amp;b="/>
  <Relationship Id="rId48" Type="http://schemas.openxmlformats.org/officeDocument/2006/relationships/hyperlink" TargetMode="External" Target="http://www3.lrs.lt/cgi-bin/preps2?a=412373&amp;b="/>
  <Relationship Id="rId49" Type="http://schemas.openxmlformats.org/officeDocument/2006/relationships/hyperlink" TargetMode="External" Target="http://www3.lrs.lt/cgi-bin/preps2?a=227304&amp;b="/>
  <Relationship Id="rId5" Type="http://schemas.openxmlformats.org/officeDocument/2006/relationships/settings" Target="settings.xml"/>
  <Relationship Id="rId50" Type="http://schemas.openxmlformats.org/officeDocument/2006/relationships/hyperlink" TargetMode="External" Target="http://www3.lrs.lt/cgi-bin/preps2?a=274804&amp;b="/>
  <Relationship Id="rId51" Type="http://schemas.openxmlformats.org/officeDocument/2006/relationships/hyperlink" TargetMode="External" Target="http://www3.lrs.lt/cgi-bin/preps2?a=227304&amp;b="/>
  <Relationship Id="rId52" Type="http://schemas.openxmlformats.org/officeDocument/2006/relationships/hyperlink" TargetMode="External" Target="http://www3.lrs.lt/cgi-bin/preps2?a=396597&amp;b="/>
  <Relationship Id="rId53" Type="http://schemas.openxmlformats.org/officeDocument/2006/relationships/hyperlink" TargetMode="External" Target="http://www3.lrs.lt/cgi-bin/preps2?a=396597&amp;b="/>
  <Relationship Id="rId54" Type="http://schemas.openxmlformats.org/officeDocument/2006/relationships/hyperlink" TargetMode="External" Target="http://www3.lrs.lt/cgi-bin/preps2?a=227304&amp;b="/>
  <Relationship Id="rId55" Type="http://schemas.openxmlformats.org/officeDocument/2006/relationships/hyperlink" TargetMode="External" Target="http://www3.lrs.lt/cgi-bin/preps2?a=386459&amp;b="/>
  <Relationship Id="rId56" Type="http://schemas.openxmlformats.org/officeDocument/2006/relationships/hyperlink" TargetMode="External" Target="http://www3.lrs.lt/cgi-bin/preps2?a=396597&amp;b="/>
  <Relationship Id="rId57" Type="http://schemas.openxmlformats.org/officeDocument/2006/relationships/hyperlink" TargetMode="External" Target="http://www3.lrs.lt/cgi-bin/preps2?a=396597&amp;b="/>
  <Relationship Id="rId58" Type="http://schemas.openxmlformats.org/officeDocument/2006/relationships/hyperlink" TargetMode="External" Target="http://www3.lrs.lt/cgi-bin/preps2?a=396597&amp;b="/>
  <Relationship Id="rId59" Type="http://schemas.openxmlformats.org/officeDocument/2006/relationships/hyperlink" TargetMode="External" Target="http://www3.lrs.lt/cgi-bin/preps2?a=227304&amp;b="/>
  <Relationship Id="rId6" Type="http://schemas.openxmlformats.org/officeDocument/2006/relationships/styles" Target="styles.xml"/>
  <Relationship Id="rId60" Type="http://schemas.openxmlformats.org/officeDocument/2006/relationships/hyperlink" TargetMode="External" Target="http://www3.lrs.lt/cgi-bin/preps2?a=227304&amp;b="/>
  <Relationship Id="rId61" Type="http://schemas.openxmlformats.org/officeDocument/2006/relationships/hyperlink" TargetMode="External" Target="http://www3.lrs.lt/cgi-bin/preps2?a=227304&amp;b="/>
  <Relationship Id="rId62" Type="http://schemas.openxmlformats.org/officeDocument/2006/relationships/hyperlink" TargetMode="External" Target="http://www3.lrs.lt/cgi-bin/preps2?a=274804&amp;b="/>
  <Relationship Id="rId63" Type="http://schemas.openxmlformats.org/officeDocument/2006/relationships/hyperlink" TargetMode="External" Target="http://www3.lrs.lt/cgi-bin/preps2?a=227304&amp;b="/>
  <Relationship Id="rId64" Type="http://schemas.openxmlformats.org/officeDocument/2006/relationships/hyperlink" TargetMode="External" Target="http://www3.lrs.lt/cgi-bin/preps2?a=227304&amp;b="/>
  <Relationship Id="rId65" Type="http://schemas.openxmlformats.org/officeDocument/2006/relationships/hyperlink" TargetMode="External" Target="http://www3.lrs.lt/cgi-bin/preps2?a=274804&amp;b="/>
  <Relationship Id="rId66" Type="http://schemas.openxmlformats.org/officeDocument/2006/relationships/hyperlink" TargetMode="External" Target="http://www3.lrs.lt/cgi-bin/preps2?a=227304&amp;b="/>
  <Relationship Id="rId67" Type="http://schemas.openxmlformats.org/officeDocument/2006/relationships/hyperlink" TargetMode="External" Target="http://www3.lrs.lt/cgi-bin/preps2?a=206757&amp;b="/>
  <Relationship Id="rId68" Type="http://schemas.openxmlformats.org/officeDocument/2006/relationships/hyperlink" TargetMode="External" Target="http://www3.lrs.lt/cgi-bin/preps2?a=227304&amp;b="/>
  <Relationship Id="rId69" Type="http://schemas.openxmlformats.org/officeDocument/2006/relationships/hyperlink" TargetMode="External" Target="http://www3.lrs.lt/cgi-bin/preps2?a=359889&amp;b="/>
  <Relationship Id="rId7" Type="http://schemas.microsoft.com/office/2007/relationships/stylesWithEffects" Target="stylesWithEffects.xml"/>
  <Relationship Id="rId70" Type="http://schemas.openxmlformats.org/officeDocument/2006/relationships/hyperlink" TargetMode="External" Target="http://www3.lrs.lt/cgi-bin/preps2?a=415118&amp;b="/>
  <Relationship Id="rId71" Type="http://schemas.openxmlformats.org/officeDocument/2006/relationships/hyperlink" TargetMode="External" Target="http://www3.lrs.lt/cgi-bin/preps2?a=227304&amp;b="/>
  <Relationship Id="rId72" Type="http://schemas.openxmlformats.org/officeDocument/2006/relationships/hyperlink" TargetMode="External" Target="http://www3.lrs.lt/cgi-bin/preps2?a=274804&amp;b="/>
  <Relationship Id="rId73" Type="http://schemas.openxmlformats.org/officeDocument/2006/relationships/hyperlink" TargetMode="External" Target="http://www3.lrs.lt/cgi-bin/preps2?a=274804&amp;b="/>
  <Relationship Id="rId74" Type="http://schemas.openxmlformats.org/officeDocument/2006/relationships/hyperlink" TargetMode="External" Target="http://www3.lrs.lt/cgi-bin/preps2?a=412356&amp;b="/>
  <Relationship Id="rId75" Type="http://schemas.openxmlformats.org/officeDocument/2006/relationships/hyperlink" TargetMode="External" Target="http://www3.lrs.lt/cgi-bin/preps2?a=274804&amp;b="/>
  <Relationship Id="rId76" Type="http://schemas.openxmlformats.org/officeDocument/2006/relationships/hyperlink" TargetMode="External" Target="http://www3.lrs.lt/cgi-bin/preps2?a=274804&amp;b="/>
  <Relationship Id="rId77" Type="http://schemas.openxmlformats.org/officeDocument/2006/relationships/hyperlink" TargetMode="External" Target="http://www3.lrs.lt/cgi-bin/preps2?a=2748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theme" Target="theme/theme1.xml"/>
  <Relationship Id="rId80" Type="http://schemas.openxmlformats.org/officeDocument/2006/relationships/hyperlink" TargetMode="External" Target="http://www3.lrs.lt/cgi-bin/preps2?a=274804&amp;b="/>
  <Relationship Id="rId81" Type="http://schemas.openxmlformats.org/officeDocument/2006/relationships/hyperlink" TargetMode="External" Target="http://www3.lrs.lt/cgi-bin/preps2?a=412356&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396599&amp;b="/>
  <Relationship Id="rId85" Type="http://schemas.openxmlformats.org/officeDocument/2006/relationships/hyperlink" TargetMode="External" Target="http://www3.lrs.lt/cgi-bin/preps2?a=396597&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227304&amp;b="/>
  <Relationship Id="rId88" Type="http://schemas.openxmlformats.org/officeDocument/2006/relationships/hyperlink" TargetMode="External" Target="http://www3.lrs.lt/cgi-bin/preps2?a=274804&amp;b="/>
  <Relationship Id="rId89" Type="http://schemas.openxmlformats.org/officeDocument/2006/relationships/hyperlink" TargetMode="External" Target="http://www3.lrs.lt/cgi-bin/preps2?a=274804&amp;b="/>
  <Relationship Id="rId9" Type="http://schemas.openxmlformats.org/officeDocument/2006/relationships/webSettings" Target="webSettings.xml"/>
  <Relationship Id="rId90" Type="http://schemas.openxmlformats.org/officeDocument/2006/relationships/hyperlink" TargetMode="External" Target="http://www3.lrs.lt/cgi-bin/preps2?a=412373&amp;b="/>
  <Relationship Id="rId91" Type="http://schemas.openxmlformats.org/officeDocument/2006/relationships/hyperlink" TargetMode="External" Target="http://www3.lrs.lt/cgi-bin/preps2?a=361206&amp;b="/>
  <Relationship Id="rId92" Type="http://schemas.openxmlformats.org/officeDocument/2006/relationships/hyperlink" TargetMode="External" Target="http://www3.lrs.lt/cgi-bin/preps2?a=412373&amp;b="/>
  <Relationship Id="rId93" Type="http://schemas.openxmlformats.org/officeDocument/2006/relationships/hyperlink" TargetMode="External" Target="http://www3.lrs.lt/cgi-bin/preps2?a=230454&amp;b="/>
  <Relationship Id="rId94" Type="http://schemas.openxmlformats.org/officeDocument/2006/relationships/hyperlink" TargetMode="External" Target="http://www3.lrs.lt/cgi-bin/preps2?a=361206&amp;b="/>
  <Relationship Id="rId95" Type="http://schemas.openxmlformats.org/officeDocument/2006/relationships/hyperlink" TargetMode="External" Target="http://www3.lrs.lt/cgi-bin/preps2?a=412373&amp;b="/>
  <Relationship Id="rId96" Type="http://schemas.openxmlformats.org/officeDocument/2006/relationships/hyperlink" TargetMode="External" Target="http://www3.lrs.lt/cgi-bin/preps2?a=478691&amp;b="/>
  <Relationship Id="rId97" Type="http://schemas.openxmlformats.org/officeDocument/2006/relationships/hyperlink" TargetMode="External" Target="http://www3.lrs.lt/cgi-bin/preps2?a=230454&amp;b="/>
  <Relationship Id="rId98" Type="http://schemas.openxmlformats.org/officeDocument/2006/relationships/hyperlink" TargetMode="External" Target="http://www3.lrs.lt/cgi-bin/preps2?a=361206&amp;b="/>
  <Relationship Id="rId99" Type="http://schemas.openxmlformats.org/officeDocument/2006/relationships/hyperlink" TargetMode="External" Target="http://www3.lrs.lt/cgi-bin/preps2?a=41237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725fef77b6914b63b78fc1125c7bbc39"/>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611ed4d00e7845e38f9f3677026c407e">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5a2d6bc977154141a586b2be9c690f19"/>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697600893ce943b1b3b73837ce516d26"/>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30e725bf4cff46b08c66a1429c72ac9e"/>
          <Part Type="strPunktas" Nr="2" Abbr="8 str. 2 d. 2 p." DocPartId="b3868047df464081881a9542ad80932f" PartId="4ba501361ea94d809eb55a86b319a916"/>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daa1c3bacdd4445494a11cdd7c6bb8ef"/>
          <Part Type="strPunktas" Nr="6" Abbr="8 str. 2 d. 6 p." DocPartId="6fd71c339d1644d2b2bb2f2060b379b3" PartId="3b7be7496eaf441688548c109e144c93"/>
          <Part Type="strPunktas" Nr="7" Abbr="8 str. 2 d. 7 p." DocPartId="e815d6e60ff7431da4aa1dc10ed383ab" PartId="7b21fcb1d0d0437c8e5187c6a945ebbc"/>
          <Part Type="strPunktas" Nr="8" Abbr="8 p." DocPartId="5eef174774064bdda7fb313d8253a46f" PartId="59c3486b05ba4ef9bca941d5e6533a1f"/>
        </Part>
        <Part Type="strDalis" Nr="3" Abbr="8 str. 3 d." DocPartId="1db0b9b704b44c45a2cc08c31b49f812" PartId="c4c9a1fd929247d2b57859d577dc1857"/>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36c9f41ebdd84472a03cdda061af946b">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71cb0639615e46adbb3cbfd72ece5901"/>
          <Part Type="strPunktas" Nr="14" Abbr="11 str. 1 d. 14 p." DocPartId="839433f833f04fb29a293b1ca4d22f78" PartId="a47201e5d73242d385154eb50eb6f2d7"/>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0bd9aa83a1414930ac80d6360cd31503"/>
          <Part Type="strPunktas" Nr="19" Abbr="11 str. 1 d. 19 p." DocPartId="6112b76aa1e747dca1e74097d4222a0b" PartId="bc0426df8cdd4a88bfcb30512d44caec"/>
          <Part Type="strPunktas" Nr="20" Abbr="20 p." DocPartId="6f24342c5b2645cc81b2f33c3c4a3f24" PartId="7c1a38171e614713ac708ee35de3c7a9"/>
          <Part Type="strPunktas" Nr="21" Abbr="11 str. 1 d. 21 p." DocPartId="113609dcd30c45258932552da0ad6eb9" PartId="4a3a6d725f314b89a2436bc897a6d691"/>
        </Part>
        <Part Type="strDalis" Nr="2" Abbr="11 str. 2 d." DocPartId="ce46ff2e0da8488fa9ad9ee980162da0" PartId="d9ec73e42d5f4e78bc16cdc9379b35fc"/>
        <Part Type="strDalis" Nr="3" Abbr="11 str. 3 d." DocPartId="0e1d160fe5ce4809b24a163cc9468531" PartId="26998c74641740f3b76b5a87bda5f9d8"/>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balsavimo teisės apribojimas" DocPartId="56ce483e47484487b9c6fc274dd6554b" PartId="c67d288dadca44d4bebee67bc9f460c0">
        <Part Type="strDalis" Nr="1" Abbr="15 str. 1 d." DocPartId="61084ae838494fb39bf38407f3c8833d" PartId="306957ea02514e16bd8c4f680eecbab9"/>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4604f3766f244bce8ba37535094c9636">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3dac82758e824077b9cf3fc5aec02c2b">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Finansų rinkos priežiūros ir finansų sektoriaus subjektų pertvarkymo institucijos veiklos finansavimas" DocPartId="f112f97013c2466797805abfdcc982cf" PartId="57fad126d173448581fef71c614adbad">
        <Part Type="strDalis" Nr="1" Abbr="21-1 str. 1 d." DocPartId="ad91e08128104dd8a06309791c1a6d57" PartId="ea854aaf814d4f6a88f37ad640df035c"/>
        <Part Type="strDalis" Nr="2" Abbr="21-1 str. 2 d." DocPartId="1d00fe32756841499a3f6017e6d9c4ea" PartId="9c94d12530c4436e990b437081bd774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f3fc325c6a784748a573b393b052fac9"/>
        <Part Type="strDalis" Nr="6" Abbr="21-1 str. 6 d." DocPartId="b95a0fd96ffd49399824ca794b39d1c4" PartId="9cc928042afd4c2c8325ce2b7f244241"/>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VALSTYBĖS IŽDO AGENTO FUNKCIJOS" DocPartId="9a3557c341ea44778070d3bf5564d9b3" PartId="21de7256178543ee845ecf92a8c0d1e4">
      <Part Type="straipsnis" Nr="37" Abbr="37 str." DocPartId="8105556de1b44784a2655f2efa7f8813" PartId="2dc899f9905a4422b892d9ad1772e314"/>
      <Part Type="straipsnis" Nr="38" Abbr="38 str." Title="Valstybės iždo sąskaitų atidarymas" DocPartId="8b9753400b964f5382d0871712bdee71" PartId="967d593f072348e99b2053571daf09a7">
        <Part Type="strDalis" Nr="1" Abbr="38 str. 1 d." DocPartId="f4ed6823238e478585520593f7482278" PartId="5bd6ed36805c407f934c14e0ce28cd69"/>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a56f001d1a1b4c989c511fe5770e56df">
        <Part Type="strDalis" Nr="1" Abbr="42 str. 1 d." DocPartId="fd42d9aa8c0f4e2ca0647e7eb9dc0a43" PartId="2f8095bf0adf475ea17ad36ff04b78b0"/>
        <Part Type="strDalis" Nr="2" Abbr="42 str. 2 d." DocPartId="025a96da38d8423399ff3684a0ad860c" PartId="222f459abe6a47018ca4765b46e4961c">
          <Part Type="strPunktas" Nr="1" Abbr="42 str. 2 d. 1 p." DocPartId="4bb01fcb39504f36acf09a731eb0ec6b" PartId="6ad3f2b4e5dd4997b1d82db51d1d2ec9"/>
          <Part Type="strPunktas" Nr="2" Abbr="42 str. 2 d. 2 p." DocPartId="1dd1f827253e421599b6934570bc1c43" PartId="eba793c2980f4b7ab08e1b91d09470e5"/>
          <Part Type="strPunktas" Nr="3" Abbr="42 str. 2 d. 3 p." DocPartId="7faaac04d72a446fa30a4214d2bd2ed9" PartId="5562d087550a4831a4e554e300e35e41"/>
          <Part Type="strPunktas" Nr="4" Abbr="42 str. 2 d. 4 p." DocPartId="624300f289184404933da686057a24d3" PartId="534c09eed3bc4658947279ffdea278e9"/>
          <Part Type="strPunktas" Nr="5" Abbr="42 str. 2 d. 5 p." DocPartId="9848b933d13a4754b3ec96f375ff6e96" PartId="21798314417b43e6acd91606eebb2d0d"/>
          <Part Type="strPunktas" Nr="6" Abbr="42 str. 2 d. 6 p." DocPartId="9d6c4f5668bc424694deb7acdaa2e5b9" PartId="e13ce716baec48ad8ecdaf4019c12074"/>
          <Part Type="strPunktas" Nr="7" Abbr="42 str. 2 d. 7 p." DocPartId="99ae3e5059f64145b7e6485f470e6825" PartId="710d6e173a1b42cfb485646ee835031e"/>
          <Part Type="strPunktas" Nr="8" Abbr="42 str. 2 d. 8 p." DocPartId="1b8f3520292c46b5bd00b0b468b2e02e" PartId="983d04183f054ae690ca98a3a44dd382"/>
          <Part Type="strPunktas" Nr="9" Abbr="42 str. 2 d. 9 p." DocPartId="49de1140bf4f405ea69d4e87f9b6d585" PartId="beb3881955284336aef9ae6af7e79103"/>
          <Part Type="strPunktas" Nr="10" Abbr="10 p." DocPartId="f670176badfe41a099c88ec459bfcc58" PartId="07ceadcb47134f34a72827b453a23b49"/>
        </Part>
        <Part Type="strDalis" Nr="2-1" Abbr="2-1 d." DocPartId="c2397de40f824cd492ac5313db081957" PartId="2af65cd3a38d49dcb45e3e9ed6cf1449"/>
        <Part Type="strDalis" Nr="3" Abbr="3 d." DocPartId="4fbca3db443048cb84e0a0a55b0587fb" PartId="eb67969674f9435b8b44f3a3048027bc">
          <Part Type="strPunktas" Nr="1" Abbr="3 d. 1 p." DocPartId="f6f1841a72554aef8cc6490670e47b17" PartId="2277b48d00804ab5ba4cbb3477bde428"/>
          <Part Type="strPunktas" Nr="2" Abbr="3 d. 2 p." DocPartId="63781156693c47919d080623cbb8f155" PartId="f7baded11b034180b8a319ffdcf9acbf"/>
          <Part Type="strPunktas" Nr="3" Abbr="3 d. 3 p." DocPartId="942d7059138c4c669f5445a3adde3eae" PartId="cb6f3a95642e40d4884d69870e630d9f"/>
          <Part Type="strPunktas" Nr="4" Abbr="3 d. 4 p." DocPartId="fd8dd183ff1542acaf12b5ccecc9b604" PartId="9a5b44423ccc47ad96f1ee2661c11812"/>
          <Part Type="strPunktas" Nr="5" Abbr="3 d. 5 p." DocPartId="5c6066af40a8480d93f9e4addeffae90" PartId="e8b7b3ea98684122a56365ef69ef14d2"/>
        </Part>
        <Part Type="strDalis" Nr="4" Abbr="4 d." DocPartId="26059cb5abbd46ea88c0027a6aecc78c" PartId="93ae26d7a4ea48c7992566d4d42a9827">
          <Part Type="strPunktas" Nr="1" Abbr="4 d. 1 p." DocPartId="e0f88cd6e23e4daa90228857b879844b" PartId="8a4948183c3d442c8ba26ef314a1b1ac"/>
          <Part Type="strPunktas" Nr="2" Abbr="4 d. 2 p." DocPartId="62c924af22cf4ec79e57b8e711bfc703" PartId="8df56807af464b9e95b1fce92b39bd10"/>
          <Part Type="strPunktas" Nr="3" Abbr="4 d. 3 p." DocPartId="7454db87dd1b4490821750edbc0d849e" PartId="1b0b6d0566c544f1bb7a05ecd33b31a8"/>
          <Part Type="strPunktas" Nr="4" Abbr="4 d. 4 p." DocPartId="54c1c28110324b5a972f75ca4af987b0" PartId="e8b0f69785324ca8a66d6a76ac963c34"/>
        </Part>
        <Part Type="strDalis" Nr="5" Abbr="42 str. 5 d." DocPartId="f736854da60e46c99bee053776791d5c" PartId="2fb9be5aff544eabb886946e024a0c2f"/>
        <Part Type="strDalis" Nr="6" Abbr="42 str. 6 d." DocPartId="ba06b451cc3f4d689976fe5aa314a80e" PartId="8f5b88349cc142719daf2ec775e7c518"/>
      </Part>
      <Part Type="straipsnis" Nr="43" Abbr="43 str." Title="Finansų rinkos priežiūros tikslais gautos informacijos apsauga" DocPartId="2651da12d2fa46a494bc63ae9e2acfc3" PartId="da56f831353b49e98b7bf8d117842b53">
        <Part Type="strDalis" Nr="1" Abbr="43 str. 1 d." DocPartId="1380a8236fc1498284cc5e59531bfc71" PartId="03f7ac2f851240ffb030005884f95e21"/>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619886674c684f6da25c8e4d689c030f"/>
        <Part Type="strDalis" Nr="3" Abbr="45 str. 3 d." DocPartId="b431673af13f4dbd969069440ba2518a" PartId="8ea35dfbf2c440d1b15c93458d8effd7">
          <Part Type="strPunktas" Nr="1" Abbr="45 str. 3 d. 1 p." DocPartId="8a6b738147d246ceafd53dbcf81b4c0d" PartId="795ba16d030d4f2ab1d51e8451e272da"/>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o ne teisme tvarka" DocPartId="3a2a6a4dcaa247bb81ae0094907f48a8" PartId="e2100b65423942bb84510e1de531ea22">
        <Part Type="strDalis" Nr="1" Abbr="47 str. 1 d." DocPartId="c9b4a3e321814fecb6934a4b7f7e1ea7" PartId="a7e52db7f93f4617a60e93856daff0f1"/>
        <Part Type="strDalis" Nr="2" Abbr="47 str. 2 d." DocPartId="2669a3d6e0a14ae1a92ead2067ab510a" PartId="6eb534be874043aba4042c1e2af1eda1">
          <Part Type="strPunktas" Nr="1" Abbr="47 str. 2 d. 1 p." DocPartId="a5315168e7ec444c8849337b59ec7505" PartId="0dd4517c463c420b8ad0bff1f88d0b35"/>
          <Part Type="strPunktas" Nr="2" Abbr="47 str. 2 d. 2 p." DocPartId="2a95eaacf0ea4400a53ca0d9923fe401" PartId="ad9568c04a2e4784ac5615be4b22404e"/>
          <Part Type="strPunktas" Nr="3" Abbr="47 str. 2 d. 3 p." DocPartId="1b85e04ada1b47d58132693874fc0e54" PartId="884acb8077124606a00a8403397c5c0f"/>
        </Part>
        <Part Type="strDalis" Nr="3" Abbr="47 str. 3 d." DocPartId="e9e83916445b40d7b96426bed175a964" PartId="7fdcbfbb815f4ba49e0cedd78e239c50"/>
        <Part Type="strDalis" Nr="4" Abbr="47 str. 4 d." DocPartId="8c6d62f782ec418aa9608f85bc549180" PartId="a3e4e6031b904b7b9591f767cc275597"/>
        <Part Type="strDalis" Nr="5" Abbr="47 str. 5 d." DocPartId="c1c9d58c0d8643059c89eabb25b0811e" PartId="cf5df7a6b1f74c47bf3136e8541d5b63"/>
        <Part Type="strDalis" Nr="6" Abbr="47 str. 6 d." DocPartId="4ff097d23132441093e0149d4a682dfd" PartId="44fcf729f615425e9f3bb8ea919ee8df"/>
        <Part Type="strDalis" Nr="7" Abbr="47 str. 7 d." DocPartId="5d8805874601400987cf99300618861b" PartId="1d6942319eac4603bc354ae0927ca3c8">
          <Part Type="strPunktas" Nr="1" Abbr="47 str. 7 d. 1 p." DocPartId="04ab7516b30a4ef796691e6e272f0f12" PartId="913e08f4fcea41b7ad7d422f74d582c3"/>
          <Part Type="strPunktas" Nr="2" Abbr="47 str. 7 d. 2 p." DocPartId="fe8898f0105843149eb694fbc8a1b97a" PartId="aa509a62e23046d0818e0e3299d52ceb"/>
          <Part Type="strPunktas" Nr="3" Abbr="47 str. 7 d. 3 p." DocPartId="53de488fe3494c1d8c2018cb3c6a2913" PartId="0627bf5d06d14178a21d0cdd4a132ca4"/>
          <Part Type="strPunktas" Nr="4" Abbr="47 str. 7 d. 4 p." DocPartId="d741872cf6a046288460a72efbec0a47" PartId="13353b1591cb4e7c988fa4de619e60f6"/>
          <Part Type="strPunktas" Nr="5" Abbr="47 str. 7 d. 5 p." DocPartId="f3a5c2453c37474a999518c6cdf3cd99" PartId="8d61299b38694b128bbde379866148ba"/>
          <Part Type="strPunktas" Nr="6" Abbr="47 str. 7 d. 6 p." DocPartId="ed6fe042d14a4806affd943dfb623f1e" PartId="b4308a26cca14c1c8532b386dbb3c2f1"/>
          <Part Type="strPunktas" Nr="7" Abbr="47 str. 7 d. 7 p." DocPartId="c40035f4219d41919b2ec3a15bc146f6" PartId="53a3a62cd41a4f46a9cefcd03e798176"/>
          <Part Type="strPunktas" Nr="8" Abbr="47 str. 7 d. 8 p." DocPartId="e74b02382cef443abfc3c65e65c6d6ae" PartId="f200bff7fa524e7d8537ff706005c313"/>
        </Part>
        <Part Type="strDalis" Nr="8" Abbr="47 str. 8 d." DocPartId="7eccf3bf5f0a4c1a94e65b6d581e0b34" PartId="02bfa7f2c7c64b2e8c324b01057dd83e"/>
        <Part Type="strDalis" Nr="9" Abbr="47 str. 9 d." DocPartId="ccf459e123d7413b92a37e74d96f7e0b" PartId="146553b99f204df094d82d56526f3b79"/>
        <Part Type="strDalis" Nr="10" Abbr="47 str. 10 d." DocPartId="c8572ceef9a64759b2286c06e54bc6a3" PartId="378fa31a309e4a81b35538e5daf0dff3"/>
        <Part Type="strDalis" Nr="11" Abbr="47 str. 11 d." DocPartId="99f5f86fe31e4e33a5867f63ce6d06e6" PartId="a2727bbce7fe4f78a3af6880dcdc6f92">
          <Part Type="strPunktas" Nr="1" Abbr="47 str. 11 d. 1 p." DocPartId="ed4c62e474144934bba6ca23fbcbce88" PartId="347f39f9b62d462e8811d197f092a32c"/>
          <Part Type="strPunktas" Nr="2" Abbr="47 str. 11 d. 2 p." DocPartId="386053e405a04ca6922c2647d570bc99" PartId="3399f91de3b94c299e872cb6587c336e"/>
          <Part Type="strPunktas" Nr="3" Abbr="47 str. 11 d. 3 p." DocPartId="f0eea76366274f888862e250ddf51382" PartId="44a0bcf40c0f4dba8b84857af5fb986c"/>
        </Part>
        <Part Type="strDalis" Nr="12" Abbr="47 str. 12 d." DocPartId="fc02a61d961d45fba9ddb4e7707ac2d8" PartId="817aeb45664440eab051189c51cdbc93"/>
        <Part Type="strDalis" Nr="13" Abbr="47 str. 13 d." DocPartId="3c6591597c3d4131b69097d2021d2ba3" PartId="4540a918d65946ef978dcbd24a6d09c1"/>
        <Part Type="strDalis" Nr="14" Abbr="47 str. 14 d." DocPartId="c575686dea8444ad89470bc3e1f1d51c" PartId="3a00d18ff4c94545889c5c4caac7cbe0"/>
        <Part Type="strDalis" Nr="15" Abbr="47 str. 15 d." DocPartId="4d9da76d8bc2430ebe16d843304f635b" PartId="e03f704cff4e41ebb51c6257c584ddd4"/>
        <Part Type="strDalis" Nr="16" Abbr="47 str. 16 d." DocPartId="0c305c9d53d3496791857ea6763a0200" PartId="9dedc26396ba4eb3942827f202ce3e4c"/>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0e991688cde1421daeca5185694c3a27">
        <Part Type="strDalis" Nr="1" Abbr="47-4 str. 1 d." DocPartId="b9d9d00571934e339102cf016f17dcc6" PartId="38dcfda887ab4f12be854e82e1043201"/>
        <Part Type="strDalis" Nr="2" Abbr="47-4 str. 2 d." DocPartId="7baef34b6e7847d1944090beabf34b92" PartId="17bd0d3b60774866b247e0ff0b44fe4f"/>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3673e74de64f4655a84854132d8dede3">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9e20cab16b4f4a46aa5ec970e832579a">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4ef9404cda284b0897986b801ab726c3"/>
  </Part>
  <Part Type="priedas" Nr="1" Abbr="1 pr." Title="„FINANSŲ RINKOS DALYVIAI, MOKANTYS ĮMOKAS FINANSŲ RINKOS PRIEŽIŪROS IŠLAIDOMS PADENGTI, ĮMOKŲ BAZĖ IR MAKSIMALŪS ĮMOKŲ DYDŽIAI“." DocPartId="c56041ea0abf49418dabd7e46abefa88" PartId="57dea99e017544ddb27a1160e44d59ba"/>
  <Part Type="priedas" Nr="2" Abbr="2 pr." Title="FINANSŲ RINKOS DALYVIAI, MOKANTYS ĮMOKAS FINANSŲ SEKTORIAUS SUBJEKTŲ PERTVARKYMO INSTITUCIJOS IŠLAIDOMS PADENGTI, ĮMOKŲ BAZĖ IR MAKSIMALŪS ĮMOKŲ DYDŽIAI" DocPartId="bd114910dc7a4a569fe329090b2230cd" PartId="92119501020d4a8e8d5fdfd8e1c2bbe5"/>
  <Part Type="priedas" Nr="3" Abbr="3 pr." Title="ĮGYVENDINAMI EUROPOS SĄJUNGOS TEISĖS AKTAI" DocPartId="ad910aac343e4fd79e5b0dcd83308be3" PartId="c45a8053ed2c455cb86d8025046d7afc">
    <Part Type="punktas" Nr="1" Abbr="3 pr. 1 p." DocPartId="d1a37712e27e4146a9edad4798edc99a" PartId="9392a88c6a564eb6a1d27150849c37f7"/>
    <Part Type="punktas" Nr="2" Abbr="3 pr. 2 p." DocPartId="c59f9c1f9e34479fa125c6c47c07411e" PartId="6ef40e06f6f342498ef9571918bea7a6"/>
    <Part Type="punktas" Nr="3" Abbr="3 pr. 3 p." DocPartId="b1ef4c0a9a814bc0bd958edd31a61c51" PartId="7b28963640a04e48984fe9db3c32e15d"/>
    <Part Type="punktas" Nr="4" Abbr="3 pr. 4 p." DocPartId="f8bd08d2c5f84b24b89e08ff4af31de1" PartId="1bd45c0ff62a4d7f8ea9e508a0b3205e"/>
    <Part Type="punktas" Nr="5" Abbr="3 pr. 5 p." DocPartId="6ead4eac3a674e0f801afc02394c3dbd" PartId="9009c7b2bdf64b86b01bb2aa21dd1412"/>
    <Part Type="punktas" Nr="6" Abbr="3 pr. 6 p." DocPartId="61cf7fef8798472cb3c764c134d08a50" PartId="c486f41b512f459190934e503116ae68"/>
    <Part Type="punktas" Nr="7" Abbr="3 pr. 7 p." DocPartId="9872f701fe254852bb816e49048e8b25" PartId="3790cc695bb441ef9d19db20321710b8"/>
    <Part Type="punktas" Nr="8" Abbr="3 pr. 8 p." DocPartId="37b03bb5169d486e99bb600393434f93" PartId="f49ae22a00e842049f66ebf7a0953dc1"/>
    <Part Type="punktas" Nr="9" Abbr="3 pr. 9 p." DocPartId="19adb30fd8ca4018972db386c90a7845" PartId="bc150edcf79a4ac7bfc6ebd61e1cfb77"/>
    <Part Type="punktas" Nr="10" Abbr="3 pr. 10 p." DocPartId="f18b89e9a4e94619b67696b49a2b3387" PartId="6eb77abcc4814c1cb2fdfc79153f7cb4"/>
  </Part>
  <Part Type="priedas" Title="Pakeitimai" DocPartId="c2d4fe9ee08c44c391b23e8dfa4fcb39" PartId="8bf9f3329ac54952ad90f03816cbf52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B09B149-7138-44AC-8867-991EDB91B53F}">
  <ds:schemaRefs>
    <ds:schemaRef ds:uri="http://lrs.lt/TAIS/DocParts"/>
  </ds:schemaRefs>
</ds:datastoreItem>
</file>

<file path=customXml/itemProps3.xml><?xml version="1.0" encoding="utf-8"?>
<ds:datastoreItem xmlns:ds="http://schemas.openxmlformats.org/officeDocument/2006/customXml" ds:itemID="{96377CCC-4735-417B-A957-D381C9AA683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69</TotalTime>
  <Pages>26</Pages>
  <Words>62710</Words>
  <Characters>35745</Characters>
  <Application>Microsoft Office Word</Application>
  <DocSecurity>0</DocSecurity>
  <Lines>297</Lines>
  <Paragraphs>196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98259</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Renata Drukteinytė</lastModifiedBy>
  <dcterms:modified xsi:type="dcterms:W3CDTF">2016-09-12T10:32:00Z</dcterms:modified>
  <revision>11</revision>
  <dc:title>Neoficialus ?statymo tekstas</dc:title>
</coreProperties>
</file>