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2020-01-17 iki 2020-04-03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58cf27553bc34963b06256c9883c957f"/>
                <w:lock w:val="sdtLocked"/>
                <w:richText/>
              </w:sdtPr>
              <w:sdtContent>
                <w:p>
                  <w:pPr>
                    <w:ind w:firstLine="720"/>
                    <w:jc w:val="both"/>
                    <w:rPr>
                      <w:b/>
                      <w:bCs/>
                      <w:sz w:val="22"/>
                    </w:rPr>
                  </w:pPr>
                  <w:sdt>
                    <w:sdtPr>
                      <w:alias w:val="Numeris"/>
                      <w:tag w:val="nr_58cf27553bc34963b06256c9883c957f"/>
                      <w:lock w:val="sdtLocked"/>
                      <w:richText/>
                    </w:sdtPr>
                    <w:sdtContent>
                      <w:r>
                        <w:rPr>
                          <w:b/>
                          <w:bCs/>
                          <w:sz w:val="22"/>
                        </w:rPr>
                        <w:t>6</w:t>
                      </w:r>
                    </w:sdtContent>
                  </w:sdt>
                  <w:r>
                    <w:rPr>
                      <w:b/>
                      <w:bCs/>
                      <w:sz w:val="22"/>
                    </w:rPr>
                    <w:t xml:space="preserve"> straipsnis. </w:t>
                  </w:r>
                  <w:sdt>
                    <w:sdtPr>
                      <w:alias w:val="Pavadinimas"/>
                      <w:tag w:val="title_58cf27553bc34963b06256c9883c957f"/>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f69754bc48c44a629073371cf7ace621"/>
                <w:lock w:val="sdtLocked"/>
                <w:richText/>
              </w:sdtPr>
              <w:sdtContent>
                <w:p>
                  <w:pPr>
                    <w:ind w:firstLine="720"/>
                    <w:jc w:val="both"/>
                    <w:rPr>
                      <w:b/>
                      <w:sz w:val="22"/>
                    </w:rPr>
                  </w:pPr>
                  <w:sdt>
                    <w:sdtPr>
                      <w:alias w:val="Numeris"/>
                      <w:tag w:val="nr_f69754bc48c44a629073371cf7ace621"/>
                      <w:lock w:val="sdtLocked"/>
                      <w:richText/>
                    </w:sdtPr>
                    <w:sdtContent>
                      <w:r>
                        <w:rPr>
                          <w:b/>
                          <w:sz w:val="22"/>
                        </w:rPr>
                        <w:t>11</w:t>
                      </w:r>
                    </w:sdtContent>
                  </w:sdt>
                  <w:r>
                    <w:rPr>
                      <w:b/>
                      <w:sz w:val="22"/>
                    </w:rPr>
                    <w:t xml:space="preserve"> straipsnis. </w:t>
                  </w:r>
                  <w:sdt>
                    <w:sdtPr>
                      <w:alias w:val="Pavadinimas"/>
                      <w:tag w:val="title_f69754bc48c44a629073371cf7ace621"/>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757c89816857453dad6cd43b4b344f33"/>
                <w:lock w:val="sdtLocked"/>
                <w:richText/>
              </w:sdtPr>
              <w:sdtContent>
                <w:p>
                  <w:pPr>
                    <w:ind w:firstLine="720"/>
                    <w:jc w:val="both"/>
                    <w:rPr>
                      <w:sz w:val="22"/>
                    </w:rPr>
                  </w:pPr>
                  <w:sdt>
                    <w:sdtPr>
                      <w:alias w:val="Numeris"/>
                      <w:tag w:val="nr_757c89816857453dad6cd43b4b344f33"/>
                      <w:lock w:val="sdtLocked"/>
                      <w:richText/>
                    </w:sdtPr>
                    <w:sdtContent>
                      <w:r>
                        <w:rPr>
                          <w:b/>
                          <w:sz w:val="22"/>
                        </w:rPr>
                        <w:t>19</w:t>
                      </w:r>
                    </w:sdtContent>
                  </w:sdt>
                  <w:r>
                    <w:rPr>
                      <w:b/>
                      <w:sz w:val="22"/>
                    </w:rPr>
                    <w:t xml:space="preserve"> straipsnis. </w:t>
                  </w:r>
                  <w:sdt>
                    <w:sdtPr>
                      <w:alias w:val="Pavadinimas"/>
                      <w:tag w:val="title_757c89816857453dad6cd43b4b344f33"/>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2dfefcefe35e44bfb6a8795fe17e54a1"/>
                <w:lock w:val="sdtLocked"/>
                <w:richText/>
              </w:sdtPr>
              <w:sdtContent>
                <w:p>
                  <w:pPr>
                    <w:ind w:firstLine="720"/>
                    <w:jc w:val="both"/>
                    <w:rPr>
                      <w:b/>
                      <w:sz w:val="22"/>
                    </w:rPr>
                  </w:pPr>
                  <w:sdt>
                    <w:sdtPr>
                      <w:alias w:val="Numeris"/>
                      <w:tag w:val="nr_2dfefcefe35e44bfb6a8795fe17e54a1"/>
                      <w:lock w:val="sdtLocked"/>
                      <w:richText/>
                    </w:sdtPr>
                    <w:sdtContent>
                      <w:r>
                        <w:rPr>
                          <w:b/>
                          <w:sz w:val="22"/>
                        </w:rPr>
                        <w:t>20</w:t>
                      </w:r>
                    </w:sdtContent>
                  </w:sdt>
                  <w:r>
                    <w:rPr>
                      <w:b/>
                      <w:sz w:val="22"/>
                    </w:rPr>
                    <w:t xml:space="preserve"> straipsnis. </w:t>
                  </w:r>
                  <w:sdt>
                    <w:sdtPr>
                      <w:alias w:val="Pavadinimas"/>
                      <w:tag w:val="title_2dfefcefe35e44bfb6a8795fe17e54a1"/>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2d7900733f9c42afbc5c7e5d3bf72cb3"/>
                    <w:lock w:val="sdtLocked"/>
                    <w:richText/>
                  </w:sdtPr>
                  <w:sdtContent>
                    <w:p>
                      <w:pPr>
                        <w:ind w:firstLine="720"/>
                        <w:jc w:val="both"/>
                        <w:rPr>
                          <w:bCs/>
                          <w:sz w:val="22"/>
                          <w:szCs w:val="22"/>
                        </w:rPr>
                      </w:pPr>
                      <w:sdt>
                        <w:sdtPr>
                          <w:alias w:val="Numeris"/>
                          <w:tag w:val="nr_2d7900733f9c42afbc5c7e5d3bf72cb3"/>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 ir valiutos keityklų operatoriai.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6655e8d178684a378abf6081e6812b30"/>
                        <w:lock w:val="sdtLocked"/>
                        <w:richText/>
                      </w:sdtPr>
                      <w:sdtContent>
                        <w:p>
                          <w:pPr>
                            <w:ind w:firstLine="720"/>
                            <w:jc w:val="both"/>
                            <w:rPr>
                              <w:bCs/>
                              <w:sz w:val="22"/>
                              <w:szCs w:val="22"/>
                            </w:rPr>
                          </w:pPr>
                          <w:sdt>
                            <w:sdtPr>
                              <w:alias w:val="Numeris"/>
                              <w:tag w:val="nr_6655e8d178684a378abf6081e6812b30"/>
                              <w:lock w:val="sdtLocked"/>
                              <w:richText/>
                            </w:sdtPr>
                            <w:sdtContent>
                              <w:r>
                                <w:rPr>
                                  <w:sz w:val="22"/>
                                  <w:szCs w:val="22"/>
                                </w:rPr>
                                <w:t>4</w:t>
                              </w:r>
                            </w:sdtContent>
                          </w:sdt>
                          <w:r>
                            <w:rPr>
                              <w:sz w:val="22"/>
                              <w:szCs w:val="22"/>
                            </w:rPr>
                            <w:t xml:space="preserve">) </w:t>
                          </w:r>
                          <w:r>
                            <w:rPr>
                              <w:bCs/>
                              <w:sz w:val="22"/>
                              <w:szCs w:val="22"/>
                            </w:rPr>
                            <w:t>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w:t>
                          </w:r>
                          <w:r>
                            <w:rPr>
                              <w:sz w:val="22"/>
                              <w:szCs w:val="22"/>
                            </w:rPr>
                            <w:t xml:space="preserve"> </w:t>
                          </w:r>
                          <w:r>
                            <w:rPr>
                              <w:bCs/>
                              <w:sz w:val="22"/>
                              <w:szCs w:val="22"/>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0fda258bdf7c44b5ab3f62119cf10032"/>
                        <w:lock w:val="sdtLocked"/>
                        <w:richText/>
                      </w:sdtPr>
                      <w:sdtContent>
                        <w:p>
                          <w:pPr>
                            <w:tabs>
                              <w:tab w:val="left" w:pos="993"/>
                            </w:tabs>
                            <w:ind w:firstLine="720"/>
                            <w:jc w:val="both"/>
                            <w:rPr>
                              <w:bCs/>
                              <w:sz w:val="22"/>
                              <w:szCs w:val="22"/>
                            </w:rPr>
                          </w:pPr>
                          <w:sdt>
                            <w:sdtPr>
                              <w:alias w:val="Numeris"/>
                              <w:tag w:val="nr_0fda258bdf7c44b5ab3f62119cf10032"/>
                              <w:lock w:val="sdtLocked"/>
                              <w:richText/>
                            </w:sdtPr>
                            <w:sdtContent>
                              <w:r>
                                <w:rPr>
                                  <w:sz w:val="22"/>
                                  <w:szCs w:val="22"/>
                                </w:rPr>
                                <w:t>6</w:t>
                              </w:r>
                            </w:sdtContent>
                          </w:sdt>
                          <w:r>
                            <w:rPr>
                              <w:sz w:val="22"/>
                              <w:szCs w:val="22"/>
                            </w:rPr>
                            <w:t xml:space="preserve">)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Lietuvos Respublikos vartotojų teisių apsaugos įstatymo ir kitų įstatymų Lietuvos bankui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f966fce0f7ac47318753fbec3e0790d0"/>
                        <w:lock w:val="sdtLocked"/>
                        <w:richText/>
                      </w:sdtPr>
                      <w:sdtContent>
                        <w:p>
                          <w:pPr>
                            <w:tabs>
                              <w:tab w:val="left" w:pos="993"/>
                            </w:tabs>
                            <w:ind w:firstLine="720"/>
                            <w:jc w:val="both"/>
                            <w:rPr>
                              <w:bCs/>
                              <w:sz w:val="22"/>
                              <w:szCs w:val="22"/>
                            </w:rPr>
                          </w:pPr>
                          <w:sdt>
                            <w:sdtPr>
                              <w:alias w:val="Numeris"/>
                              <w:tag w:val="nr_f966fce0f7ac47318753fbec3e0790d0"/>
                              <w:lock w:val="sdtLocked"/>
                              <w:richText/>
                            </w:sdtPr>
                            <w:sdtContent>
                              <w:r>
                                <w:rPr>
                                  <w:color w:val="000000"/>
                                  <w:sz w:val="22"/>
                                  <w:szCs w:val="22"/>
                                </w:rPr>
                                <w:t>10</w:t>
                              </w:r>
                            </w:sdtContent>
                          </w:sdt>
                          <w:r>
                            <w:rPr>
                              <w:color w:val="000000"/>
                              <w:sz w:val="22"/>
                              <w:szCs w:val="22"/>
                            </w:rPr>
                            <w:t xml:space="preserve">) atlieka Reglamento (EB) Nr. 1060/2009, Reglamento (ES) Nr. 1286/2014, Reglamento (ES) 2017/1131, Reglamento </w:t>
                          </w:r>
                          <w:r>
                            <w:rPr>
                              <w:color w:val="000000"/>
                              <w:sz w:val="22"/>
                              <w:szCs w:val="22"/>
                              <w:lang w:eastAsia="lt-LT"/>
                            </w:rPr>
                            <w:t>(ES) 2017/2394</w:t>
                          </w:r>
                          <w:r>
                            <w:rPr>
                              <w:rFonts w:ascii="Tahoma" w:hAnsi="Tahoma" w:cs="Tahoma"/>
                              <w:color w:val="000000"/>
                              <w:sz w:val="22"/>
                              <w:szCs w:val="22"/>
                              <w:lang w:eastAsia="lt-LT"/>
                            </w:rPr>
                            <w:t xml:space="preserve"> </w:t>
                          </w:r>
                          <w:r>
                            <w:rPr>
                              <w:color w:val="000000"/>
                              <w:sz w:val="22"/>
                              <w:szCs w:val="22"/>
                            </w:rPr>
                            <w:t>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dab1b606d1704a078922ed37df15bdc8"/>
                        <w:lock w:val="sdtLocked"/>
                        <w:richText/>
                      </w:sdtPr>
                      <w:sdtContent>
                        <w:p>
                          <w:pPr>
                            <w:ind w:firstLine="782"/>
                            <w:jc w:val="both"/>
                            <w:rPr>
                              <w:sz w:val="22"/>
                              <w:szCs w:val="22"/>
                            </w:rPr>
                          </w:pPr>
                          <w:sdt>
                            <w:sdtPr>
                              <w:alias w:val="Numeris"/>
                              <w:tag w:val="nr_dab1b606d1704a078922ed37df15bdc8"/>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9"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0" w:history="1">
                        <w:r>
                          <w:rPr>
                            <w:i/>
                            <w:color w:val="0000FF"/>
                            <w:sz w:val="20"/>
                            <w:u w:val="single"/>
                          </w:rPr>
                          <w:t>XI-1666</w:t>
                        </w:r>
                      </w:hyperlink>
                      <w:r>
                        <w:rPr>
                          <w:i/>
                          <w:sz w:val="20"/>
                        </w:rPr>
                        <w:t>, 2011-11-17, Žin., 2011, Nr. 145-6812 (2011-12-01)</w:t>
                      </w:r>
                    </w:p>
                    <w:p>
                      <w:pPr>
                        <w:jc w:val="both"/>
                      </w:pPr>
                      <w:r>
                        <w:rPr>
                          <w:i/>
                          <w:sz w:val="20"/>
                        </w:rPr>
                        <w:t xml:space="preserve">Nr. </w:t>
                      </w:r>
                      <w:hyperlink r:id="rId161"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9cb3c1ee258948d8b002e83dffb3485c"/>
                    <w:lock w:val="sdtLocked"/>
                    <w:richText/>
                  </w:sdtPr>
                  <w:sdtContent>
                    <w:p>
                      <w:pPr>
                        <w:ind w:firstLine="720"/>
                        <w:jc w:val="both"/>
                        <w:rPr>
                          <w:rFonts w:eastAsia="Calibri"/>
                          <w:sz w:val="22"/>
                          <w:szCs w:val="22"/>
                        </w:rPr>
                      </w:pPr>
                      <w:sdt>
                        <w:sdtPr>
                          <w:alias w:val="Numeris"/>
                          <w:tag w:val="nr_9cb3c1ee258948d8b002e83dffb3485c"/>
                          <w:lock w:val="sdtLocked"/>
                          <w:richText/>
                        </w:sdtPr>
                        <w:sdtContent>
                          <w:r>
                            <w:rPr>
                              <w:rFonts w:eastAsia="Calibri"/>
                              <w:sz w:val="22"/>
                              <w:szCs w:val="22"/>
                            </w:rPr>
                            <w:t>6</w:t>
                          </w:r>
                        </w:sdtContent>
                      </w:sdt>
                      <w:r>
                        <w:rPr>
                          <w:rFonts w:eastAsia="Calibri"/>
                          <w:sz w:val="22"/>
                          <w:szCs w:val="22"/>
                        </w:rPr>
                        <w:t>. Lietuvos bankas turi teisę viešai paskelbti savo teisės aktų arba 2010 m. lapkričio 24 d. Europos Parlamento ir Tarybos reglamento (ES) Nr. 1093/2010, kuriuo įsteigiama</w:t>
                      </w:r>
                      <w:r>
                        <w:rPr>
                          <w:rFonts w:eastAsia="Calibri"/>
                          <w:bCs/>
                          <w:sz w:val="22"/>
                          <w:szCs w:val="22"/>
                        </w:rPr>
                        <w:t xml:space="preserve"> Europos priežiūros institucija (Europos bankininkystės institucija), iš dalies keičiamas Sprendimas Nr. 716/2009/EB ir panaikinamas Komisijos sprendimas 2009/78/EB</w:t>
                      </w:r>
                      <w:r>
                        <w:rPr>
                          <w:rFonts w:eastAsia="Calibri"/>
                          <w:sz w:val="22"/>
                          <w:szCs w:val="22"/>
                        </w:rPr>
                        <w:t xml:space="preserve"> (OL 2010 L 331, p. 12) (toliau – Reglamentas (ES) Nr. 1093/2010), 32 straipsnyje nustatyta tvarka atlikto testavimo nepalankiausiomis sąlygomis rezultatus ir perduoti juos Europos bankininkystės institucijai. </w:t>
                      </w:r>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51a92c7b87e450fa05879752933c5ce"/>
                        <w:lock w:val="sdtLocked"/>
                        <w:richText/>
                      </w:sdtPr>
                      <w:sdtContent>
                        <w:p>
                          <w:pPr>
                            <w:ind w:firstLine="720"/>
                            <w:jc w:val="both"/>
                            <w:rPr>
                              <w:rFonts w:eastAsia="Calibri"/>
                              <w:sz w:val="22"/>
                              <w:szCs w:val="22"/>
                            </w:rPr>
                          </w:pPr>
                          <w:sdt>
                            <w:sdtPr>
                              <w:alias w:val="Numeris"/>
                              <w:tag w:val="nr_951a92c7b87e450fa05879752933c5ce"/>
                              <w:lock w:val="sdtLocked"/>
                              <w:richText/>
                            </w:sdtPr>
                            <w:sdtContent>
                              <w:r>
                                <w:rPr>
                                  <w:sz w:val="22"/>
                                  <w:szCs w:val="22"/>
                                  <w:lang w:eastAsia="lt-LT"/>
                                </w:rPr>
                                <w:t>5</w:t>
                              </w:r>
                            </w:sdtContent>
                          </w:sdt>
                          <w:r>
                            <w:rPr>
                              <w:sz w:val="22"/>
                              <w:szCs w:val="22"/>
                              <w:lang w:eastAsia="lt-LT"/>
                            </w:rPr>
                            <w:t>)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adc8b2a545e847d2bc3cde5506dd7b90"/>
                        <w:lock w:val="sdtLocked"/>
                        <w:richText/>
                      </w:sdtPr>
                      <w:sdtContent>
                        <w:p>
                          <w:pPr>
                            <w:ind w:firstLine="720"/>
                            <w:jc w:val="both"/>
                            <w:rPr>
                              <w:sz w:val="22"/>
                              <w:szCs w:val="22"/>
                            </w:rPr>
                          </w:pPr>
                          <w:sdt>
                            <w:sdtPr>
                              <w:alias w:val="Numeris"/>
                              <w:tag w:val="nr_adc8b2a545e847d2bc3cde5506dd7b90"/>
                              <w:lock w:val="sdtLocked"/>
                              <w:richText/>
                            </w:sdtPr>
                            <w:sdtContent>
                              <w:r>
                                <w:rPr>
                                  <w:rFonts w:eastAsia="Calibri"/>
                                  <w:sz w:val="22"/>
                                  <w:szCs w:val="22"/>
                                </w:rPr>
                                <w:t>9</w:t>
                              </w:r>
                            </w:sdtContent>
                          </w:sdt>
                          <w:r>
                            <w:rPr>
                              <w:rFonts w:eastAsia="Calibri"/>
                              <w:sz w:val="22"/>
                              <w:szCs w:val="22"/>
                            </w:rPr>
                            <w:t xml:space="preserve">) Europos vertybinių popierių ir rinkų institucijai, kaip numatyta 2010 m. lapkričio 24 d. Europos Parlamento ir Tarybos reglamente (ES) Nr. 1095/2010, </w:t>
                          </w:r>
                          <w:r>
                            <w:rPr>
                              <w:sz w:val="22"/>
                              <w:szCs w:val="22"/>
                            </w:rPr>
                            <w:t>kuriuo įsteigiama Europos priežiūros institucija (Europos vertybinių popierių ir rinkų institucija) ir iš dalies keičiamas Sprendimas Nr. 716/2009/EB bei panaikinamas Komisijos sprendimas 2009/77/EB (OL 2010 L 331, p. 84);</w:t>
                          </w:r>
                        </w:p>
                      </w:sdtContent>
                    </w:sdt>
                    <w:sdt>
                      <w:sdtPr>
                        <w:alias w:val="43 str. 7 d. 10 p."/>
                        <w:tag w:val="part_a6110942c83043a985a17a55d43e5b30"/>
                        <w:lock w:val="sdtLocked"/>
                        <w:richText/>
                      </w:sdtPr>
                      <w:sdtContent>
                        <w:p>
                          <w:pPr>
                            <w:ind w:firstLine="720"/>
                            <w:jc w:val="both"/>
                            <w:rPr>
                              <w:rFonts w:eastAsia="Calibri"/>
                              <w:sz w:val="22"/>
                              <w:szCs w:val="22"/>
                            </w:rPr>
                          </w:pPr>
                          <w:sdt>
                            <w:sdtPr>
                              <w:alias w:val="Numeris"/>
                              <w:tag w:val="nr_a6110942c83043a985a17a55d43e5b30"/>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(OL 2010 L 331, p. 48);</w:t>
                          </w:r>
                        </w:p>
                      </w:sdtContent>
                    </w:sdt>
                    <w:sdt>
                      <w:sdtPr>
                        <w:alias w:val="43 str. 7 d. 11 p."/>
                        <w:tag w:val="part_60d641a2d9e64650a43174ff432584b1"/>
                        <w:lock w:val="sdtLocked"/>
                        <w:richText/>
                      </w:sdtPr>
                      <w:sdtContent>
                        <w:p>
                          <w:pPr>
                            <w:ind w:firstLine="720"/>
                            <w:jc w:val="both"/>
                            <w:rPr>
                              <w:rFonts w:eastAsia="Calibri"/>
                              <w:sz w:val="22"/>
                              <w:szCs w:val="22"/>
                            </w:rPr>
                          </w:pPr>
                          <w:sdt>
                            <w:sdtPr>
                              <w:alias w:val="Numeris"/>
                              <w:tag w:val="nr_60d641a2d9e64650a43174ff432584b1"/>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 (OL 2010 L 331, p. 1), atlikti, o kritinėmis situacijomis – nedelsiant;</w:t>
                          </w:r>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7334454c18d9481eb44de354fa1f6370"/>
                        <w:lock w:val="sdtLocked"/>
                        <w:richText/>
                      </w:sdtPr>
                      <w:sdtContent>
                        <w:p>
                          <w:pPr>
                            <w:ind w:firstLine="720"/>
                            <w:jc w:val="both"/>
                            <w:rPr>
                              <w:rFonts w:eastAsia="Calibri"/>
                              <w:sz w:val="22"/>
                              <w:szCs w:val="22"/>
                            </w:rPr>
                          </w:pPr>
                          <w:sdt>
                            <w:sdtPr>
                              <w:alias w:val="Numeris"/>
                              <w:tag w:val="nr_7334454c18d9481eb44de354fa1f6370"/>
                              <w:lock w:val="sdtLocked"/>
                              <w:richText/>
                            </w:sdtPr>
                            <w:sdtContent>
                              <w:r>
                                <w:rPr>
                                  <w:rFonts w:eastAsia="Calibri"/>
                                  <w:sz w:val="22"/>
                                  <w:szCs w:val="22"/>
                                </w:rPr>
                                <w:t>13</w:t>
                              </w:r>
                            </w:sdtContent>
                          </w:sdt>
                          <w:r>
                            <w:rPr>
                              <w:rFonts w:eastAsia="Calibri"/>
                              <w:sz w:val="22"/>
                              <w:szCs w:val="22"/>
                            </w:rPr>
                            <w:t xml:space="preserve">) centrinėms kredito unijoms, taip pat sutartinėms arba institucinėms užtikrinimo sistemoms, nurodytoms 2013 m. birželio 26 d. Europos Parlamento ir Tarybos reglamento (ES) Nr. 575/2013 </w:t>
                          </w:r>
                          <w:r>
                            <w:rPr>
                              <w:sz w:val="22"/>
                              <w:szCs w:val="22"/>
                            </w:rPr>
                            <w:t xml:space="preserve">dėl prudencinių reikalavimų kredito įstaigoms ir investicinėms įmonėms ir kuriuo iš dalies keičiamas Reglamentas (ES) Nr. 648/2012 (OL 2013 L 176, p. 1) </w:t>
                          </w:r>
                          <w:r>
                            <w:rPr>
                              <w:rFonts w:eastAsia="Calibri"/>
                              <w:sz w:val="22"/>
                              <w:szCs w:val="22"/>
                            </w:rPr>
                            <w:t xml:space="preserve">113 straipsnio 7 dalyje, jeigu ji reikalinga jų funkcijoms atlikti; </w:t>
                          </w:r>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2fe3d6c48d90431393e628eec3ce0512"/>
                        <w:lock w:val="sdtLocked"/>
                        <w:richText/>
                      </w:sdtPr>
                      <w:sdtContent>
                        <w:p>
                          <w:pPr>
                            <w:ind w:firstLine="720"/>
                            <w:jc w:val="both"/>
                            <w:rPr>
                              <w:rFonts w:eastAsia="Calibri"/>
                              <w:sz w:val="22"/>
                              <w:szCs w:val="22"/>
                            </w:rPr>
                          </w:pPr>
                          <w:sdt>
                            <w:sdtPr>
                              <w:alias w:val="Numeris"/>
                              <w:tag w:val="nr_2fe3d6c48d90431393e628eec3ce0512"/>
                              <w:lock w:val="sdtLocked"/>
                              <w:richText/>
                            </w:sdtPr>
                            <w:sdtContent>
                              <w:r>
                                <w:rPr>
                                  <w:sz w:val="22"/>
                                  <w:szCs w:val="22"/>
                                  <w:lang w:eastAsia="lt-LT"/>
                                </w:rPr>
                                <w:t>15</w:t>
                              </w:r>
                            </w:sdtContent>
                          </w:sdt>
                          <w:r>
                            <w:rPr>
                              <w:sz w:val="22"/>
                              <w:szCs w:val="22"/>
                              <w:lang w:eastAsia="lt-LT"/>
                            </w:rPr>
                            <w:t>) kritinėmis situacijomis, kaip nustatyta Lietuvos Respublikos bankų įstatymo 59 straipsnio 8 dalyje ir 70</w:t>
                          </w:r>
                          <w:r>
                            <w:rPr>
                              <w:sz w:val="22"/>
                              <w:szCs w:val="22"/>
                              <w:vertAlign w:val="superscript"/>
                              <w:lang w:eastAsia="lt-LT"/>
                            </w:rPr>
                            <w:t>1</w:t>
                          </w:r>
                          <w:r>
                            <w:rPr>
                              <w:sz w:val="22"/>
                              <w:szCs w:val="22"/>
                              <w:lang w:eastAsia="lt-LT"/>
                            </w:rPr>
                            <w:t xml:space="preserve"> straipsnio 5 dalyje, Lietuvos Respublikos finansų ministerijai ir kitų Europos Sąjungos valstybių narių centrinės valdžios institucijoms, dalyvaujančioms rengiant teisės aktus, susijusius su pensijų asociacijų,</w:t>
                          </w:r>
                          <w:r>
                            <w:rPr>
                              <w:b/>
                              <w:sz w:val="22"/>
                              <w:szCs w:val="22"/>
                              <w:lang w:eastAsia="lt-LT"/>
                            </w:rPr>
                            <w:t xml:space="preserve"> </w:t>
                          </w:r>
                          <w:r>
                            <w:rPr>
                              <w:sz w:val="22"/>
                              <w:szCs w:val="22"/>
                              <w:lang w:eastAsia="lt-LT"/>
                            </w:rPr>
                            <w:t>kredito įstaigų, finansų įstaigų, investicines ir draudimo paslaugas teikiančių bendrovių priežiūra, jeigu ji reikalinga jų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a8bacaf1ffc14548bc5d40e7320c9c34"/>
                        <w:lock w:val="sdtLocked"/>
                        <w:richText/>
                      </w:sdtPr>
                      <w:sdtContent>
                        <w:p>
                          <w:pPr>
                            <w:ind w:firstLine="720"/>
                            <w:jc w:val="both"/>
                            <w:rPr>
                              <w:rFonts w:eastAsia="Calibri"/>
                              <w:sz w:val="22"/>
                              <w:szCs w:val="22"/>
                            </w:rPr>
                          </w:pPr>
                          <w:sdt>
                            <w:sdtPr>
                              <w:alias w:val="Numeris"/>
                              <w:tag w:val="nr_a8bacaf1ffc14548bc5d40e7320c9c34"/>
                              <w:lock w:val="sdtLocked"/>
                              <w:richText/>
                            </w:sdtPr>
                            <w:sdtContent>
                              <w:r>
                                <w:rPr>
                                  <w:rFonts w:eastAsia="Calibri"/>
                                  <w:sz w:val="22"/>
                                  <w:szCs w:val="22"/>
                                </w:rPr>
                                <w:t>18</w:t>
                              </w:r>
                            </w:sdtContent>
                          </w:sdt>
                          <w:r>
                            <w:rPr>
                              <w:rFonts w:eastAsia="Calibri"/>
                              <w:sz w:val="22"/>
                              <w:szCs w:val="22"/>
                            </w:rPr>
                            <w:t xml:space="preserve">) kitoms valstybės institucijoms, jeigu ši informacija reikalinga jų funkcijoms atlikti ir jeigu tai būtina dėl finansų rinkos priežiūros, pažeidimų prevencijos arba prižiūrimų finansų rinkos dalyvių pertvarkymo. </w:t>
                          </w:r>
                        </w:p>
                      </w:sdtContent>
                    </w:sdt>
                  </w:sdtContent>
                </w:sdt>
                <w:sdt>
                  <w:sdtPr>
                    <w:alias w:val="43 str. 8 d."/>
                    <w:tag w:val="part_6d944976b5364bbfa248338a992a07a9"/>
                    <w:lock w:val="sdtLocked"/>
                    <w:richText/>
                  </w:sdtPr>
                  <w:sdtContent>
                    <w:p>
                      <w:pPr>
                        <w:ind w:firstLine="720"/>
                        <w:jc w:val="both"/>
                        <w:rPr>
                          <w:rFonts w:eastAsia="Calibri"/>
                          <w:sz w:val="22"/>
                          <w:szCs w:val="22"/>
                        </w:rPr>
                      </w:pPr>
                      <w:sdt>
                        <w:sdtPr>
                          <w:alias w:val="Numeris"/>
                          <w:tag w:val="nr_6d944976b5364bbfa248338a992a07a9"/>
                          <w:lock w:val="sdtLocked"/>
                          <w:richText/>
                        </w:sdtPr>
                        <w:sdtContent>
                          <w:r>
                            <w:rPr>
                              <w:rFonts w:eastAsia="Calibri"/>
                              <w:sz w:val="22"/>
                              <w:szCs w:val="22"/>
                            </w:rPr>
                            <w:t>8</w:t>
                          </w:r>
                        </w:sdtContent>
                      </w:sdt>
                      <w:r>
                        <w:rPr>
                          <w:rFonts w:eastAsia="Calibri"/>
                          <w:sz w:val="22"/>
                          <w:szCs w:val="22"/>
                        </w:rPr>
                        <w:t>. Šio straipsnio 7 dalies 3–7, 12, 14, 16, 17 ir 18 punktuose nurodytoms institucijoms priežiūros tikslais gauta informacija gali būti perduodama, jeigu joms taikomi reikalavimai saugoti informaciją yra ne mažesni, negu nustatyta šiame įstatyme.</w:t>
                      </w:r>
                      <w:r>
                        <w:rPr>
                          <w:rFonts w:eastAsia="Calibri"/>
                          <w:i/>
                          <w:color w:val="595959"/>
                          <w:sz w:val="22"/>
                          <w:szCs w:val="22"/>
                        </w:rPr>
                        <w:t xml:space="preserve"> </w:t>
                      </w:r>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7810c532edaf42c39ff5c251037d5cf5"/>
                    <w:lock w:val="sdtLocked"/>
                    <w:richText/>
                  </w:sdtPr>
                  <w:sdtContent>
                    <w:p>
                      <w:pPr>
                        <w:ind w:firstLine="720"/>
                        <w:jc w:val="both"/>
                        <w:rPr>
                          <w:rFonts w:eastAsia="Calibri"/>
                          <w:sz w:val="22"/>
                          <w:szCs w:val="22"/>
                        </w:rPr>
                      </w:pPr>
                      <w:sdt>
                        <w:sdtPr>
                          <w:alias w:val="Numeris"/>
                          <w:tag w:val="nr_7810c532edaf42c39ff5c251037d5cf5"/>
                          <w:lock w:val="sdtLocked"/>
                          <w:richText/>
                        </w:sdtPr>
                        <w:sdtContent>
                          <w:r>
                            <w:rPr>
                              <w:rFonts w:eastAsia="Calibri"/>
                              <w:sz w:val="22"/>
                              <w:szCs w:val="22"/>
                            </w:rPr>
                            <w:t>10</w:t>
                          </w:r>
                        </w:sdtContent>
                      </w:sdt>
                      <w:r>
                        <w:rPr>
                          <w:rFonts w:eastAsia="Calibri"/>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 17 ir 18 punktus arba šio straipsnio 9 dalį, jeigu yra gautas informaciją pateikusios institucijos arba Europos Sąjungos valstybės narės, kurioje buvo atliktas patikrinimas, priežiūros institucijos sutikimas, ir tik tam tikslui, dėl kurio duotas sutikimas.</w:t>
                      </w:r>
                      <w:r>
                        <w:rPr>
                          <w:rFonts w:eastAsia="Calibri"/>
                          <w:i/>
                          <w:color w:val="595959"/>
                          <w:sz w:val="22"/>
                          <w:szCs w:val="22"/>
                        </w:rPr>
                        <w:t xml:space="preserve"> </w:t>
                      </w:r>
                    </w:p>
                  </w:sdtContent>
                </w:sdt>
                <w:sdt>
                  <w:sdtPr>
                    <w:alias w:val="43 str. 11 d."/>
                    <w:tag w:val="part_b711f22a04524dbab5634523b2ad8f2d"/>
                    <w:lock w:val="sdtLocked"/>
                    <w:richText/>
                  </w:sdtPr>
                  <w:sdtContent>
                    <w:p>
                      <w:pPr>
                        <w:ind w:firstLine="720"/>
                        <w:jc w:val="both"/>
                        <w:rPr>
                          <w:rFonts w:eastAsia="Calibri"/>
                          <w:sz w:val="22"/>
                          <w:szCs w:val="22"/>
                        </w:rPr>
                      </w:pPr>
                      <w:sdt>
                        <w:sdtPr>
                          <w:alias w:val="Numeris"/>
                          <w:tag w:val="nr_b711f22a04524dbab5634523b2ad8f2d"/>
                          <w:lock w:val="sdtLocked"/>
                          <w:richText/>
                        </w:sdtPr>
                        <w:sdtContent>
                          <w:r>
                            <w:rPr>
                              <w:rFonts w:eastAsia="Calibri"/>
                              <w:sz w:val="22"/>
                              <w:szCs w:val="22"/>
                            </w:rPr>
                            <w:t>11</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sdtContent>
                </w:sdt>
                <w:sdt>
                  <w:sdtPr>
                    <w:alias w:val="43 str. 12 d."/>
                    <w:tag w:val="part_6bd9055134384b72bc473a6711aae705"/>
                    <w:lock w:val="sdtLocked"/>
                    <w:richText/>
                  </w:sdtPr>
                  <w:sdtContent>
                    <w:p>
                      <w:pPr>
                        <w:ind w:firstLine="720"/>
                        <w:jc w:val="both"/>
                        <w:rPr>
                          <w:rFonts w:eastAsia="Calibri"/>
                          <w:i/>
                          <w:color w:val="595959"/>
                          <w:sz w:val="22"/>
                          <w:szCs w:val="22"/>
                        </w:rPr>
                      </w:pPr>
                      <w:sdt>
                        <w:sdtPr>
                          <w:alias w:val="Numeris"/>
                          <w:tag w:val="nr_6bd9055134384b72bc473a6711aae705"/>
                          <w:lock w:val="sdtLocked"/>
                          <w:richText/>
                        </w:sdtPr>
                        <w:sdtContent>
                          <w:r>
                            <w:rPr>
                              <w:rFonts w:eastAsia="Calibri"/>
                              <w:sz w:val="22"/>
                              <w:szCs w:val="22"/>
                            </w:rPr>
                            <w:t>12</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pPr>
                      <w:r>
                        <w:rPr>
                          <w:i/>
                          <w:sz w:val="20"/>
                        </w:rPr>
                        <w:t xml:space="preserve">Nr. </w:t>
                      </w:r>
                      <w:hyperlink r:id="rId164"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43-2 str. 5 d."/>
                    <w:tag w:val="part_0330a369541d40169527c62aad03e185"/>
                    <w:lock w:val="sdtLocked"/>
                    <w:richText/>
                  </w:sdtPr>
                  <w:sdtContent>
                    <w:p>
                      <w:pPr>
                        <w:tabs>
                          <w:tab w:val="left" w:pos="993"/>
                        </w:tabs>
                        <w:ind w:firstLine="720"/>
                        <w:jc w:val="both"/>
                        <w:rPr>
                          <w:sz w:val="22"/>
                          <w:szCs w:val="22"/>
                        </w:rPr>
                      </w:pPr>
                      <w:sdt>
                        <w:sdtPr>
                          <w:alias w:val="Numeris"/>
                          <w:tag w:val="nr_0330a369541d40169527c62aad03e185"/>
                          <w:lock w:val="sdtLocked"/>
                          <w:richText/>
                        </w:sdtPr>
                        <w:sdtContent>
                          <w:r>
                            <w:rPr>
                              <w:sz w:val="22"/>
                              <w:szCs w:val="22"/>
                            </w:rPr>
                            <w:t>5</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sdtContent>
                </w:sdt>
                <w:sdt>
                  <w:sdtPr>
                    <w:alias w:val="43-2 str. 6 d."/>
                    <w:tag w:val="part_f9b40c4d1f1b4b70a4af293e8c683881"/>
                    <w:lock w:val="sdtLocked"/>
                    <w:richText/>
                  </w:sdtPr>
                  <w:sdtContent>
                    <w:p>
                      <w:pPr>
                        <w:tabs>
                          <w:tab w:val="left" w:pos="993"/>
                        </w:tabs>
                        <w:ind w:firstLine="720"/>
                        <w:jc w:val="both"/>
                        <w:rPr>
                          <w:sz w:val="22"/>
                          <w:szCs w:val="22"/>
                        </w:rPr>
                      </w:pPr>
                      <w:sdt>
                        <w:sdtPr>
                          <w:alias w:val="Numeris"/>
                          <w:tag w:val="nr_f9b40c4d1f1b4b70a4af293e8c683881"/>
                          <w:lock w:val="sdtLocked"/>
                          <w:richText/>
                        </w:sdtPr>
                        <w:sdtContent>
                          <w:r>
                            <w:rPr>
                              <w:sz w:val="22"/>
                              <w:szCs w:val="22"/>
                            </w:rPr>
                            <w:t>6</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sdtContent>
                </w:sdt>
                <w:sdt>
                  <w:sdtPr>
                    <w:alias w:val="43-2 str. 7 d."/>
                    <w:tag w:val="part_42f04c51e1334e0ebcb0b2f036a49cd0"/>
                    <w:lock w:val="sdtLocked"/>
                    <w:richText/>
                  </w:sdtPr>
                  <w:sdtContent>
                    <w:p>
                      <w:pPr>
                        <w:tabs>
                          <w:tab w:val="left" w:pos="993"/>
                        </w:tabs>
                        <w:ind w:firstLine="720"/>
                        <w:jc w:val="both"/>
                      </w:pPr>
                      <w:sdt>
                        <w:sdtPr>
                          <w:alias w:val="Numeris"/>
                          <w:tag w:val="nr_42f04c51e1334e0ebcb0b2f036a49cd0"/>
                          <w:lock w:val="sdtLocked"/>
                          <w:richText/>
                        </w:sdtPr>
                        <w:sdtContent>
                          <w:r>
                            <w:rPr>
                              <w:sz w:val="22"/>
                              <w:szCs w:val="22"/>
                            </w:rPr>
                            <w:t>7</w:t>
                          </w:r>
                        </w:sdtContent>
                      </w:sdt>
                      <w:r>
                        <w:rPr>
                          <w:sz w:val="22"/>
                          <w:szCs w:val="22"/>
                        </w:rPr>
                        <w:t>. Privalomų nurodymų davimas neatima teisės Lietuvos bankui kartu taikyti ir finansų rinką reglamentuojančiuose įstatymuose nustatytų poveikio priemonių.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6b7f2d1a997948049a932cabccfd458a"/>
                <w:lock w:val="sdtLocked"/>
                <w:richText/>
              </w:sdtPr>
              <w:sdtContent>
                <w:p>
                  <w:pPr>
                    <w:ind w:firstLine="720"/>
                    <w:jc w:val="both"/>
                    <w:rPr>
                      <w:sz w:val="22"/>
                      <w:szCs w:val="22"/>
                      <w:lang w:eastAsia="lt-LT"/>
                    </w:rPr>
                  </w:pPr>
                  <w:sdt>
                    <w:sdtPr>
                      <w:alias w:val="Numeris"/>
                      <w:tag w:val="nr_6b7f2d1a997948049a932cabccfd458a"/>
                      <w:lock w:val="sdtLocked"/>
                      <w:richText/>
                    </w:sdtPr>
                    <w:sdtContent>
                      <w:r>
                        <w:rPr>
                          <w:b/>
                          <w:sz w:val="22"/>
                          <w:szCs w:val="22"/>
                          <w:lang w:eastAsia="lt-LT"/>
                        </w:rPr>
                        <w:t>43</w:t>
                      </w:r>
                      <w:r>
                        <w:rPr>
                          <w:b/>
                          <w:sz w:val="22"/>
                          <w:szCs w:val="22"/>
                          <w:vertAlign w:val="superscript"/>
                          <w:lang w:eastAsia="lt-LT"/>
                        </w:rPr>
                        <w:t>7</w:t>
                      </w:r>
                    </w:sdtContent>
                  </w:sdt>
                  <w:r>
                    <w:rPr>
                      <w:b/>
                      <w:bCs/>
                      <w:sz w:val="22"/>
                      <w:szCs w:val="22"/>
                      <w:lang w:eastAsia="lt-LT"/>
                    </w:rPr>
                    <w:t xml:space="preserve"> straipsnis.</w:t>
                  </w:r>
                  <w:r>
                    <w:rPr>
                      <w:b/>
                      <w:bCs/>
                      <w:sz w:val="22"/>
                      <w:szCs w:val="22"/>
                      <w:vertAlign w:val="superscript"/>
                      <w:lang w:eastAsia="lt-LT"/>
                    </w:rPr>
                    <w:t xml:space="preserve"> </w:t>
                  </w:r>
                  <w:sdt>
                    <w:sdtPr>
                      <w:alias w:val="Pavadinimas"/>
                      <w:tag w:val="title_6b7f2d1a997948049a932cabccfd458a"/>
                      <w:lock w:val="sdtLocked"/>
                      <w:richText/>
                    </w:sdtPr>
                    <w:sdtContent>
                      <w:r>
                        <w:rPr>
                          <w:b/>
                          <w:bCs/>
                          <w:sz w:val="22"/>
                          <w:szCs w:val="22"/>
                          <w:lang w:eastAsia="lt-LT"/>
                        </w:rPr>
                        <w:t>Pranešimas apie pažeidimus</w:t>
                      </w:r>
                    </w:sdtContent>
                  </w:sdt>
                </w:p>
                <w:sdt>
                  <w:sdtPr>
                    <w:alias w:val="43-7 str. 1 d."/>
                    <w:tag w:val="part_c5ddad4b8d6a497f8d3f047701663bcb"/>
                    <w:lock w:val="sdtLocked"/>
                    <w:richText/>
                  </w:sdtPr>
                  <w:sdtContent>
                    <w:p>
                      <w:pPr>
                        <w:ind w:firstLine="720"/>
                        <w:jc w:val="both"/>
                        <w:rPr>
                          <w:sz w:val="22"/>
                          <w:szCs w:val="22"/>
                          <w:lang w:eastAsia="lt-LT"/>
                        </w:rPr>
                      </w:pPr>
                      <w:r>
                        <w:rPr>
                          <w:sz w:val="22"/>
                          <w:szCs w:val="22"/>
                          <w:lang w:eastAsia="lt-LT"/>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w:t>
                      </w:r>
                      <w:r>
                        <w:rPr>
                          <w:b/>
                          <w:sz w:val="22"/>
                          <w:szCs w:val="22"/>
                          <w:lang w:eastAsia="lt-LT"/>
                        </w:rPr>
                        <w:t xml:space="preserve"> </w:t>
                      </w:r>
                      <w:r>
                        <w:rPr>
                          <w:sz w:val="22"/>
                          <w:szCs w:val="22"/>
                          <w:lang w:eastAsia="lt-LT"/>
                        </w:rPr>
                        <w:t>ar jų įgyvendinamuosius teisės aktus, nuostatų pažeidimą. Šios priemonės turi atitikti šiuos reikalavimus:</w:t>
                      </w:r>
                    </w:p>
                    <w:sdt>
                      <w:sdtPr>
                        <w:alias w:val="43-7 str. 1 d. 1 p."/>
                        <w:tag w:val="part_e300c7d2d8634e0980b5bd265c6d0419"/>
                        <w:lock w:val="sdtLocked"/>
                        <w:richText/>
                      </w:sdtPr>
                      <w:sdtContent>
                        <w:p>
                          <w:pPr>
                            <w:ind w:firstLine="720"/>
                            <w:jc w:val="both"/>
                            <w:rPr>
                              <w:sz w:val="22"/>
                              <w:szCs w:val="22"/>
                              <w:lang w:eastAsia="lt-LT"/>
                            </w:rPr>
                          </w:pPr>
                          <w:sdt>
                            <w:sdtPr>
                              <w:alias w:val="Numeris"/>
                              <w:tag w:val="nr_e300c7d2d8634e0980b5bd265c6d0419"/>
                              <w:lock w:val="sdtLocked"/>
                              <w:richText/>
                            </w:sdtPr>
                            <w:sdtContent>
                              <w:r>
                                <w:rPr>
                                  <w:sz w:val="22"/>
                                  <w:szCs w:val="22"/>
                                  <w:lang w:eastAsia="lt-LT"/>
                                </w:rPr>
                                <w:t>1</w:t>
                              </w:r>
                            </w:sdtContent>
                          </w:sdt>
                          <w:r>
                            <w:rPr>
                              <w:sz w:val="22"/>
                              <w:szCs w:val="22"/>
                              <w:lang w:eastAsia="lt-LT"/>
                            </w:rPr>
                            <w:t xml:space="preserve">) numatytos specialios pranešimo apie minėtus pažeidimus gavimo ir vertinimo procedūros; </w:t>
                          </w:r>
                        </w:p>
                      </w:sdtContent>
                    </w:sdt>
                    <w:sdt>
                      <w:sdtPr>
                        <w:alias w:val="43-7 str. 1 d. 2 p."/>
                        <w:tag w:val="part_eee69bb2deb740b8952cbb14de815f2b"/>
                        <w:lock w:val="sdtLocked"/>
                        <w:richText/>
                      </w:sdtPr>
                      <w:sdtContent>
                        <w:p>
                          <w:pPr>
                            <w:ind w:firstLine="720"/>
                            <w:jc w:val="both"/>
                            <w:rPr>
                              <w:sz w:val="22"/>
                              <w:szCs w:val="22"/>
                              <w:lang w:eastAsia="lt-LT"/>
                            </w:rPr>
                          </w:pPr>
                          <w:sdt>
                            <w:sdtPr>
                              <w:alias w:val="Numeris"/>
                              <w:tag w:val="nr_eee69bb2deb740b8952cbb14de815f2b"/>
                              <w:lock w:val="sdtLocked"/>
                              <w:richText/>
                            </w:sdtPr>
                            <w:sdtContent>
                              <w:r>
                                <w:rPr>
                                  <w:sz w:val="22"/>
                                  <w:szCs w:val="22"/>
                                  <w:lang w:eastAsia="lt-LT"/>
                                </w:rPr>
                                <w:t>2</w:t>
                              </w:r>
                            </w:sdtContent>
                          </w:sdt>
                          <w:r>
                            <w:rPr>
                              <w:sz w:val="22"/>
                              <w:szCs w:val="22"/>
                              <w:lang w:eastAsia="lt-LT"/>
                            </w:rPr>
                            <w:t>) užtikrinamas asmens, kuris praneša apie padarytus pažeidimus, konfidencialumas, išskyrus atvejus, kai atskleisti tokią informaciją reikalaujama įstatymų nustatytais atvejais ir tvarka;</w:t>
                          </w:r>
                        </w:p>
                      </w:sdtContent>
                    </w:sdt>
                    <w:sdt>
                      <w:sdtPr>
                        <w:alias w:val="43-7 str. 1 d. 3 p."/>
                        <w:tag w:val="part_8abb0306abd041319394b9750779815e"/>
                        <w:lock w:val="sdtLocked"/>
                        <w:richText/>
                      </w:sdtPr>
                      <w:sdtContent>
                        <w:p>
                          <w:pPr>
                            <w:ind w:firstLine="720"/>
                            <w:jc w:val="both"/>
                            <w:rPr>
                              <w:sz w:val="22"/>
                              <w:szCs w:val="22"/>
                              <w:lang w:eastAsia="lt-LT"/>
                            </w:rPr>
                          </w:pPr>
                          <w:sdt>
                            <w:sdtPr>
                              <w:alias w:val="Numeris"/>
                              <w:tag w:val="nr_8abb0306abd041319394b9750779815e"/>
                              <w:lock w:val="sdtLocked"/>
                              <w:richText/>
                            </w:sdtPr>
                            <w:sdtContent>
                              <w:r>
                                <w:rPr>
                                  <w:sz w:val="22"/>
                                  <w:szCs w:val="22"/>
                                  <w:lang w:eastAsia="lt-LT"/>
                                </w:rPr>
                                <w:t>3</w:t>
                              </w:r>
                            </w:sdtContent>
                          </w:sdt>
                          <w:r>
                            <w:rPr>
                              <w:sz w:val="22"/>
                              <w:szCs w:val="22"/>
                              <w:lang w:eastAsia="lt-LT"/>
                            </w:rPr>
                            <w:t>) asmens duomenys tvarkomi asmens duomenų apsaugą reglamentuojančių teisės aktų nustatyta tvarka;</w:t>
                          </w:r>
                        </w:p>
                      </w:sdtContent>
                    </w:sdt>
                    <w:sdt>
                      <w:sdtPr>
                        <w:alias w:val="43-7 str. 1 d. 4 p."/>
                        <w:tag w:val="part_0f9a70dff2e342b4a3d5f3f8197706b6"/>
                        <w:lock w:val="sdtLocked"/>
                        <w:richText/>
                      </w:sdtPr>
                      <w:sdtContent>
                        <w:p>
                          <w:pPr>
                            <w:ind w:firstLine="720"/>
                            <w:jc w:val="both"/>
                            <w:rPr>
                              <w:i/>
                              <w:sz w:val="20"/>
                            </w:rPr>
                          </w:pPr>
                          <w:sdt>
                            <w:sdtPr>
                              <w:alias w:val="Numeris"/>
                              <w:tag w:val="nr_0f9a70dff2e342b4a3d5f3f8197706b6"/>
                              <w:lock w:val="sdtLocked"/>
                              <w:richText/>
                            </w:sdtPr>
                            <w:sdtContent>
                              <w:r>
                                <w:rPr>
                                  <w:sz w:val="22"/>
                                  <w:szCs w:val="22"/>
                                  <w:lang w:eastAsia="lt-LT"/>
                                </w:rPr>
                                <w:t>4</w:t>
                              </w:r>
                            </w:sdtContent>
                          </w:sdt>
                          <w:r>
                            <w:rPr>
                              <w:sz w:val="22"/>
                              <w:szCs w:val="22"/>
                              <w:lang w:eastAsia="lt-LT"/>
                            </w:rPr>
                            <w:t>) užtikrinama tinkama finansų rinkos dalyvio darbuotojų, kurie praneša apie pažeidimus, apsauga nuo keršto, diskriminacijos ar kito neteisėto ar nesąžiningo elgesio.</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2"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985e13c1541445c586e9e1dab688ac7b"/>
                    <w:lock w:val="sdtLocked"/>
                    <w:richText/>
                  </w:sdtPr>
                  <w:sdtContent>
                    <w:p>
                      <w:pPr>
                        <w:ind w:firstLine="720"/>
                        <w:jc w:val="both"/>
                        <w:rPr>
                          <w:sz w:val="22"/>
                          <w:szCs w:val="22"/>
                        </w:rPr>
                      </w:pPr>
                      <w:sdt>
                        <w:sdtPr>
                          <w:alias w:val="Numeris"/>
                          <w:tag w:val="nr_985e13c1541445c586e9e1dab688ac7b"/>
                          <w:lock w:val="sdtLocked"/>
                          <w:richText/>
                        </w:sdtPr>
                        <w:sdtContent>
                          <w:r>
                            <w:rPr>
                              <w:color w:val="000000"/>
                              <w:sz w:val="22"/>
                              <w:szCs w:val="22"/>
                            </w:rPr>
                            <w:t>1</w:t>
                          </w:r>
                        </w:sdtContent>
                      </w:sdt>
                      <w:r>
                        <w:rPr>
                          <w:color w:val="000000"/>
                          <w:sz w:val="22"/>
                          <w:szCs w:val="22"/>
                        </w:rPr>
                        <w:t xml:space="preserve">. Lietuvos bankas nagrinėja šio straipsnio 2 dalyje nurodytų vartotojų (toliau – vartotojai) ginčus su </w:t>
                      </w:r>
                      <w:r>
                        <w:rPr>
                          <w:rFonts w:cs="Arial"/>
                          <w:color w:val="000000"/>
                          <w:sz w:val="22"/>
                          <w:szCs w:val="22"/>
                        </w:rPr>
                        <w:t>šio įstatymo 42 straipsnyje nurodytais finansų rinkos dalyviais ir kitais juridiniais asmenimis</w:t>
                      </w:r>
                      <w:r>
                        <w:rPr>
                          <w:color w:val="000000"/>
                          <w:sz w:val="22"/>
                          <w:szCs w:val="22"/>
                        </w:rPr>
                        <w:t>, kylančius iš finansinių ir (arba) papildomų investicinių paslaugų teikimo, iš draudimo paslaugų sutarties ar susijusius su ja, jeigu tokiai sutarčiai yra taikytina Lietuvos Respublikos teisė</w:t>
                      </w:r>
                      <w:r>
                        <w:rPr>
                          <w:rFonts w:cs="Arial"/>
                          <w:color w:val="000000"/>
                          <w:sz w:val="22"/>
                          <w:szCs w:val="22"/>
                        </w:rPr>
                        <w:t>,</w:t>
                      </w:r>
                      <w:r>
                        <w:rPr>
                          <w:rFonts w:ascii="Arial" w:hAnsi="Arial" w:cs="Arial"/>
                          <w:color w:val="000000"/>
                          <w:sz w:val="22"/>
                          <w:szCs w:val="22"/>
                        </w:rPr>
                        <w:t xml:space="preserve"> </w:t>
                      </w:r>
                      <w:r>
                        <w:rPr>
                          <w:rFonts w:cs="Arial"/>
                          <w:color w:val="000000"/>
                          <w:sz w:val="22"/>
                          <w:szCs w:val="22"/>
                        </w:rPr>
                        <w:t>taip pat vartotojų ginčus su kitais ūkio subjektais, kylančius dėl Lietuvos Respublikos mokėjimų įstatyme nustatytų reikalavimų laikymosi, kai ginčo nagrinėjimas Lietuvos bankui priskirtas finansų rinką reglamentuojančiuose įstatymuose</w:t>
                      </w:r>
                      <w:r>
                        <w:rPr>
                          <w:color w:val="000000"/>
                          <w:sz w:val="22"/>
                          <w:szCs w:val="22"/>
                        </w:rPr>
                        <w:t>.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e9553f1ecaa743d08c13c0d891377729"/>
                <w:lock w:val="sdtLocked"/>
                <w:richText/>
              </w:sdtPr>
              <w:sdtContent>
                <w:p>
                  <w:pPr>
                    <w:ind w:firstLine="720"/>
                    <w:jc w:val="both"/>
                    <w:rPr>
                      <w:sz w:val="22"/>
                      <w:szCs w:val="22"/>
                    </w:rPr>
                  </w:pPr>
                  <w:sdt>
                    <w:sdtPr>
                      <w:alias w:val="Numeris"/>
                      <w:tag w:val="nr_e9553f1ecaa743d08c13c0d891377729"/>
                      <w:lock w:val="sdtLocked"/>
                      <w:richText/>
                    </w:sdtPr>
                    <w:sdtContent>
                      <w:r>
                        <w:rPr>
                          <w:b/>
                          <w:sz w:val="22"/>
                          <w:szCs w:val="22"/>
                        </w:rPr>
                        <w:t>49</w:t>
                      </w:r>
                    </w:sdtContent>
                  </w:sdt>
                  <w:r>
                    <w:rPr>
                      <w:b/>
                      <w:sz w:val="22"/>
                      <w:szCs w:val="22"/>
                    </w:rPr>
                    <w:t xml:space="preserve"> straipsnis. </w:t>
                  </w:r>
                  <w:sdt>
                    <w:sdtPr>
                      <w:alias w:val="Pavadinimas"/>
                      <w:tag w:val="title_e9553f1ecaa743d08c13c0d891377729"/>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5"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d2646479b57146039566b62d239cdb92"/>
                <w:lock w:val="sdtLocked"/>
                <w:richText/>
              </w:sdtPr>
              <w:sdtContent>
                <w:sdt>
                  <w:sdtPr>
                    <w:alias w:val="Pavadinimas"/>
                    <w:tag w:val="title_d2646479b57146039566b62d239cdb92"/>
                    <w:lock w:val="sdtLocked"/>
                    <w:richText/>
                  </w:sdtPr>
                  <w:sdtContent>
                    <w:p>
                      <w:pPr>
                        <w:ind w:left="2520" w:hanging="1800"/>
                        <w:jc w:val="both"/>
                        <w:rPr>
                          <w:b/>
                          <w:sz w:val="22"/>
                        </w:rPr>
                      </w:pPr>
                      <w:sdt>
                        <w:sdtPr>
                          <w:alias w:val="Numeris"/>
                          <w:tag w:val="nr_d2646479b57146039566b62d239cdb92"/>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7"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633fbabda40945fc80d841c74069c2fd"/>
        <w:lock w:val="sdtLocked"/>
        <w:richText/>
      </w:sdtPr>
      <w:sdtContent>
        <w:p>
          <w:pPr>
            <w:ind w:firstLine="6480"/>
            <w:jc w:val="both"/>
            <w:sectPr>
              <w:headerReference w:type="even" r:id="rId120"/>
              <w:headerReference w:type="default" r:id="rId121"/>
              <w:footerReference w:type="even" r:id="rId122"/>
              <w:footerReference w:type="default" r:id="rId123"/>
              <w:headerReference w:type="first" r:id="rId124"/>
              <w:footerReference w:type="first" r:id="rId125"/>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633fbabda40945fc80d841c74069c2fd"/>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633fbabda40945fc80d841c74069c2fd"/>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387645e0707d43e5a7e435570d5a483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387645e0707d43e5a7e435570d5a4837"/>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387645e0707d43e5a7e435570d5a4837"/>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5045bf706a814713b9fa704af338909c"/>
        <w:lock w:val="sdtLocked"/>
        <w:richText/>
      </w:sdtPr>
      <w:sdtContent>
        <w:p>
          <w:pPr>
            <w:ind w:firstLine="6480"/>
            <w:sectPr>
              <w:pgSz w:w="11907" w:h="16840" w:code="9"/>
              <w:pgMar w:top="1134" w:right="851" w:bottom="1134" w:left="1701" w:header="709" w:footer="709" w:gutter="0"/>
              <w:pgNumType w:start="1"/>
              <w:cols w:space="1296"/>
              <w:titlePg/>
            </w:sectPr>
          </w:pPr>
        </w:p>
        <w:p>
          <w:pPr>
            <w:ind w:firstLine="6480"/>
            <w:rPr>
              <w:sz w:val="22"/>
              <w:szCs w:val="22"/>
            </w:rPr>
          </w:pPr>
          <w:r>
            <w:rPr>
              <w:bCs/>
              <w:sz w:val="22"/>
              <w:szCs w:val="22"/>
            </w:rPr>
            <w:t>Lietuvos Respublikos</w:t>
          </w:r>
        </w:p>
        <w:p>
          <w:pPr>
            <w:ind w:firstLine="6480"/>
            <w:rPr>
              <w:bCs/>
              <w:sz w:val="22"/>
              <w:szCs w:val="22"/>
            </w:rPr>
          </w:pPr>
          <w:r>
            <w:rPr>
              <w:bCs/>
              <w:sz w:val="22"/>
              <w:szCs w:val="22"/>
            </w:rPr>
            <w:t xml:space="preserve">Lietuvos banko įstatymo </w:t>
          </w:r>
        </w:p>
        <w:p>
          <w:pPr>
            <w:ind w:firstLine="6480"/>
            <w:rPr>
              <w:bCs/>
              <w:sz w:val="22"/>
              <w:szCs w:val="22"/>
            </w:rPr>
          </w:pPr>
          <w:sdt>
            <w:sdtPr>
              <w:alias w:val="Numeris"/>
              <w:tag w:val="nr_5045bf706a814713b9fa704af338909c"/>
              <w:lock w:val="sdtLocked"/>
              <w:richText/>
            </w:sdtPr>
            <w:sdtContent>
              <w:r>
                <w:rPr>
                  <w:bCs/>
                  <w:sz w:val="22"/>
                  <w:szCs w:val="22"/>
                </w:rPr>
                <w:t>3</w:t>
              </w:r>
            </w:sdtContent>
          </w:sdt>
          <w:r>
            <w:rPr>
              <w:bCs/>
              <w:sz w:val="22"/>
              <w:szCs w:val="22"/>
            </w:rPr>
            <w:t xml:space="preserve"> priedas</w:t>
          </w:r>
        </w:p>
        <w:p>
          <w:pPr>
            <w:ind w:firstLine="720"/>
            <w:jc w:val="both"/>
            <w:rPr>
              <w:bCs/>
              <w:sz w:val="22"/>
              <w:szCs w:val="22"/>
            </w:rPr>
          </w:pPr>
        </w:p>
        <w:p>
          <w:pPr>
            <w:jc w:val="center"/>
            <w:rPr>
              <w:b/>
              <w:bCs/>
              <w:sz w:val="22"/>
              <w:szCs w:val="22"/>
            </w:rPr>
          </w:pPr>
          <w:sdt>
            <w:sdtPr>
              <w:alias w:val="Pavadinimas"/>
              <w:tag w:val="title_5045bf706a814713b9fa704af338909c"/>
              <w:lock w:val="sdtLocked"/>
              <w:richText/>
            </w:sdtPr>
            <w:sdtContent>
              <w:r>
                <w:rPr>
                  <w:b/>
                  <w:bCs/>
                  <w:sz w:val="22"/>
                  <w:szCs w:val="22"/>
                </w:rPr>
                <w:t>ĮGYVENDINAMI EUROPOS SĄJUNGOS TEISĖS AKTAI</w:t>
              </w:r>
            </w:sdtContent>
          </w:sdt>
        </w:p>
        <w:p>
          <w:pPr>
            <w:ind w:firstLine="720"/>
            <w:jc w:val="both"/>
            <w:rPr>
              <w:b/>
              <w:sz w:val="22"/>
              <w:szCs w:val="22"/>
            </w:rPr>
          </w:pPr>
        </w:p>
        <w:sdt>
          <w:sdtPr>
            <w:alias w:val="3 pr. 1 p."/>
            <w:tag w:val="part_5740c056c215431c9b09670a2d39b7c5"/>
            <w:lock w:val="sdtLocked"/>
            <w:richText/>
          </w:sdtPr>
          <w:sdtContent>
            <w:p>
              <w:pPr>
                <w:ind w:firstLine="720"/>
                <w:jc w:val="both"/>
                <w:rPr>
                  <w:sz w:val="22"/>
                  <w:szCs w:val="22"/>
                </w:rPr>
              </w:pPr>
              <w:sdt>
                <w:sdtPr>
                  <w:alias w:val="Numeris"/>
                  <w:tag w:val="nr_5740c056c215431c9b09670a2d39b7c5"/>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136a0893ed034314a1a2727079b0e7ef"/>
            <w:lock w:val="sdtLocked"/>
            <w:richText/>
          </w:sdtPr>
          <w:sdtContent>
            <w:p>
              <w:pPr>
                <w:ind w:firstLine="720"/>
                <w:jc w:val="both"/>
                <w:rPr>
                  <w:sz w:val="22"/>
                  <w:szCs w:val="22"/>
                </w:rPr>
              </w:pPr>
              <w:sdt>
                <w:sdtPr>
                  <w:alias w:val="Numeris"/>
                  <w:tag w:val="nr_136a0893ed034314a1a2727079b0e7ef"/>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5cc3bbb174de433f8aff9f6a35bfd87f"/>
            <w:lock w:val="sdtLocked"/>
            <w:richText/>
          </w:sdtPr>
          <w:sdtContent>
            <w:p>
              <w:pPr>
                <w:ind w:firstLine="720"/>
                <w:jc w:val="both"/>
                <w:rPr>
                  <w:sz w:val="22"/>
                  <w:szCs w:val="22"/>
                </w:rPr>
              </w:pPr>
              <w:sdt>
                <w:sdtPr>
                  <w:alias w:val="Numeris"/>
                  <w:tag w:val="nr_5cc3bbb174de433f8aff9f6a35bfd87f"/>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 2004 m</w:t>
              </w:r>
              <w:r>
                <w:rPr>
                  <w:i/>
                  <w:sz w:val="22"/>
                  <w:szCs w:val="22"/>
                </w:rPr>
                <w:t>. specialusis leidimas</w:t>
              </w:r>
              <w:r>
                <w:rPr>
                  <w:sz w:val="22"/>
                  <w:szCs w:val="22"/>
                </w:rPr>
                <w:t xml:space="preserve">, 10 skyrius, 1 tomas, p. 27). </w:t>
              </w:r>
            </w:p>
          </w:sdtContent>
        </w:sdt>
        <w:sdt>
          <w:sdtPr>
            <w:alias w:val="3 pr. 4 p."/>
            <w:tag w:val="part_1230fda5b403452eadc96a40cc7f95aa"/>
            <w:lock w:val="sdtLocked"/>
            <w:richText/>
          </w:sdtPr>
          <w:sdtContent>
            <w:p>
              <w:pPr>
                <w:ind w:firstLine="720"/>
                <w:jc w:val="both"/>
                <w:rPr>
                  <w:sz w:val="22"/>
                  <w:szCs w:val="22"/>
                </w:rPr>
              </w:pPr>
              <w:sdt>
                <w:sdtPr>
                  <w:alias w:val="Numeris"/>
                  <w:tag w:val="nr_1230fda5b403452eadc96a40cc7f95aa"/>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2004 m. </w:t>
              </w:r>
              <w:r>
                <w:rPr>
                  <w:i/>
                  <w:sz w:val="22"/>
                  <w:szCs w:val="22"/>
                </w:rPr>
                <w:t>specialusis leidimas</w:t>
              </w:r>
              <w:r>
                <w:rPr>
                  <w:sz w:val="22"/>
                  <w:szCs w:val="22"/>
                </w:rPr>
                <w:t xml:space="preserve">, 10 skyrius, 1 tomas, p. 30). </w:t>
              </w:r>
            </w:p>
          </w:sdtContent>
        </w:sdt>
        <w:sdt>
          <w:sdtPr>
            <w:alias w:val="3 pr. 5 p."/>
            <w:tag w:val="part_28583aa80503400781e8c44c8523fb8b"/>
            <w:lock w:val="sdtLocked"/>
            <w:richText/>
          </w:sdtPr>
          <w:sdtContent>
            <w:p>
              <w:pPr>
                <w:ind w:firstLine="720"/>
                <w:jc w:val="both"/>
                <w:rPr>
                  <w:sz w:val="22"/>
                  <w:szCs w:val="22"/>
                </w:rPr>
              </w:pPr>
              <w:sdt>
                <w:sdtPr>
                  <w:alias w:val="Numeris"/>
                  <w:tag w:val="nr_28583aa80503400781e8c44c8523fb8b"/>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(OL 2009 L 17, p. 1).</w:t>
              </w:r>
            </w:p>
          </w:sdtContent>
        </w:sdt>
        <w:sdt>
          <w:sdtPr>
            <w:alias w:val="3 pr. 6 p."/>
            <w:tag w:val="part_ad46fb837e154c8281c095284222cfa2"/>
            <w:lock w:val="sdtLocked"/>
            <w:richText/>
          </w:sdtPr>
          <w:sdtContent>
            <w:p>
              <w:pPr>
                <w:ind w:firstLine="720"/>
                <w:jc w:val="both"/>
                <w:rPr>
                  <w:sz w:val="22"/>
                  <w:szCs w:val="22"/>
                </w:rPr>
              </w:pPr>
              <w:sdt>
                <w:sdtPr>
                  <w:alias w:val="Numeris"/>
                  <w:tag w:val="nr_ad46fb837e154c8281c095284222cfa2"/>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2004 m. </w:t>
              </w:r>
              <w:r>
                <w:rPr>
                  <w:i/>
                  <w:sz w:val="22"/>
                  <w:szCs w:val="22"/>
                </w:rPr>
                <w:t>specialusis leidimas</w:t>
              </w:r>
              <w:r>
                <w:rPr>
                  <w:sz w:val="22"/>
                  <w:szCs w:val="22"/>
                </w:rPr>
                <w:t>, 19 skyrius, 4 tomas, p. 157).</w:t>
              </w:r>
            </w:p>
          </w:sdtContent>
        </w:sdt>
        <w:sdt>
          <w:sdtPr>
            <w:alias w:val="3 pr. 7 p."/>
            <w:tag w:val="part_3826967e29de42f5b460e5f4698daabb"/>
            <w:lock w:val="sdtLocked"/>
            <w:richText/>
          </w:sdtPr>
          <w:sdtContent>
            <w:p>
              <w:pPr>
                <w:ind w:firstLine="720"/>
                <w:jc w:val="both"/>
                <w:rPr>
                  <w:sz w:val="22"/>
                  <w:szCs w:val="22"/>
                </w:rPr>
              </w:pPr>
              <w:sdt>
                <w:sdtPr>
                  <w:alias w:val="Numeris"/>
                  <w:tag w:val="nr_3826967e29de42f5b460e5f4698daabb"/>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2004 m. </w:t>
              </w:r>
              <w:r>
                <w:rPr>
                  <w:i/>
                  <w:sz w:val="22"/>
                  <w:szCs w:val="22"/>
                </w:rPr>
                <w:t>specialusis leidimas</w:t>
              </w:r>
              <w:r>
                <w:rPr>
                  <w:sz w:val="22"/>
                  <w:szCs w:val="22"/>
                </w:rPr>
                <w:t>, 10 skyrius, 3 tomas, p. 89).</w:t>
              </w:r>
            </w:p>
          </w:sdtContent>
        </w:sdt>
        <w:sdt>
          <w:sdtPr>
            <w:alias w:val="3 pr. 8 p."/>
            <w:tag w:val="part_e168ad285fb844a29b7c847d7a65267e"/>
            <w:lock w:val="sdtLocked"/>
            <w:richText/>
          </w:sdtPr>
          <w:sdtContent>
            <w:p>
              <w:pPr>
                <w:ind w:firstLine="720"/>
                <w:jc w:val="both"/>
                <w:rPr>
                  <w:sz w:val="22"/>
                  <w:szCs w:val="22"/>
                </w:rPr>
              </w:pPr>
              <w:sdt>
                <w:sdtPr>
                  <w:alias w:val="Numeris"/>
                  <w:tag w:val="nr_e168ad285fb844a29b7c847d7a65267e"/>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33504be4c714072919ad2e37b5b5cc3"/>
            <w:lock w:val="sdtLocked"/>
            <w:richText/>
          </w:sdtPr>
          <w:sdtContent>
            <w:p>
              <w:pPr>
                <w:ind w:firstLine="720"/>
                <w:jc w:val="both"/>
                <w:rPr>
                  <w:sz w:val="22"/>
                  <w:szCs w:val="22"/>
                </w:rPr>
              </w:pPr>
              <w:sdt>
                <w:sdtPr>
                  <w:alias w:val="Numeris"/>
                  <w:tag w:val="nr_b33504be4c714072919ad2e37b5b5cc3"/>
                  <w:lock w:val="sdtLocked"/>
                  <w:richText/>
                </w:sdtPr>
                <w:sdtContent>
                  <w:r>
                    <w:rPr>
                      <w:sz w:val="22"/>
                      <w:szCs w:val="22"/>
                    </w:rPr>
                    <w:t>9</w:t>
                  </w:r>
                </w:sdtContent>
              </w:sdt>
              <w:r>
                <w:rPr>
                  <w:sz w:val="22"/>
                  <w:szCs w:val="22"/>
                </w:rPr>
                <w:t>. 2010 m. rugsėjo 16 d. Europos Centrinio Banko sprendimas ECB/2010/14 dėl eurų banknotų autentiškumo ir tinkamumo apyvartai tikrinimo bei pakartotinio išleidimo į apyvartą (OL 2010 L 267, p. 1) su paskutiniais pakeitimais, padarytais 2012 m. rugsėjo 7 d. Europos Centrinio Banko sprendimu ECB/2012/19 (OL 2012 L 253, p. 19).</w:t>
              </w:r>
            </w:p>
          </w:sdtContent>
        </w:sdt>
        <w:sdt>
          <w:sdtPr>
            <w:alias w:val="3 pr. 10 p."/>
            <w:tag w:val="part_56d811fde9b346938a6c482044d873a4"/>
            <w:lock w:val="sdtLocked"/>
            <w:richText/>
          </w:sdtPr>
          <w:sdtContent>
            <w:p>
              <w:pPr>
                <w:tabs>
                  <w:tab w:val="left" w:pos="3828"/>
                </w:tabs>
                <w:ind w:firstLine="720"/>
                <w:jc w:val="both"/>
                <w:rPr>
                  <w:sz w:val="22"/>
                  <w:szCs w:val="22"/>
                </w:rPr>
              </w:pPr>
              <w:sdt>
                <w:sdtPr>
                  <w:alias w:val="Numeris"/>
                  <w:tag w:val="nr_56d811fde9b346938a6c482044d873a4"/>
                  <w:lock w:val="sdtLocked"/>
                  <w:richText/>
                </w:sdtPr>
                <w:sdtContent>
                  <w:r>
                    <w:rPr>
                      <w:sz w:val="22"/>
                      <w:szCs w:val="22"/>
                    </w:rPr>
                    <w:t>10</w:t>
                  </w:r>
                </w:sdtContent>
              </w:sdt>
              <w:r>
                <w:rPr>
                  <w:sz w:val="22"/>
                  <w:szCs w:val="22"/>
                </w:rPr>
                <w:t>. 2010 m. gruodžio 15 d. Europos Parlamento ir Tarybos reglamentas (ES) Nr. 1210/2010 dėl euro monetų autentiškumo tikrinimo ir apyvartai netinkamų euro monetų tvarkymo (OL 2010 L 339, p. 1).</w:t>
              </w:r>
            </w:p>
          </w:sdtContent>
        </w:sdt>
        <w:sdt>
          <w:sdtPr>
            <w:alias w:val="3 pr. 11 p."/>
            <w:tag w:val="part_1d8ed670baa44b4cb6ebc48de8de85fa"/>
            <w:lock w:val="sdtLocked"/>
            <w:richText/>
          </w:sdtPr>
          <w:sdtContent>
            <w:p>
              <w:pPr>
                <w:tabs>
                  <w:tab w:val="left" w:pos="3828"/>
                </w:tabs>
                <w:ind w:firstLine="720"/>
                <w:jc w:val="both"/>
                <w:rPr>
                  <w:sz w:val="22"/>
                  <w:szCs w:val="22"/>
                </w:rPr>
              </w:pPr>
              <w:sdt>
                <w:sdtPr>
                  <w:alias w:val="Numeris"/>
                  <w:tag w:val="nr_1d8ed670baa44b4cb6ebc48de8de85fa"/>
                  <w:lock w:val="sdtLocked"/>
                  <w:richText/>
                </w:sdtPr>
                <w:sdtContent>
                  <w:r>
                    <w:rPr>
                      <w:sz w:val="22"/>
                      <w:szCs w:val="22"/>
                    </w:rPr>
                    <w:t>11</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2 p."/>
            <w:tag w:val="part_d301fa12f12648cbaeec19f06a41608c"/>
            <w:lock w:val="sdtLocked"/>
            <w:richText/>
          </w:sdtPr>
          <w:sdtContent>
            <w:p>
              <w:pPr>
                <w:tabs>
                  <w:tab w:val="left" w:pos="567"/>
                  <w:tab w:val="left" w:pos="3828"/>
                </w:tabs>
                <w:ind w:firstLine="720"/>
                <w:jc w:val="both"/>
                <w:rPr>
                  <w:sz w:val="22"/>
                  <w:szCs w:val="22"/>
                </w:rPr>
              </w:pPr>
              <w:sdt>
                <w:sdtPr>
                  <w:alias w:val="Numeris"/>
                  <w:tag w:val="nr_d301fa12f12648cbaeec19f06a41608c"/>
                  <w:lock w:val="sdtLocked"/>
                  <w:richText/>
                </w:sdtPr>
                <w:sdtContent>
                  <w:r>
                    <w:rPr>
                      <w:sz w:val="22"/>
                      <w:szCs w:val="22"/>
                    </w:rPr>
                    <w:t>12</w:t>
                  </w:r>
                </w:sdtContent>
              </w:sdt>
              <w:r>
                <w:rPr>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(OL 2014 L 173, p. 190).</w:t>
              </w:r>
            </w:p>
          </w:sdtContent>
        </w:sdt>
        <w:sdt>
          <w:sdtPr>
            <w:alias w:val="3 pr. 13 p."/>
            <w:tag w:val="part_d1fafe86492d4d2f80e757d13999db14"/>
            <w:lock w:val="sdtLocked"/>
            <w:richText/>
          </w:sdtPr>
          <w:sdtContent>
            <w:p>
              <w:pPr>
                <w:tabs>
                  <w:tab w:val="left" w:pos="567"/>
                  <w:tab w:val="left" w:pos="3828"/>
                </w:tabs>
                <w:ind w:firstLine="720"/>
                <w:jc w:val="both"/>
                <w:rPr>
                  <w:i/>
                  <w:sz w:val="22"/>
                  <w:szCs w:val="22"/>
                </w:rPr>
              </w:pPr>
              <w:sdt>
                <w:sdtPr>
                  <w:alias w:val="Numeris"/>
                  <w:tag w:val="nr_d1fafe86492d4d2f80e757d13999db14"/>
                  <w:lock w:val="sdtLocked"/>
                  <w:richText/>
                </w:sdtPr>
                <w:sdtContent>
                  <w:r>
                    <w:rPr>
                      <w:bCs/>
                      <w:sz w:val="22"/>
                      <w:szCs w:val="22"/>
                    </w:rPr>
                    <w:t>13</w:t>
                  </w:r>
                </w:sdtContent>
              </w:sdt>
              <w:r>
                <w:rPr>
                  <w:bCs/>
                  <w:sz w:val="22"/>
                  <w:szCs w:val="22"/>
                </w:rPr>
                <w:t>. 2014 m. lapkričio 26 d. Europos Parlamento ir Tarybos reglamentas (ES) Nr. 1286/2014 dėl mažmeninių investicinių produktų paketų ir draudimo principu pagrįstų investicinių produktų (MIPP ir DIP) pagrindinės informacijos dokumentų (OL 2014, L 352, p. 1).</w:t>
              </w:r>
              <w:r>
                <w:t xml:space="preserve"> </w:t>
              </w:r>
            </w:p>
          </w:sdtContent>
        </w:sdt>
        <w:sdt>
          <w:sdtPr>
            <w:alias w:val="14 p."/>
            <w:tag w:val="part_5241dac89320408d9f2caf8793a2588f"/>
            <w:lock w:val="sdtLocked"/>
            <w:richText/>
          </w:sdtPr>
          <w:sdtContent>
            <w:p>
              <w:pPr>
                <w:ind w:firstLine="720"/>
                <w:jc w:val="both"/>
                <w:rPr>
                  <w:i/>
                  <w:sz w:val="22"/>
                  <w:szCs w:val="22"/>
                </w:rPr>
              </w:pPr>
              <w:sdt>
                <w:sdtPr>
                  <w:alias w:val="Numeris"/>
                  <w:tag w:val="nr_5241dac89320408d9f2caf8793a2588f"/>
                  <w:lock w:val="sdtLocked"/>
                  <w:richText/>
                </w:sdtPr>
                <w:sdtContent>
                  <w:r>
                    <w:rPr>
                      <w:bCs/>
                      <w:sz w:val="22"/>
                      <w:szCs w:val="22"/>
                      <w:lang w:eastAsia="lt-LT"/>
                    </w:rPr>
                    <w:t>14</w:t>
                  </w:r>
                </w:sdtContent>
              </w:sdt>
              <w:r>
                <w:rPr>
                  <w:bCs/>
                  <w:sz w:val="22"/>
                  <w:szCs w:val="22"/>
                  <w:lang w:eastAsia="lt-LT"/>
                </w:rPr>
                <w:t>. 2017 m. birželio 14 d. Europos Parlamento ir Tarybos reglamentas (ES) 2017/1129 dėl prospekto, kuris turi būti skelbiamas, kai vertybiniai popieriai siūlomi viešai arba įtraukiami į prekybos reguliuojamoje rinkoje sąrašą, ir kuriuo panaikinama Direktyva 2003/71/EB (OL 2017 L 168, p. 12).</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3 pr. 15 p."/>
            <w:tag w:val="part_6a58b517c1b6492e9f8b02cc3a9dda97"/>
            <w:lock w:val="sdtLocked"/>
            <w:richText/>
          </w:sdtPr>
          <w:sdtContent>
            <w:p>
              <w:pPr>
                <w:ind w:firstLine="720"/>
                <w:jc w:val="both"/>
                <w:rPr>
                  <w:i/>
                  <w:sz w:val="22"/>
                  <w:szCs w:val="22"/>
                </w:rPr>
              </w:pPr>
              <w:sdt>
                <w:sdtPr>
                  <w:alias w:val="Numeris"/>
                  <w:tag w:val="nr_6a58b517c1b6492e9f8b02cc3a9dda97"/>
                  <w:lock w:val="sdtLocked"/>
                  <w:richText/>
                </w:sdtPr>
                <w:sdtContent>
                  <w:r>
                    <w:rPr>
                      <w:bCs/>
                      <w:sz w:val="22"/>
                      <w:szCs w:val="22"/>
                    </w:rPr>
                    <w:t>15</w:t>
                  </w:r>
                </w:sdtContent>
              </w:sdt>
              <w:r>
                <w:rPr>
                  <w:bCs/>
                  <w:sz w:val="22"/>
                  <w:szCs w:val="22"/>
                </w:rPr>
                <w:t>. 2017 m. birželio 14 d. Europos Parlamento ir Tarybos reglamentas (ES) 2017/1131 dėl pinigų rinkos fondų (OL 2017 L 169, p. 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15-1 p."/>
            <w:tag w:val="part_a9fc752eae2444afb192050502a05faf"/>
            <w:lock w:val="sdtLocked"/>
            <w:richText/>
          </w:sdtPr>
          <w:sdtContent>
            <w:p>
              <w:pPr>
                <w:ind w:firstLine="720"/>
                <w:jc w:val="both"/>
                <w:rPr>
                  <w:i/>
                  <w:sz w:val="22"/>
                  <w:szCs w:val="22"/>
                </w:rPr>
              </w:pPr>
              <w:sdt>
                <w:sdtPr>
                  <w:alias w:val="Numeris"/>
                  <w:tag w:val="nr_a9fc752eae2444afb192050502a05faf"/>
                  <w:lock w:val="sdtLocked"/>
                  <w:richText/>
                </w:sdtPr>
                <w:sdtContent>
                  <w:r>
                    <w:rPr>
                      <w:sz w:val="22"/>
                      <w:szCs w:val="22"/>
                      <w:lang w:eastAsia="lt-LT"/>
                    </w:rPr>
                    <w:t>15</w:t>
                  </w:r>
                  <w:r>
                    <w:rPr>
                      <w:sz w:val="22"/>
                      <w:szCs w:val="22"/>
                      <w:vertAlign w:val="superscript"/>
                      <w:lang w:eastAsia="lt-LT"/>
                    </w:rPr>
                    <w:t>1</w:t>
                  </w:r>
                </w:sdtContent>
              </w:sdt>
              <w:r>
                <w:rPr>
                  <w:sz w:val="22"/>
                  <w:szCs w:val="22"/>
                  <w:lang w:eastAsia="lt-LT"/>
                </w:rPr>
                <w:t>. 2018 m. gegužės 30 d. Europos Parlamento ir Tarybos direktyva (ES) 2018/843, kuria iš dalies keičiama Direktyva (ES) 2015/849 dėl finansų sistemos naudojimo pinigų plovimui ar teroristų finansavimui prevencijos ir iš dalies keičiamos direktyvos 2009/138/EB ir 2013/36/ES (OL 2018 L 156, p. 43).</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16 p."/>
            <w:tag w:val="part_a499f09bf954481c9c112e22ed6cba0f"/>
            <w:lock w:val="sdtLocked"/>
            <w:richText/>
          </w:sdtPr>
          <w:sdtContent>
            <w:p>
              <w:pPr>
                <w:ind w:firstLine="720"/>
                <w:jc w:val="both"/>
                <w:rPr>
                  <w:i/>
                  <w:sz w:val="22"/>
                  <w:szCs w:val="22"/>
                </w:rPr>
              </w:pPr>
              <w:sdt>
                <w:sdtPr>
                  <w:alias w:val="Numeris"/>
                  <w:tag w:val="nr_a499f09bf954481c9c112e22ed6cba0f"/>
                  <w:lock w:val="sdtLocked"/>
                  <w:richText/>
                </w:sdtPr>
                <w:sdtContent>
                  <w:r>
                    <w:rPr>
                      <w:sz w:val="22"/>
                      <w:szCs w:val="22"/>
                      <w:lang w:eastAsia="lt-LT"/>
                    </w:rPr>
                    <w:t>16</w:t>
                  </w:r>
                </w:sdtContent>
              </w:sdt>
              <w:r>
                <w:rPr>
                  <w:sz w:val="22"/>
                  <w:szCs w:val="22"/>
                  <w:lang w:eastAsia="lt-LT"/>
                </w:rPr>
                <w:t xml:space="preserve">. </w:t>
              </w:r>
              <w:r>
                <w:rPr>
                  <w:bCs/>
                  <w:sz w:val="22"/>
                  <w:szCs w:val="22"/>
                </w:rPr>
                <w:t>2017 m. gruodžio 12 d.</w:t>
              </w:r>
              <w:r>
                <w:rPr>
                  <w:sz w:val="22"/>
                  <w:szCs w:val="22"/>
                </w:rPr>
                <w:t xml:space="preserve"> Europos Parlamento ir Tarybos reglamentas </w:t>
              </w:r>
              <w:r>
                <w:rPr>
                  <w:bCs/>
                  <w:sz w:val="22"/>
                  <w:szCs w:val="22"/>
                </w:rPr>
                <w:t>(ES) 2017/2394 dėl nacionalinių institucijų, atsakingų už vartotojų apsaugos teisės aktų vykdymo užtikrinimą, bendradarbiavimo, kuriuo panaikinamas Reglamentas (EB) Nr. 2006/2004 (OL</w:t>
              </w:r>
              <w:r>
                <w:rPr>
                  <w:rFonts w:ascii="TimesLT" w:hAnsi="TimesLT"/>
                  <w:sz w:val="22"/>
                  <w:szCs w:val="22"/>
                </w:rPr>
                <w:t xml:space="preserve"> </w:t>
              </w:r>
              <w:r>
                <w:rPr>
                  <w:iCs/>
                  <w:sz w:val="22"/>
                  <w:szCs w:val="22"/>
                </w:rPr>
                <w:t>2017 L 345, p. 1</w:t>
              </w:r>
              <w:r>
                <w:rPr>
                  <w:bCs/>
                  <w:sz w:val="22"/>
                  <w:szCs w:val="22"/>
                </w:rPr>
                <w:t xml:space="preserve">), su paskutiniais pakeitimais, padarytais 2019 m. gegužės 20 d. Europos Parlamento ir Tarybos direktyva </w:t>
              </w:r>
              <w:r>
                <w:rPr>
                  <w:bCs/>
                  <w:sz w:val="22"/>
                  <w:szCs w:val="22"/>
                  <w:lang w:val="en-US"/>
                </w:rPr>
                <w:t>(ES) 2019/771 (OL 2019 L 136, p. 28)</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1"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2" w:history="1">
            <w:r>
              <w:rPr>
                <w:rStyle w:val="Hipersaitas"/>
                <w:sz w:val="20"/>
              </w:rPr>
              <w:t>89-2741</w:t>
            </w:r>
          </w:hyperlink>
          <w:r>
            <w:rPr>
              <w:sz w:val="20"/>
            </w:rPr>
            <w:t xml:space="preserve">) ir Lietuvos Respublikos baudžiamojo proceso kodeksu (Žin., 2002, Nr. </w:t>
          </w:r>
          <w:hyperlink r:id="rId133"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0"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1"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4"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5"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4050B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13881&amp;b="/>
  <Relationship Id="rId113" Type="http://schemas.openxmlformats.org/officeDocument/2006/relationships/hyperlink" TargetMode="External" Target="http://www3.lrs.lt/cgi-bin/preps2?a=231828&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469641&amp;b="/>
  <Relationship Id="rId117" Type="http://schemas.openxmlformats.org/officeDocument/2006/relationships/hyperlink" TargetMode="External" Target="http://www3.lrs.lt/cgi-bin/preps2?a=2273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31829&amp;b="/>
  <Relationship Id="rId12" Type="http://schemas.openxmlformats.org/officeDocument/2006/relationships/hyperlink" TargetMode="External" Target="http://www3.lrs.lt/cgi-bin/preps2?a=274804&amp;b="/>
  <Relationship Id="rId120" Type="http://schemas.openxmlformats.org/officeDocument/2006/relationships/header" Target="header1.xml"/>
  <Relationship Id="rId121" Type="http://schemas.openxmlformats.org/officeDocument/2006/relationships/header" Target="header2.xml"/>
  <Relationship Id="rId122" Type="http://schemas.openxmlformats.org/officeDocument/2006/relationships/footer" Target="footer1.xml"/>
  <Relationship Id="rId123" Type="http://schemas.openxmlformats.org/officeDocument/2006/relationships/footer" Target="footer2.xml"/>
  <Relationship Id="rId124" Type="http://schemas.openxmlformats.org/officeDocument/2006/relationships/header" Target="header3.xml"/>
  <Relationship Id="rId125" Type="http://schemas.openxmlformats.org/officeDocument/2006/relationships/footer" Target="footer3.xml"/>
  <Relationship Id="rId126" Type="http://schemas.openxmlformats.org/officeDocument/2006/relationships/hyperlink" TargetMode="External" Target="http://www3.lrs.lt/cgi-bin/preps2?Condition1=26025&amp;Condition2="/>
  <Relationship Id="rId127" Type="http://schemas.openxmlformats.org/officeDocument/2006/relationships/hyperlink" TargetMode="External" Target="http://www3.lrs.lt/cgi-bin/preps2?Condition1=37819&amp;Condition2="/>
  <Relationship Id="rId128" Type="http://schemas.openxmlformats.org/officeDocument/2006/relationships/hyperlink" TargetMode="External" Target="http://www3.lrs.lt/cgi-bin/preps2?Condition1=41676&amp;Condition2="/>
  <Relationship Id="rId129" Type="http://schemas.openxmlformats.org/officeDocument/2006/relationships/hyperlink" TargetMode="External" Target="http://www3.lrs.lt/cgi-bin/preps2?Condition1=128873&amp;Condition2="/>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06757&amp;b="/>
  <Relationship Id="rId131" Type="http://schemas.openxmlformats.org/officeDocument/2006/relationships/hyperlink" TargetMode="External" Target="http://www3.lrs.lt/cgi-bin/preps2?a=209663&amp;b="/>
  <Relationship Id="rId132" Type="http://schemas.openxmlformats.org/officeDocument/2006/relationships/hyperlink" TargetMode="External" Target="http://www3.lrs.lt/cgi-bin/preps2?a=111555&amp;b="/>
  <Relationship Id="rId133" Type="http://schemas.openxmlformats.org/officeDocument/2006/relationships/hyperlink" TargetMode="External" Target="http://www3.lrs.lt/cgi-bin/preps2?a=163482&amp;b="/>
  <Relationship Id="rId134" Type="http://schemas.openxmlformats.org/officeDocument/2006/relationships/hyperlink" TargetMode="External" Target="http://www3.lrs.lt/cgi-bin/preps2?a=213881&amp;b="/>
  <Relationship Id="rId135" Type="http://schemas.openxmlformats.org/officeDocument/2006/relationships/hyperlink" TargetMode="External" Target="http://www3.lrs.lt/cgi-bin/preps2?a=227304&amp;b="/>
  <Relationship Id="rId136" Type="http://schemas.openxmlformats.org/officeDocument/2006/relationships/hyperlink" TargetMode="External" Target="http://www3.lrs.lt/cgi-bin/preps2?a=230454&amp;b="/>
  <Relationship Id="rId137" Type="http://schemas.openxmlformats.org/officeDocument/2006/relationships/hyperlink" TargetMode="External" Target="http://www3.lrs.lt/cgi-bin/preps2?a=231828&amp;b="/>
  <Relationship Id="rId138" Type="http://schemas.openxmlformats.org/officeDocument/2006/relationships/hyperlink" TargetMode="External" Target="http://www3.lrs.lt/cgi-bin/preps2?a=231829&amp;b="/>
  <Relationship Id="rId139" Type="http://schemas.openxmlformats.org/officeDocument/2006/relationships/hyperlink" TargetMode="External" Target="http://www3.lrs.lt/cgi-bin/preps2?a=274804&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361205&amp;b="/>
  <Relationship Id="rId141" Type="http://schemas.openxmlformats.org/officeDocument/2006/relationships/hyperlink" TargetMode="External" Target="http://www3.lrs.lt/cgi-bin/preps2?a=396599&amp;b="/>
  <Relationship Id="rId142" Type="http://schemas.openxmlformats.org/officeDocument/2006/relationships/hyperlink" TargetMode="External" Target="http://www3.lrs.lt/cgi-bin/preps2?a=412356&amp;b="/>
  <Relationship Id="rId143" Type="http://schemas.openxmlformats.org/officeDocument/2006/relationships/hyperlink" TargetMode="External" Target="http://www3.lrs.lt/cgi-bin/preps2?a=464959&amp;b="/>
  <Relationship Id="rId144" Type="http://schemas.openxmlformats.org/officeDocument/2006/relationships/hyperlink" TargetMode="External" Target="http://www3.lrs.lt/cgi-bin/preps2?a=469641&amp;b="/>
  <Relationship Id="rId145" Type="http://schemas.openxmlformats.org/officeDocument/2006/relationships/hyperlink" TargetMode="External" Target="http://www3.lrs.lt/cgi-bin/preps2?a=478702&amp;b="/>
  <Relationship Id="rId146" Type="http://schemas.openxmlformats.org/officeDocument/2006/relationships/hyperlink" TargetMode="External" Target="http://www3.lrs.lt/cgi-bin/preps2?a=340369&amp;b="/>
  <Relationship Id="rId147" Type="http://schemas.openxmlformats.org/officeDocument/2006/relationships/hyperlink" TargetMode="External" Target="http://www3.lrs.lt/cgi-bin/preps2?a=359889&amp;b="/>
  <Relationship Id="rId148" Type="http://schemas.openxmlformats.org/officeDocument/2006/relationships/hyperlink" TargetMode="External" Target="http://www3.lrs.lt/cgi-bin/preps2?a=361206&amp;b="/>
  <Relationship Id="rId149" Type="http://schemas.openxmlformats.org/officeDocument/2006/relationships/hyperlink" TargetMode="External" Target="http://www3.lrs.lt/cgi-bin/preps2?a=38645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396597&amp;b="/>
  <Relationship Id="rId151" Type="http://schemas.openxmlformats.org/officeDocument/2006/relationships/hyperlink" TargetMode="External" Target="http://www3.lrs.lt/cgi-bin/preps2?a=412373&amp;b="/>
  <Relationship Id="rId152" Type="http://schemas.openxmlformats.org/officeDocument/2006/relationships/hyperlink" TargetMode="External" Target="http://www3.lrs.lt/cgi-bin/preps2?a=415118&amp;b="/>
  <Relationship Id="rId153" Type="http://schemas.openxmlformats.org/officeDocument/2006/relationships/hyperlink" TargetMode="External" Target="http://www3.lrs.lt/cgi-bin/preps2?a=464957&amp;b="/>
  <Relationship Id="rId154" Type="http://schemas.openxmlformats.org/officeDocument/2006/relationships/hyperlink" TargetMode="External" Target="http://www3.lrs.lt/cgi-bin/preps2?a=478691&amp;b="/>
  <Relationship Id="rId155" Type="http://schemas.openxmlformats.org/officeDocument/2006/relationships/hyperlink" TargetMode="External" Target="http://www3.lrs.lt/cgi-bin/preps2?a=412373&amp;b="/>
  <Relationship Id="rId156" Type="http://schemas.openxmlformats.org/officeDocument/2006/relationships/hyperlink" TargetMode="External" Target="http://www3.lrs.lt/cgi-bin/preps2?a=274804&amp;b="/>
  <Relationship Id="rId157" Type="http://schemas.openxmlformats.org/officeDocument/2006/relationships/hyperlink" TargetMode="External" Target="http://www3.lrs.lt/cgi-bin/preps2?a=478702&amp;b="/>
  <Relationship Id="rId158" Type="http://schemas.openxmlformats.org/officeDocument/2006/relationships/hyperlink" TargetMode="External" Target="http://www3.lrs.lt/cgi-bin/preps2?a=230454&amp;b="/>
  <Relationship Id="rId159" Type="http://schemas.openxmlformats.org/officeDocument/2006/relationships/hyperlink" TargetMode="External" Target="http://www3.lrs.lt/cgi-bin/preps2?a=361206&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478691&amp;b="/>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58cf27553bc34963b06256c9883c957f">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f69754bc48c44a629073371cf7ace621">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757c89816857453dad6cd43b4b344f33">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2dfefcefe35e44bfb6a8795fe17e54a1">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2d7900733f9c42afbc5c7e5d3bf72cb3"/>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6655e8d178684a378abf6081e6812b30"/>
          <Part Type="strPunktas" Nr="5" Abbr="42 str. 2 d. 5 p." DocPartId="3e2e68e4cacf4fe9a7fe5cfa69369534" PartId="bac50210af524032a55123146f68646b"/>
          <Part Type="strPunktas" Nr="6" Abbr="42 str. 2 d. 6 p." DocPartId="a959a9b96b2c46faba7fc0446d32eba8" PartId="0fda258bdf7c44b5ab3f62119cf10032"/>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f966fce0f7ac47318753fbec3e0790d0"/>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dab1b606d1704a078922ed37df15bdc8"/>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9cb3c1ee258948d8b002e83dffb3485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51a92c7b87e450fa05879752933c5ce"/>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adc8b2a545e847d2bc3cde5506dd7b90"/>
          <Part Type="strPunktas" Nr="10" Abbr="43 str. 7 d. 10 p." DocPartId="e5a7df614c5f4ad7a7d4452d01fae5fa" PartId="a6110942c83043a985a17a55d43e5b30"/>
          <Part Type="strPunktas" Nr="11" Abbr="43 str. 7 d. 11 p." DocPartId="e6caa3313f41400b99ae0edce4309e49" PartId="60d641a2d9e64650a43174ff432584b1"/>
          <Part Type="strPunktas" Nr="12" Abbr="43 str. 7 d. 12 p." DocPartId="3c86e1067adc4b958dc91f8d94f8a757" PartId="eb5c94032d244b2fa63ec4f1b7cbb0ea"/>
          <Part Type="strPunktas" Nr="13" Abbr="43 str. 7 d. 13 p." DocPartId="0467e3a3b13d45ac82ad2afa7d54e84b" PartId="7334454c18d9481eb44de354fa1f6370"/>
          <Part Type="strPunktas" Nr="14" Abbr="43 str. 7 d. 14 p." DocPartId="9554602f88124e92a2fb079400d78e31" PartId="cfbd6e0be2e14ee993e7bdd781c3a12b"/>
          <Part Type="strPunktas" Nr="15" Abbr="43 str. 7 d. 15 p." DocPartId="eb6d1d5cde0840f89eaf22f9a4655917" PartId="2fe3d6c48d90431393e628eec3ce051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a8bacaf1ffc14548bc5d40e7320c9c34"/>
        </Part>
        <Part Type="strDalis" Nr="8" Abbr="43 str. 8 d." DocPartId="b49dfc8b8acb4b5fb8bbeda6b997c168" PartId="6d944976b5364bbfa248338a992a07a9"/>
        <Part Type="strDalis" Nr="9" Abbr="43 str. 9 d." DocPartId="594c8bc9c773407e9b6872393ad83ebb" PartId="eab021f58a134b4fb931b34c3acd754f"/>
        <Part Type="strDalis" Nr="10" Abbr="43 str. 10 d." DocPartId="565ed592fc9841cda9ce54af3c0235ca" PartId="7810c532edaf42c39ff5c251037d5cf5"/>
        <Part Type="strDalis" Nr="11" Abbr="43 str. 11 d." DocPartId="8155a234247a4fac98c0f6550d2203b9" PartId="b711f22a04524dbab5634523b2ad8f2d"/>
        <Part Type="strDalis" Nr="12" Abbr="43 str. 12 d." DocPartId="4867d12541934e61a011bcdcf9b66f0a" PartId="6bd9055134384b72bc473a6711aae705"/>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43-2 str. 5 d." DocPartId="707be677be07475e9bcb28e50bcdddba" PartId="0330a369541d40169527c62aad03e185"/>
        <Part Type="strDalis" Nr="6" Abbr="43-2 str. 6 d." DocPartId="204bc5a22cc949758197a81ebf3c9b83" PartId="f9b40c4d1f1b4b70a4af293e8c683881"/>
        <Part Type="strDalis" Nr="7" Abbr="43-2 str. 7 d." DocPartId="a9bf5deb6ea9483cabed809c5c86ea14" PartId="42f04c51e1334e0ebcb0b2f036a49cd0"/>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6b7f2d1a997948049a932cabccfd458a">
        <Part Type="strDalis" Nr="1" Abbr="43-7 str. 1 d." DocPartId="7267f219990243ae873a1582d8f9589c" PartId="c5ddad4b8d6a497f8d3f047701663bcb">
          <Part Type="strPunktas" Nr="1" Abbr="43-7 str. 1 d. 1 p." DocPartId="41a6924f3fb945fe8d02a9e5b69ebd11" PartId="e300c7d2d8634e0980b5bd265c6d0419"/>
          <Part Type="strPunktas" Nr="2" Abbr="43-7 str. 1 d. 2 p." DocPartId="5e5cab5dd0634beb9cda9b4f89803bcc" PartId="eee69bb2deb740b8952cbb14de815f2b"/>
          <Part Type="strPunktas" Nr="3" Abbr="43-7 str. 1 d. 3 p." DocPartId="f378a353167d4dd790eddb7dec6464b6" PartId="8abb0306abd041319394b9750779815e"/>
          <Part Type="strPunktas" Nr="4" Abbr="43-7 str. 1 d. 4 p." DocPartId="ef9b3975fd044154ae27b8a297e8c14a" PartId="0f9a70dff2e342b4a3d5f3f8197706b6"/>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985e13c1541445c586e9e1dab688ac7b"/>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e9553f1ecaa743d08c13c0d891377729">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d2646479b57146039566b62d239cdb92">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633fbabda40945fc80d841c74069c2fd"/>
  <Part Type="priedas" Nr="2" Abbr="2 pr." Title="FINANSŲ RINKOS DALYVIAI, MOKANTYS ĮMOKAS FINANSŲ SEKTORIAUS SUBJEKTŲ PERTVARKYMO INSTITUCIJOS IŠLAIDOMS PADENGTI, ĮMOKŲ BAZĖ IR MAKSIMALŪS ĮMOKŲ DYDŽIAI" DocPartId="bd114910dc7a4a569fe329090b2230cd" PartId="387645e0707d43e5a7e435570d5a4837"/>
  <Part Type="priedas" Nr="3" Abbr="3 pr." Title="ĮGYVENDINAMI EUROPOS SĄJUNGOS TEISĖS AKTAI" DocPartId="ad910aac343e4fd79e5b0dcd83308be3" PartId="5045bf706a814713b9fa704af338909c">
    <Part Type="punktas" Nr="1" Abbr="3 pr. 1 p." DocPartId="a3c7d45d654b402393dd54a2e7ef25c8" PartId="5740c056c215431c9b09670a2d39b7c5"/>
    <Part Type="punktas" Nr="2" Abbr="3 pr. 2 p." DocPartId="1173f09a01d742b4aa0afa144fe23d8b" PartId="136a0893ed034314a1a2727079b0e7ef"/>
    <Part Type="punktas" Nr="3" Abbr="3 pr. 3 p." DocPartId="5207a37500064e07950ecd47fbc2dae3" PartId="5cc3bbb174de433f8aff9f6a35bfd87f"/>
    <Part Type="punktas" Nr="4" Abbr="3 pr. 4 p." DocPartId="e86a4071a610422dafe155dea6031d91" PartId="1230fda5b403452eadc96a40cc7f95aa"/>
    <Part Type="punktas" Nr="5" Abbr="3 pr. 5 p." DocPartId="d49e2baf3bc14058a7f7960145374fad" PartId="28583aa80503400781e8c44c8523fb8b"/>
    <Part Type="punktas" Nr="6" Abbr="3 pr. 6 p." DocPartId="958d9fc8236741a89a1b60c49f5b8060" PartId="ad46fb837e154c8281c095284222cfa2"/>
    <Part Type="punktas" Nr="7" Abbr="3 pr. 7 p." DocPartId="07997a12f4b9440a966d0ba79eecc06b" PartId="3826967e29de42f5b460e5f4698daabb"/>
    <Part Type="punktas" Nr="8" Abbr="3 pr. 8 p." DocPartId="8620afbf2b0346d9966d720fa533a49e" PartId="e168ad285fb844a29b7c847d7a65267e"/>
    <Part Type="punktas" Nr="9" Abbr="3 pr. 9 p." DocPartId="e884e80a1f18454aa22624b9bc7d38d7" PartId="b33504be4c714072919ad2e37b5b5cc3"/>
    <Part Type="punktas" Nr="10" Abbr="3 pr. 10 p." DocPartId="6c26ee6b913a41c389a84ebc3e28e917" PartId="56d811fde9b346938a6c482044d873a4"/>
    <Part Type="punktas" Nr="11" Abbr="3 pr. 11 p." DocPartId="a6dde68456e640adacec27c125b2e8f7" PartId="1d8ed670baa44b4cb6ebc48de8de85fa"/>
    <Part Type="punktas" Nr="12" Abbr="3 pr. 12 p." DocPartId="d702284657674bb5bf2b8a887dcfd50b" PartId="d301fa12f12648cbaeec19f06a41608c"/>
    <Part Type="punktas" Nr="13" Abbr="3 pr. 13 p." DocPartId="8af1c706ab3644d5900ee3c86dd24e07" PartId="d1fafe86492d4d2f80e757d13999db14"/>
    <Part Type="punktas" Nr="14" Abbr="14 p." DocPartId="b46fbd6e35ea480a81ffa339ca46fa4b" PartId="5241dac89320408d9f2caf8793a2588f"/>
    <Part Type="punktas" Nr="15" Abbr="3 pr. 15 p." DocPartId="6b62d64374c1498e89e45ecf1ee9352e" PartId="6a58b517c1b6492e9f8b02cc3a9dda97"/>
    <Part Type="punktas" Nr="15-1" Abbr="15-1 p." DocPartId="f8cb626eba564efda4fa115702164267" PartId="a9fc752eae2444afb192050502a05faf"/>
    <Part Type="punktas" Nr="16" Abbr="16 p." DocPartId="986d9438be6d41cfa89c5ba107c1f98b" PartId="a499f09bf954481c9c112e22ed6cba0f"/>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52E8768-D4C3-4605-B6A4-07AE6617F250}">
  <ds:schemaRefs>
    <ds:schemaRef ds:uri="http://lrs.lt/TAIS/DocParts"/>
  </ds:schemaRefs>
</ds:datastoreItem>
</file>

<file path=customXml/itemProps3.xml><?xml version="1.0" encoding="utf-8"?>
<ds:datastoreItem xmlns:ds="http://schemas.openxmlformats.org/officeDocument/2006/customXml" ds:itemID="{C41E0B16-184D-4D9D-9539-3D313F788E3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102</TotalTime>
  <Pages>37</Pages>
  <Words>97885</Words>
  <Characters>55795</Characters>
  <Application>Microsoft Office Word</Application>
  <DocSecurity>0</DocSecurity>
  <Lines>464</Lines>
  <Paragraphs>306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153374</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2020-01-09T09:32:00Z</dcterms:modified>
  <revision>39</revision>
  <dc:title>Neoficialus ?statymo tekstas</dc:title>
</coreProperties>
</file>