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2019-01-13 iki 2019-01-31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f8f540cae8d14e0bafa25c3cee79fdd6"/>
                <w:lock w:val="sdtLocked"/>
                <w:richText/>
              </w:sdtPr>
              <w:sdtContent>
                <w:p>
                  <w:pPr>
                    <w:ind w:firstLine="720"/>
                    <w:jc w:val="both"/>
                    <w:rPr>
                      <w:b/>
                      <w:bCs/>
                      <w:sz w:val="22"/>
                    </w:rPr>
                  </w:pPr>
                  <w:sdt>
                    <w:sdtPr>
                      <w:alias w:val="Numeris"/>
                      <w:tag w:val="nr_f8f540cae8d14e0bafa25c3cee79fdd6"/>
                      <w:lock w:val="sdtLocked"/>
                      <w:richText/>
                    </w:sdtPr>
                    <w:sdtContent>
                      <w:r>
                        <w:rPr>
                          <w:b/>
                          <w:bCs/>
                          <w:sz w:val="22"/>
                        </w:rPr>
                        <w:t>6</w:t>
                      </w:r>
                    </w:sdtContent>
                  </w:sdt>
                  <w:r>
                    <w:rPr>
                      <w:b/>
                      <w:bCs/>
                      <w:sz w:val="22"/>
                    </w:rPr>
                    <w:t xml:space="preserve"> straipsnis. </w:t>
                  </w:r>
                  <w:sdt>
                    <w:sdtPr>
                      <w:alias w:val="Pavadinimas"/>
                      <w:tag w:val="title_f8f540cae8d14e0bafa25c3cee79fdd6"/>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eeb3f82de30643a09efd2563d72f91b8"/>
                <w:lock w:val="sdtLocked"/>
                <w:richText/>
              </w:sdtPr>
              <w:sdtContent>
                <w:p>
                  <w:pPr>
                    <w:ind w:firstLine="720"/>
                    <w:jc w:val="both"/>
                    <w:rPr>
                      <w:b/>
                      <w:sz w:val="22"/>
                    </w:rPr>
                  </w:pPr>
                  <w:sdt>
                    <w:sdtPr>
                      <w:alias w:val="Numeris"/>
                      <w:tag w:val="nr_eeb3f82de30643a09efd2563d72f91b8"/>
                      <w:lock w:val="sdtLocked"/>
                      <w:richText/>
                    </w:sdtPr>
                    <w:sdtContent>
                      <w:r>
                        <w:rPr>
                          <w:b/>
                          <w:sz w:val="22"/>
                        </w:rPr>
                        <w:t>11</w:t>
                      </w:r>
                    </w:sdtContent>
                  </w:sdt>
                  <w:r>
                    <w:rPr>
                      <w:b/>
                      <w:sz w:val="22"/>
                    </w:rPr>
                    <w:t xml:space="preserve"> straipsnis. </w:t>
                  </w:r>
                  <w:sdt>
                    <w:sdtPr>
                      <w:alias w:val="Pavadinimas"/>
                      <w:tag w:val="title_eeb3f82de30643a09efd2563d72f91b8"/>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8ed52bbdc1844e6aa565e1b11250bb90"/>
                <w:lock w:val="sdtLocked"/>
                <w:richText/>
              </w:sdtPr>
              <w:sdtContent>
                <w:p>
                  <w:pPr>
                    <w:ind w:firstLine="720"/>
                    <w:jc w:val="both"/>
                    <w:rPr>
                      <w:sz w:val="22"/>
                    </w:rPr>
                  </w:pPr>
                  <w:sdt>
                    <w:sdtPr>
                      <w:alias w:val="Numeris"/>
                      <w:tag w:val="nr_8ed52bbdc1844e6aa565e1b11250bb90"/>
                      <w:lock w:val="sdtLocked"/>
                      <w:richText/>
                    </w:sdtPr>
                    <w:sdtContent>
                      <w:r>
                        <w:rPr>
                          <w:b/>
                          <w:sz w:val="22"/>
                        </w:rPr>
                        <w:t>19</w:t>
                      </w:r>
                    </w:sdtContent>
                  </w:sdt>
                  <w:r>
                    <w:rPr>
                      <w:b/>
                      <w:sz w:val="22"/>
                    </w:rPr>
                    <w:t xml:space="preserve"> straipsnis. </w:t>
                  </w:r>
                  <w:sdt>
                    <w:sdtPr>
                      <w:alias w:val="Pavadinimas"/>
                      <w:tag w:val="title_8ed52bbdc1844e6aa565e1b11250bb90"/>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f5fca3c5506541b2b4db5157860a0c48"/>
                <w:lock w:val="sdtLocked"/>
                <w:richText/>
              </w:sdtPr>
              <w:sdtContent>
                <w:p>
                  <w:pPr>
                    <w:ind w:firstLine="720"/>
                    <w:jc w:val="both"/>
                    <w:rPr>
                      <w:b/>
                      <w:sz w:val="22"/>
                    </w:rPr>
                  </w:pPr>
                  <w:sdt>
                    <w:sdtPr>
                      <w:alias w:val="Numeris"/>
                      <w:tag w:val="nr_f5fca3c5506541b2b4db5157860a0c48"/>
                      <w:lock w:val="sdtLocked"/>
                      <w:richText/>
                    </w:sdtPr>
                    <w:sdtContent>
                      <w:r>
                        <w:rPr>
                          <w:b/>
                          <w:sz w:val="22"/>
                        </w:rPr>
                        <w:t>20</w:t>
                      </w:r>
                    </w:sdtContent>
                  </w:sdt>
                  <w:r>
                    <w:rPr>
                      <w:b/>
                      <w:sz w:val="22"/>
                    </w:rPr>
                    <w:t xml:space="preserve"> straipsnis. </w:t>
                  </w:r>
                  <w:sdt>
                    <w:sdtPr>
                      <w:alias w:val="Pavadinimas"/>
                      <w:tag w:val="title_f5fca3c5506541b2b4db5157860a0c48"/>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e8e1a1bbe09410d9b58ff65d5d02fff"/>
                        <w:lock w:val="sdtLocked"/>
                        <w:richText/>
                      </w:sdtPr>
                      <w:sdtContent>
                        <w:p>
                          <w:pPr>
                            <w:ind w:firstLine="720"/>
                            <w:jc w:val="both"/>
                            <w:rPr>
                              <w:bCs/>
                              <w:sz w:val="22"/>
                              <w:szCs w:val="22"/>
                            </w:rPr>
                          </w:pPr>
                          <w:sdt>
                            <w:sdtPr>
                              <w:alias w:val="Numeris"/>
                              <w:tag w:val="nr_5e8e1a1bbe09410d9b58ff65d5d02fff"/>
                              <w:lock w:val="sdtLocked"/>
                              <w:richText/>
                            </w:sdtPr>
                            <w:sdtContent>
                              <w:r>
                                <w:rPr>
                                  <w:sz w:val="22"/>
                                  <w:szCs w:val="22"/>
                                  <w:lang w:eastAsia="lt-LT"/>
                                </w:rPr>
                                <w:t>4</w:t>
                              </w:r>
                            </w:sdtContent>
                          </w:sdt>
                          <w:r>
                            <w:rPr>
                              <w:sz w:val="22"/>
                              <w:szCs w:val="22"/>
                              <w:lang w:eastAsia="lt-LT"/>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3ac502c9f95432dacf5d3ccf344bbb7"/>
                        <w:lock w:val="sdtLocked"/>
                        <w:richText/>
                      </w:sdtPr>
                      <w:sdtContent>
                        <w:p>
                          <w:pPr>
                            <w:ind w:firstLine="720"/>
                            <w:jc w:val="both"/>
                            <w:rPr>
                              <w:bCs/>
                              <w:sz w:val="22"/>
                              <w:szCs w:val="22"/>
                            </w:rPr>
                          </w:pPr>
                          <w:sdt>
                            <w:sdtPr>
                              <w:alias w:val="Numeris"/>
                              <w:tag w:val="nr_13ac502c9f95432dacf5d3ccf344bbb7"/>
                              <w:lock w:val="sdtLocked"/>
                              <w:richText/>
                            </w:sdtPr>
                            <w:sdtContent>
                              <w:r>
                                <w:rPr>
                                  <w:bCs/>
                                  <w:sz w:val="22"/>
                                  <w:szCs w:val="22"/>
                                </w:rPr>
                                <w:t>10</w:t>
                              </w:r>
                            </w:sdtContent>
                          </w:sdt>
                          <w:r>
                            <w:rPr>
                              <w:bCs/>
                              <w:sz w:val="22"/>
                              <w:szCs w:val="22"/>
                            </w:rPr>
                            <w:t>) atlieka Reglamento (EB) Nr. 1060/2009 ir Reglamento (ES) Nr. 1286/2014 kompetentingai institucijai priskirtas funkcijas;</w:t>
                          </w:r>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4" w:history="1">
                        <w:r>
                          <w:rPr>
                            <w:i/>
                            <w:color w:val="0000FF"/>
                            <w:sz w:val="20"/>
                            <w:u w:val="single"/>
                          </w:rPr>
                          <w:t>XI-1666</w:t>
                        </w:r>
                      </w:hyperlink>
                      <w:r>
                        <w:rPr>
                          <w:i/>
                          <w:sz w:val="20"/>
                        </w:rPr>
                        <w:t>, 2011-11-17, Žin., 2011, Nr. 145-6812 (2011-12-01)</w:t>
                      </w:r>
                    </w:p>
                    <w:p>
                      <w:pPr>
                        <w:jc w:val="both"/>
                      </w:pPr>
                      <w:r>
                        <w:rPr>
                          <w:i/>
                          <w:sz w:val="20"/>
                        </w:rPr>
                        <w:t xml:space="preserve">Nr. </w:t>
                      </w:r>
                      <w:hyperlink r:id="rId15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2d321edb04134bee82670ebadeef8391"/>
                        <w:lock w:val="sdtLocked"/>
                        <w:richText/>
                      </w:sdtPr>
                      <w:sdtContent>
                        <w:p>
                          <w:pPr>
                            <w:ind w:firstLine="720"/>
                            <w:jc w:val="both"/>
                            <w:rPr>
                              <w:rFonts w:eastAsia="Calibri"/>
                              <w:sz w:val="22"/>
                              <w:szCs w:val="22"/>
                            </w:rPr>
                          </w:pPr>
                          <w:sdt>
                            <w:sdtPr>
                              <w:alias w:val="Numeris"/>
                              <w:tag w:val="nr_2d321edb04134bee82670ebadeef8391"/>
                              <w:lock w:val="sdtLocked"/>
                              <w:richText/>
                            </w:sdtPr>
                            <w:sdtContent>
                              <w:r>
                                <w:rPr>
                                  <w:rFonts w:eastAsia="Calibri"/>
                                  <w:sz w:val="22"/>
                                  <w:szCs w:val="22"/>
                                </w:rPr>
                                <w:t>5</w:t>
                              </w:r>
                            </w:sdtContent>
                          </w:sdt>
                          <w:r>
                            <w:rPr>
                              <w:rFonts w:eastAsia="Calibri"/>
                              <w:sz w:val="22"/>
                              <w:szCs w:val="22"/>
                            </w:rPr>
                            <w:t>) užsienio valstybių kredito įstaigų ir kitų finansinių paslaugų teikimo veiklos, draudimo veiklos ir finansų rinkų priežiūros institucijoms, jeigu ji reikalinga priežiūros funkcijai atlikti;</w:t>
                          </w:r>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pPr>
                      <w:r>
                        <w:rPr>
                          <w:i/>
                          <w:sz w:val="20"/>
                        </w:rPr>
                        <w:t xml:space="preserve">Nr. </w:t>
                      </w:r>
                      <w:hyperlink r:id="rId158"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f6314a11c3b487f921136b05a07fe4f"/>
                <w:lock w:val="sdtLocked"/>
                <w:richText/>
              </w:sdtPr>
              <w:sdtContent>
                <w:p>
                  <w:pPr>
                    <w:ind w:firstLine="720"/>
                    <w:jc w:val="both"/>
                    <w:rPr>
                      <w:sz w:val="22"/>
                      <w:szCs w:val="22"/>
                    </w:rPr>
                  </w:pPr>
                  <w:sdt>
                    <w:sdtPr>
                      <w:alias w:val="Numeris"/>
                      <w:tag w:val="nr_1f6314a11c3b487f921136b05a07fe4f"/>
                      <w:lock w:val="sdtLocked"/>
                      <w:richText/>
                    </w:sdtPr>
                    <w:sdtContent>
                      <w:r>
                        <w:rPr>
                          <w:b/>
                          <w:sz w:val="22"/>
                          <w:szCs w:val="22"/>
                        </w:rPr>
                        <w:t>43</w:t>
                      </w:r>
                      <w:r>
                        <w:rPr>
                          <w:b/>
                          <w:sz w:val="22"/>
                          <w:szCs w:val="22"/>
                          <w:vertAlign w:val="superscript"/>
                        </w:rPr>
                        <w:t>7</w:t>
                      </w:r>
                    </w:sdtContent>
                  </w:sdt>
                  <w:r>
                    <w:rPr>
                      <w:b/>
                      <w:sz w:val="22"/>
                      <w:szCs w:val="22"/>
                    </w:rPr>
                    <w:t xml:space="preserve"> straipsnis. </w:t>
                  </w:r>
                  <w:sdt>
                    <w:sdtPr>
                      <w:alias w:val="Pavadinimas"/>
                      <w:tag w:val="title_1f6314a11c3b487f921136b05a07fe4f"/>
                      <w:lock w:val="sdtLocked"/>
                      <w:richText/>
                    </w:sdtPr>
                    <w:sdtContent>
                      <w:r>
                        <w:rPr>
                          <w:b/>
                          <w:sz w:val="22"/>
                          <w:szCs w:val="22"/>
                        </w:rPr>
                        <w:t>Pranešimas apie pažeidimus</w:t>
                      </w:r>
                    </w:sdtContent>
                  </w:sdt>
                </w:p>
                <w:sdt>
                  <w:sdtPr>
                    <w:alias w:val="43-7 str. 1 d."/>
                    <w:tag w:val="part_12deee7f9a1e459e9fbc858eb26b4431"/>
                    <w:lock w:val="sdtLocked"/>
                    <w:richText/>
                  </w:sdtPr>
                  <w:sdtContent>
                    <w:p>
                      <w:pPr>
                        <w:ind w:firstLine="720"/>
                        <w:jc w:val="both"/>
                        <w:rPr>
                          <w:sz w:val="22"/>
                          <w:szCs w:val="22"/>
                        </w:rPr>
                      </w:pPr>
                      <w:r>
                        <w:rPr>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w:t>
                      </w:r>
                      <w:r>
                        <w:rPr>
                          <w:rFonts w:ascii="TimesLT" w:hAnsi="TimesLT"/>
                          <w:sz w:val="22"/>
                          <w:szCs w:val="22"/>
                        </w:rPr>
                        <w:t xml:space="preserve"> </w:t>
                      </w:r>
                      <w:r>
                        <w:rPr>
                          <w:sz w:val="22"/>
                          <w:szCs w:val="22"/>
                        </w:rPr>
                        <w:t>ar jų įgyvendinamuosius teisės aktus, nuostatų pažeidimą. Šios priemonės turi atitikti šiuos reikalavimus:</w:t>
                      </w:r>
                    </w:p>
                    <w:sdt>
                      <w:sdtPr>
                        <w:alias w:val="43-7 str. 1 d. 1 p."/>
                        <w:tag w:val="part_1c4bdc4476af4016ae8dcdb21c898757"/>
                        <w:lock w:val="sdtLocked"/>
                        <w:richText/>
                      </w:sdtPr>
                      <w:sdtContent>
                        <w:p>
                          <w:pPr>
                            <w:ind w:firstLine="720"/>
                            <w:jc w:val="both"/>
                            <w:rPr>
                              <w:sz w:val="22"/>
                              <w:szCs w:val="22"/>
                            </w:rPr>
                          </w:pPr>
                          <w:sdt>
                            <w:sdtPr>
                              <w:alias w:val="Numeris"/>
                              <w:tag w:val="nr_1c4bdc4476af4016ae8dcdb21c898757"/>
                              <w:lock w:val="sdtLocked"/>
                              <w:richText/>
                            </w:sdtPr>
                            <w:sdtContent>
                              <w:r>
                                <w:rPr>
                                  <w:sz w:val="22"/>
                                  <w:szCs w:val="22"/>
                                </w:rPr>
                                <w:t>1</w:t>
                              </w:r>
                            </w:sdtContent>
                          </w:sdt>
                          <w:r>
                            <w:rPr>
                              <w:sz w:val="22"/>
                              <w:szCs w:val="22"/>
                            </w:rPr>
                            <w:t xml:space="preserve">) numatytos specialios pranešimo apie minėtus pažeidimus gavimo ir vertinimo procedūros; </w:t>
                          </w:r>
                        </w:p>
                      </w:sdtContent>
                    </w:sdt>
                    <w:sdt>
                      <w:sdtPr>
                        <w:alias w:val="43-7 str. 1 d. 2 p."/>
                        <w:tag w:val="part_5b1d4e784bf24af88613f153f81da622"/>
                        <w:lock w:val="sdtLocked"/>
                        <w:richText/>
                      </w:sdtPr>
                      <w:sdtContent>
                        <w:p>
                          <w:pPr>
                            <w:ind w:firstLine="720"/>
                            <w:jc w:val="both"/>
                            <w:rPr>
                              <w:sz w:val="22"/>
                              <w:szCs w:val="22"/>
                            </w:rPr>
                          </w:pPr>
                          <w:sdt>
                            <w:sdtPr>
                              <w:alias w:val="Numeris"/>
                              <w:tag w:val="nr_5b1d4e784bf24af88613f153f81da622"/>
                              <w:lock w:val="sdtLocked"/>
                              <w:richText/>
                            </w:sdtPr>
                            <w:sdtContent>
                              <w:r>
                                <w:rPr>
                                  <w:sz w:val="22"/>
                                  <w:szCs w:val="22"/>
                                </w:rPr>
                                <w:t>2</w:t>
                              </w:r>
                            </w:sdtContent>
                          </w:sdt>
                          <w:r>
                            <w:rPr>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ed75541c32e04da494f1adfc90f29f69"/>
                        <w:lock w:val="sdtLocked"/>
                        <w:richText/>
                      </w:sdtPr>
                      <w:sdtContent>
                        <w:p>
                          <w:pPr>
                            <w:ind w:firstLine="720"/>
                            <w:jc w:val="both"/>
                            <w:rPr>
                              <w:sz w:val="22"/>
                              <w:szCs w:val="22"/>
                            </w:rPr>
                          </w:pPr>
                          <w:sdt>
                            <w:sdtPr>
                              <w:alias w:val="Numeris"/>
                              <w:tag w:val="nr_ed75541c32e04da494f1adfc90f29f69"/>
                              <w:lock w:val="sdtLocked"/>
                              <w:richText/>
                            </w:sdtPr>
                            <w:sdtContent>
                              <w:r>
                                <w:rPr>
                                  <w:sz w:val="22"/>
                                  <w:szCs w:val="22"/>
                                </w:rPr>
                                <w:t>3</w:t>
                              </w:r>
                            </w:sdtContent>
                          </w:sdt>
                          <w:r>
                            <w:rPr>
                              <w:sz w:val="22"/>
                              <w:szCs w:val="22"/>
                            </w:rPr>
                            <w:t>) asmens duomenys tvarkomi asmens duomenų apsaugą reglamentuojančių teisės aktų nustatyta tvarka;</w:t>
                          </w:r>
                        </w:p>
                      </w:sdtContent>
                    </w:sdt>
                    <w:sdt>
                      <w:sdtPr>
                        <w:alias w:val="43-7 str. 1 d. 4 p."/>
                        <w:tag w:val="part_da4fe465cd184762aa16d8de34100e61"/>
                        <w:lock w:val="sdtLocked"/>
                        <w:richText/>
                      </w:sdtPr>
                      <w:sdtContent>
                        <w:p>
                          <w:pPr>
                            <w:ind w:firstLine="720"/>
                            <w:jc w:val="both"/>
                            <w:rPr>
                              <w:i/>
                              <w:sz w:val="20"/>
                            </w:rPr>
                          </w:pPr>
                          <w:sdt>
                            <w:sdtPr>
                              <w:alias w:val="Numeris"/>
                              <w:tag w:val="nr_da4fe465cd184762aa16d8de34100e61"/>
                              <w:lock w:val="sdtLocked"/>
                              <w:richText/>
                            </w:sdtPr>
                            <w:sdtContent>
                              <w:r>
                                <w:rPr>
                                  <w:sz w:val="22"/>
                                  <w:szCs w:val="22"/>
                                </w:rPr>
                                <w:t>4</w:t>
                              </w:r>
                            </w:sdtContent>
                          </w:sdt>
                          <w:r>
                            <w:rPr>
                              <w:sz w:val="22"/>
                              <w:szCs w:val="22"/>
                            </w:rPr>
                            <w:t>) užtikrinama tinkama finansų rinkos dalyvio darbuotojų, kurie praneša apie pažeidimus, apsauga nuo keršto, diskriminacijos ar kito neteisėto ar nesąžiningo elgesio.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e50837b4be604900908daa192215addf"/>
                <w:lock w:val="sdtLocked"/>
                <w:richText/>
              </w:sdtPr>
              <w:sdtContent>
                <w:p>
                  <w:pPr>
                    <w:ind w:firstLine="720"/>
                    <w:jc w:val="both"/>
                    <w:rPr>
                      <w:sz w:val="22"/>
                      <w:szCs w:val="22"/>
                    </w:rPr>
                  </w:pPr>
                  <w:sdt>
                    <w:sdtPr>
                      <w:alias w:val="Numeris"/>
                      <w:tag w:val="nr_e50837b4be604900908daa192215addf"/>
                      <w:lock w:val="sdtLocked"/>
                      <w:richText/>
                    </w:sdtPr>
                    <w:sdtContent>
                      <w:r>
                        <w:rPr>
                          <w:b/>
                          <w:sz w:val="22"/>
                          <w:szCs w:val="22"/>
                        </w:rPr>
                        <w:t>49</w:t>
                      </w:r>
                    </w:sdtContent>
                  </w:sdt>
                  <w:r>
                    <w:rPr>
                      <w:b/>
                      <w:sz w:val="22"/>
                      <w:szCs w:val="22"/>
                    </w:rPr>
                    <w:t xml:space="preserve"> straipsnis. </w:t>
                  </w:r>
                  <w:sdt>
                    <w:sdtPr>
                      <w:alias w:val="Pavadinimas"/>
                      <w:tag w:val="title_e50837b4be604900908daa192215addf"/>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49"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3a0b3fae5ff541c690ae6c903a70ce07"/>
                <w:lock w:val="sdtLocked"/>
                <w:richText/>
              </w:sdtPr>
              <w:sdtContent>
                <w:sdt>
                  <w:sdtPr>
                    <w:alias w:val="Pavadinimas"/>
                    <w:tag w:val="title_3a0b3fae5ff541c690ae6c903a70ce07"/>
                    <w:lock w:val="sdtLocked"/>
                    <w:richText/>
                  </w:sdtPr>
                  <w:sdtContent>
                    <w:p>
                      <w:pPr>
                        <w:ind w:left="2520" w:hanging="1800"/>
                        <w:jc w:val="both"/>
                        <w:rPr>
                          <w:b/>
                          <w:sz w:val="22"/>
                        </w:rPr>
                      </w:pPr>
                      <w:sdt>
                        <w:sdtPr>
                          <w:alias w:val="Numeris"/>
                          <w:tag w:val="nr_3a0b3fae5ff541c690ae6c903a70ce07"/>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1"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6d5b95f2981045988be34bc1a96a2cc4"/>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d5b95f2981045988be34bc1a96a2cc4"/>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d5b95f2981045988be34bc1a96a2cc4"/>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05"/>
            <w:gridCol w:w="4895"/>
            <w:gridCol w:w="2394"/>
            <w:gridCol w:w="129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Valdymo įmonės, investicinės bendrovės, kurių valdymas neperduotas valdymo įmonėms, ir šių subjektų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ir profesionaliesiems investuotojams skirtų kolektyvinio investavimo subjektų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a056f0e98e145d986a15af98b329107"/>
        <w:lock w:val="sdtLocked"/>
        <w:richText/>
      </w:sdtPr>
      <w:sdtContent>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ca056f0e98e145d986a15af98b329107"/>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ca056f0e98e145d986a15af98b329107"/>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0"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1"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3"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4"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6" w:history="1">
            <w:r>
              <w:rPr>
                <w:rStyle w:val="Hipersaitas"/>
                <w:sz w:val="20"/>
              </w:rPr>
              <w:t>89-2741</w:t>
            </w:r>
          </w:hyperlink>
          <w:r>
            <w:rPr>
              <w:sz w:val="20"/>
            </w:rPr>
            <w:t xml:space="preserve">) ir Lietuvos Respublikos baudžiamojo proceso kodeksu (Žin., 2002, Nr. </w:t>
          </w:r>
          <w:hyperlink r:id="rId127"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4"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5"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6"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7"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0"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1"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2"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4"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581B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Condition1=26025&amp;Condition2="/>
  <Relationship Id="rId121" Type="http://schemas.openxmlformats.org/officeDocument/2006/relationships/hyperlink" TargetMode="External" Target="http://www3.lrs.lt/cgi-bin/preps2?Condition1=37819&amp;Condition2="/>
  <Relationship Id="rId122" Type="http://schemas.openxmlformats.org/officeDocument/2006/relationships/hyperlink" TargetMode="External" Target="http://www3.lrs.lt/cgi-bin/preps2?Condition1=41676&amp;Condition2="/>
  <Relationship Id="rId123" Type="http://schemas.openxmlformats.org/officeDocument/2006/relationships/hyperlink" TargetMode="External" Target="http://www3.lrs.lt/cgi-bin/preps2?Condition1=128873&amp;Condition2="/>
  <Relationship Id="rId124" Type="http://schemas.openxmlformats.org/officeDocument/2006/relationships/hyperlink" TargetMode="External" Target="http://www3.lrs.lt/cgi-bin/preps2?a=206757&amp;b="/>
  <Relationship Id="rId125" Type="http://schemas.openxmlformats.org/officeDocument/2006/relationships/hyperlink" TargetMode="External" Target="http://www3.lrs.lt/cgi-bin/preps2?a=209663&amp;b="/>
  <Relationship Id="rId126" Type="http://schemas.openxmlformats.org/officeDocument/2006/relationships/hyperlink" TargetMode="External" Target="http://www3.lrs.lt/cgi-bin/preps2?a=111555&amp;b="/>
  <Relationship Id="rId127" Type="http://schemas.openxmlformats.org/officeDocument/2006/relationships/hyperlink" TargetMode="External" Target="http://www3.lrs.lt/cgi-bin/preps2?a=163482&amp;b="/>
  <Relationship Id="rId128" Type="http://schemas.openxmlformats.org/officeDocument/2006/relationships/hyperlink" TargetMode="External" Target="http://www3.lrs.lt/cgi-bin/preps2?a=21388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30454&amp;b="/>
  <Relationship Id="rId131" Type="http://schemas.openxmlformats.org/officeDocument/2006/relationships/hyperlink" TargetMode="External" Target="http://www3.lrs.lt/cgi-bin/preps2?a=231828&amp;b="/>
  <Relationship Id="rId132" Type="http://schemas.openxmlformats.org/officeDocument/2006/relationships/hyperlink" TargetMode="External" Target="http://www3.lrs.lt/cgi-bin/preps2?a=231829&amp;b="/>
  <Relationship Id="rId133" Type="http://schemas.openxmlformats.org/officeDocument/2006/relationships/hyperlink" TargetMode="External" Target="http://www3.lrs.lt/cgi-bin/preps2?a=274804&amp;b="/>
  <Relationship Id="rId134" Type="http://schemas.openxmlformats.org/officeDocument/2006/relationships/hyperlink" TargetMode="External" Target="http://www3.lrs.lt/cgi-bin/preps2?a=361205&amp;b="/>
  <Relationship Id="rId135" Type="http://schemas.openxmlformats.org/officeDocument/2006/relationships/hyperlink" TargetMode="External" Target="http://www3.lrs.lt/cgi-bin/preps2?a=396599&amp;b="/>
  <Relationship Id="rId136" Type="http://schemas.openxmlformats.org/officeDocument/2006/relationships/hyperlink" TargetMode="External" Target="http://www3.lrs.lt/cgi-bin/preps2?a=412356&amp;b="/>
  <Relationship Id="rId137" Type="http://schemas.openxmlformats.org/officeDocument/2006/relationships/hyperlink" TargetMode="External" Target="http://www3.lrs.lt/cgi-bin/preps2?a=464959&amp;b="/>
  <Relationship Id="rId138" Type="http://schemas.openxmlformats.org/officeDocument/2006/relationships/hyperlink" TargetMode="External" Target="http://www3.lrs.lt/cgi-bin/preps2?a=469641&amp;b="/>
  <Relationship Id="rId139" Type="http://schemas.openxmlformats.org/officeDocument/2006/relationships/hyperlink" TargetMode="External" Target="http://www3.lrs.lt/cgi-bin/preps2?a=478702&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40369&amp;b="/>
  <Relationship Id="rId141" Type="http://schemas.openxmlformats.org/officeDocument/2006/relationships/hyperlink" TargetMode="External" Target="http://www3.lrs.lt/cgi-bin/preps2?a=359889&amp;b="/>
  <Relationship Id="rId142" Type="http://schemas.openxmlformats.org/officeDocument/2006/relationships/hyperlink" TargetMode="External" Target="http://www3.lrs.lt/cgi-bin/preps2?a=361206&amp;b="/>
  <Relationship Id="rId143" Type="http://schemas.openxmlformats.org/officeDocument/2006/relationships/hyperlink" TargetMode="External" Target="http://www3.lrs.lt/cgi-bin/preps2?a=386459&amp;b="/>
  <Relationship Id="rId144" Type="http://schemas.openxmlformats.org/officeDocument/2006/relationships/hyperlink" TargetMode="External" Target="http://www3.lrs.lt/cgi-bin/preps2?a=396597&amp;b="/>
  <Relationship Id="rId145" Type="http://schemas.openxmlformats.org/officeDocument/2006/relationships/hyperlink" TargetMode="External" Target="http://www3.lrs.lt/cgi-bin/preps2?a=412373&amp;b="/>
  <Relationship Id="rId146" Type="http://schemas.openxmlformats.org/officeDocument/2006/relationships/hyperlink" TargetMode="External" Target="http://www3.lrs.lt/cgi-bin/preps2?a=415118&amp;b="/>
  <Relationship Id="rId147" Type="http://schemas.openxmlformats.org/officeDocument/2006/relationships/hyperlink" TargetMode="External" Target="http://www3.lrs.lt/cgi-bin/preps2?a=464957&amp;b="/>
  <Relationship Id="rId148" Type="http://schemas.openxmlformats.org/officeDocument/2006/relationships/hyperlink" TargetMode="External" Target="http://www3.lrs.lt/cgi-bin/preps2?a=478691&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274804&amp;b="/>
  <Relationship Id="rId151" Type="http://schemas.openxmlformats.org/officeDocument/2006/relationships/hyperlink" TargetMode="External" Target="http://www3.lrs.lt/cgi-bin/preps2?a=478702&amp;b="/>
  <Relationship Id="rId152" Type="http://schemas.openxmlformats.org/officeDocument/2006/relationships/hyperlink" TargetMode="External" Target="http://www3.lrs.lt/cgi-bin/preps2?a=230454&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412373&amp;b="/>
  <Relationship Id="rId155" Type="http://schemas.openxmlformats.org/officeDocument/2006/relationships/hyperlink" TargetMode="External" Target="http://www3.lrs.lt/cgi-bin/preps2?a=478691&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customXml" Target="../customXml/item1.xml"/>
  <Relationship Id="rId16"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f8f540cae8d14e0bafa25c3cee79fdd6">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eeb3f82de30643a09efd2563d72f91b8">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8ed52bbdc1844e6aa565e1b11250bb90">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f5fca3c5506541b2b4db5157860a0c48">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5e8e1a1bbe09410d9b58ff65d5d02fff"/>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3ac502c9f95432dacf5d3ccf344bbb7"/>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2d321edb04134bee82670ebadeef8391"/>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f6314a11c3b487f921136b05a07fe4f">
        <Part Type="strDalis" Nr="1" Abbr="43-7 str. 1 d." DocPartId="5e193e128b91457f8560d3f31433d46a" PartId="12deee7f9a1e459e9fbc858eb26b4431">
          <Part Type="strPunktas" Nr="1" Abbr="43-7 str. 1 d. 1 p." DocPartId="577293c67cfc480dab979ea18e7be762" PartId="1c4bdc4476af4016ae8dcdb21c898757"/>
          <Part Type="strPunktas" Nr="2" Abbr="43-7 str. 1 d. 2 p." DocPartId="62e6146829eb4ebeb36bd627e256b34b" PartId="5b1d4e784bf24af88613f153f81da622"/>
          <Part Type="strPunktas" Nr="3" Abbr="43-7 str. 1 d. 3 p." DocPartId="8ff5e450d45d4b26ab4f218efb9611ce" PartId="ed75541c32e04da494f1adfc90f29f69"/>
          <Part Type="strPunktas" Nr="4" Abbr="43-7 str. 1 d. 4 p." DocPartId="1aba048e4e984d5888630bf446444d79" PartId="da4fe465cd184762aa16d8de34100e61"/>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e50837b4be604900908daa192215addf">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3a0b3fae5ff541c690ae6c903a70ce07">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6d5b95f2981045988be34bc1a96a2cc4"/>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a056f0e98e145d986a15af98b329107">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082414A-48C2-437D-A21A-A2D3EA9F5FFB}">
  <ds:schemaRefs>
    <ds:schemaRef ds:uri="http://lrs.lt/TAIS/DocParts"/>
  </ds:schemaRefs>
</ds:datastoreItem>
</file>

<file path=customXml/itemProps3.xml><?xml version="1.0" encoding="utf-8"?>
<ds:datastoreItem xmlns:ds="http://schemas.openxmlformats.org/officeDocument/2006/customXml" ds:itemID="{21CE4268-76E3-487E-9C8D-AC5AACE0AA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37</Pages>
  <Words>98787</Words>
  <Characters>56309</Characters>
  <Application>Microsoft Office Word</Application>
  <DocSecurity>0</DocSecurity>
  <Lines>469</Lines>
  <Paragraphs>309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154787</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2019-01-05T12:58:00Z</dcterms:modified>
  <revision>31</revision>
  <dc:title>Neoficialus ?statymo tekstas</dc:title>
</coreProperties>
</file>