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2017-01-01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725fef77b6914b63b78fc1125c7bbc39"/>
                    <w:lock w:val="sdtLocked"/>
                    <w:richText/>
                  </w:sdtPr>
                  <w:sdtContent>
                    <w:p>
                      <w:pPr>
                        <w:ind w:firstLine="720"/>
                        <w:jc w:val="both"/>
                        <w:rPr>
                          <w:sz w:val="22"/>
                        </w:rPr>
                      </w:pPr>
                      <w:sdt>
                        <w:sdtPr>
                          <w:alias w:val="Numeris"/>
                          <w:tag w:val="nr_725fef77b6914b63b78fc1125c7bbc39"/>
                          <w:lock w:val="sdtLocked"/>
                          <w:richText/>
                        </w:sdtPr>
                        <w:sdtContent>
                          <w:r>
                            <w:rPr>
                              <w:sz w:val="22"/>
                            </w:rPr>
                            <w:t>3</w:t>
                          </w:r>
                        </w:sdtContent>
                      </w:sdt>
                      <w:r>
                        <w:rPr>
                          <w:sz w:val="22"/>
                        </w:rPr>
                        <w:t>. Lietuvos banko buveinė yra Vilniuje, Gedimino pr. 6.</w:t>
                      </w:r>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b9418e40a9884e40a2c4d10585bd847a"/>
                <w:lock w:val="sdtLocked"/>
                <w:richText/>
              </w:sdtPr>
              <w:sdtContent>
                <w:p>
                  <w:pPr>
                    <w:ind w:firstLine="720"/>
                    <w:jc w:val="both"/>
                    <w:rPr>
                      <w:b/>
                      <w:bCs/>
                      <w:sz w:val="22"/>
                    </w:rPr>
                  </w:pPr>
                  <w:sdt>
                    <w:sdtPr>
                      <w:alias w:val="Numeris"/>
                      <w:tag w:val="nr_b9418e40a9884e40a2c4d10585bd847a"/>
                      <w:lock w:val="sdtLocked"/>
                      <w:richText/>
                    </w:sdtPr>
                    <w:sdtContent>
                      <w:r>
                        <w:rPr>
                          <w:b/>
                          <w:bCs/>
                          <w:sz w:val="22"/>
                        </w:rPr>
                        <w:t>6</w:t>
                      </w:r>
                    </w:sdtContent>
                  </w:sdt>
                  <w:r>
                    <w:rPr>
                      <w:b/>
                      <w:bCs/>
                      <w:sz w:val="22"/>
                    </w:rPr>
                    <w:t xml:space="preserve"> straipsnis. </w:t>
                  </w:r>
                  <w:sdt>
                    <w:sdtPr>
                      <w:alias w:val="Pavadinimas"/>
                      <w:tag w:val="title_b9418e40a9884e40a2c4d10585bd847a"/>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5a2d6bc977154141a586b2be9c690f19"/>
                    <w:lock w:val="sdtLocked"/>
                    <w:richText/>
                  </w:sdtPr>
                  <w:sdtContent>
                    <w:p>
                      <w:pPr>
                        <w:ind w:firstLine="720"/>
                        <w:jc w:val="both"/>
                      </w:pPr>
                      <w:sdt>
                        <w:sdtPr>
                          <w:alias w:val="Numeris"/>
                          <w:tag w:val="nr_5a2d6bc977154141a586b2be9c690f19"/>
                          <w:lock w:val="sdtLocked"/>
                          <w:richText/>
                        </w:sdtPr>
                        <w:sdtContent>
                          <w:r>
                            <w:rPr>
                              <w:bCs/>
                              <w:color w:val="000000"/>
                              <w:sz w:val="22"/>
                              <w:szCs w:val="22"/>
                            </w:rPr>
                            <w:t>3</w:t>
                          </w:r>
                        </w:sdtContent>
                      </w:sdt>
                      <w:r>
                        <w:rPr>
                          <w:bCs/>
                          <w:color w:val="000000"/>
                          <w:sz w:val="22"/>
                          <w:szCs w:val="22"/>
                        </w:rPr>
                        <w:t xml:space="preserve">. Lietuvos bankas nustato kredito ir mokėjimo įstaigoms ir kitiems ūkio subjektams, kurie verčiasi banknotų ir monetų gavimu, tvarkymu ir jų pakartotiniu išleidimu į apyvartą, Lietuvos Respublikos pinigų ir Europos Sąjungos bendros valiutos banknotų ir monetų autentiškumo tikrinimo bei jų padirbinių </w:t>
                      </w:r>
                      <w:r>
                        <w:rPr>
                          <w:sz w:val="22"/>
                          <w:szCs w:val="22"/>
                          <w:lang w:eastAsia="lt-LT"/>
                        </w:rPr>
                        <w:t>aptikimo užtikrinimo reikalavimus</w:t>
                      </w:r>
                      <w:r>
                        <w:rPr>
                          <w:bCs/>
                          <w:color w:val="000000"/>
                          <w:sz w:val="22"/>
                          <w:szCs w:val="22"/>
                        </w:rPr>
                        <w:t xml:space="preserve"> ir prižiūri, kaip šie reikalavimai vykdomi.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697600893ce943b1b3b73837ce516d26"/>
                        <w:lock w:val="sdtLocked"/>
                        <w:richText/>
                      </w:sdtPr>
                      <w:sdtContent>
                        <w:p>
                          <w:pPr>
                            <w:ind w:firstLine="720"/>
                            <w:jc w:val="both"/>
                            <w:rPr>
                              <w:bCs/>
                              <w:sz w:val="22"/>
                              <w:szCs w:val="22"/>
                              <w:lang w:eastAsia="lt-LT"/>
                            </w:rPr>
                          </w:pPr>
                          <w:sdt>
                            <w:sdtPr>
                              <w:alias w:val="Numeris"/>
                              <w:tag w:val="nr_697600893ce943b1b3b73837ce516d26"/>
                              <w:lock w:val="sdtLocked"/>
                              <w:richText/>
                            </w:sdtPr>
                            <w:sdtContent>
                              <w:r>
                                <w:rPr>
                                  <w:bCs/>
                                  <w:sz w:val="22"/>
                                  <w:szCs w:val="22"/>
                                  <w:lang w:eastAsia="lt-LT"/>
                                </w:rPr>
                                <w:t>4</w:t>
                              </w:r>
                            </w:sdtContent>
                          </w:sdt>
                          <w:r>
                            <w:rPr>
                              <w:bCs/>
                              <w:sz w:val="22"/>
                              <w:szCs w:val="22"/>
                              <w:lang w:eastAsia="lt-LT"/>
                            </w:rPr>
                            <w:t>) skatina patvarų ir veiksmingą mokėjimo ir vertybinių popierių atsiskaitymo sistemų veikimą;</w:t>
                          </w:r>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c4c9a1fd929247d2b57859d577dc1857"/>
                    <w:lock w:val="sdtLocked"/>
                    <w:richText/>
                  </w:sdtPr>
                  <w:sdtContent>
                    <w:p>
                      <w:pPr>
                        <w:ind w:firstLine="720"/>
                        <w:jc w:val="both"/>
                        <w:rPr>
                          <w:bCs/>
                          <w:sz w:val="22"/>
                          <w:szCs w:val="22"/>
                          <w:lang w:eastAsia="lt-LT"/>
                        </w:rPr>
                      </w:pPr>
                      <w:sdt>
                        <w:sdtPr>
                          <w:alias w:val="Numeris"/>
                          <w:tag w:val="nr_c4c9a1fd929247d2b57859d577dc1857"/>
                          <w:lock w:val="sdtLocked"/>
                          <w:richText/>
                        </w:sdtPr>
                        <w:sdtContent>
                          <w:r>
                            <w:rPr>
                              <w:bCs/>
                              <w:sz w:val="22"/>
                              <w:szCs w:val="22"/>
                              <w:lang w:eastAsia="lt-LT"/>
                            </w:rPr>
                            <w:t>3</w:t>
                          </w:r>
                        </w:sdtContent>
                      </w:sdt>
                      <w:r>
                        <w:rPr>
                          <w:bCs/>
                          <w:sz w:val="22"/>
                          <w:szCs w:val="22"/>
                          <w:lang w:eastAsia="lt-LT"/>
                        </w:rPr>
                        <w:t>. Lietuvos bankas vykdo veiklą, reikalingą šio straipsnio 1 ir 2 dalyse numatytoms funkcijoms įgyvendinti ir tam reikalingai infrastruktūrai sukurti bei palaikyti.</w:t>
                      </w:r>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f78d28b916054bcf94c7384f42a8fc12"/>
                <w:lock w:val="sdtLocked"/>
                <w:richText/>
              </w:sdtPr>
              <w:sdtContent>
                <w:p>
                  <w:pPr>
                    <w:ind w:firstLine="720"/>
                    <w:jc w:val="both"/>
                    <w:rPr>
                      <w:b/>
                      <w:sz w:val="22"/>
                    </w:rPr>
                  </w:pPr>
                  <w:sdt>
                    <w:sdtPr>
                      <w:alias w:val="Numeris"/>
                      <w:tag w:val="nr_f78d28b916054bcf94c7384f42a8fc12"/>
                      <w:lock w:val="sdtLocked"/>
                      <w:richText/>
                    </w:sdtPr>
                    <w:sdtContent>
                      <w:r>
                        <w:rPr>
                          <w:b/>
                          <w:sz w:val="22"/>
                        </w:rPr>
                        <w:t>11</w:t>
                      </w:r>
                    </w:sdtContent>
                  </w:sdt>
                  <w:r>
                    <w:rPr>
                      <w:b/>
                      <w:sz w:val="22"/>
                    </w:rPr>
                    <w:t xml:space="preserve"> straipsnis. </w:t>
                  </w:r>
                  <w:sdt>
                    <w:sdtPr>
                      <w:alias w:val="Pavadinimas"/>
                      <w:tag w:val="title_f78d28b916054bcf94c7384f42a8fc12"/>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71cb0639615e46adbb3cbfd72ece5901"/>
                        <w:lock w:val="sdtLocked"/>
                        <w:richText/>
                      </w:sdtPr>
                      <w:sdtContent>
                        <w:p>
                          <w:pPr>
                            <w:ind w:firstLine="720"/>
                            <w:jc w:val="both"/>
                            <w:rPr>
                              <w:sz w:val="22"/>
                              <w:szCs w:val="22"/>
                            </w:rPr>
                          </w:pPr>
                          <w:sdt>
                            <w:sdtPr>
                              <w:alias w:val="Numeris"/>
                              <w:tag w:val="nr_71cb0639615e46adbb3cbfd72ece5901"/>
                              <w:lock w:val="sdtLocked"/>
                              <w:richText/>
                            </w:sdtPr>
                            <w:sdtContent>
                              <w:r>
                                <w:rPr>
                                  <w:sz w:val="22"/>
                                  <w:szCs w:val="22"/>
                                </w:rPr>
                                <w:t>13</w:t>
                              </w:r>
                            </w:sdtContent>
                          </w:sdt>
                          <w:r>
                            <w:rPr>
                              <w:sz w:val="22"/>
                              <w:szCs w:val="22"/>
                            </w:rPr>
                            <w:t>) šio įstatymo 42 straipsnio 1 dalyje nurodytiems finansų rinkos dalyviams (toliau – prižiūrimi finansų rinkos dalyviai) taiko įstatymų ir Europos Sąjungos teisės aktų nustatytas poveikio priemones</w:t>
                          </w:r>
                          <w:r>
                            <w:rPr>
                              <w:bCs/>
                              <w:sz w:val="22"/>
                              <w:szCs w:val="22"/>
                            </w:rPr>
                            <w:t xml:space="preserve">, finansų rinką reglamentuojančiuose teisės aktuose nustatytus nurodymus, įpareigojimus, draudimus ir kitas kitiems asmenims privalomas vykdyti priemones, </w:t>
                          </w:r>
                          <w:r>
                            <w:rPr>
                              <w:bCs/>
                              <w:sz w:val="22"/>
                              <w:szCs w:val="22"/>
                              <w:lang w:eastAsia="lt-LT"/>
                            </w:rPr>
                            <w:t xml:space="preserve">išskyrus atvejus, kai pagal </w:t>
                          </w:r>
                          <w:r>
                            <w:rPr>
                              <w:sz w:val="22"/>
                              <w:szCs w:val="22"/>
                            </w:rPr>
                            <w:t>Reglamento (ES) Nr. 1024/2013 nuostatas tai atlieka Europos centrinis bankas;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11 str. 1 d. 21 p."/>
                        <w:tag w:val="part_4a3a6d725f314b89a2436bc897a6d691"/>
                        <w:lock w:val="sdtLocked"/>
                        <w:richText/>
                      </w:sdtPr>
                      <w:sdtContent>
                        <w:p>
                          <w:pPr>
                            <w:ind w:firstLine="720"/>
                            <w:jc w:val="both"/>
                            <w:rPr>
                              <w:sz w:val="22"/>
                            </w:rPr>
                          </w:pPr>
                          <w:sdt>
                            <w:sdtPr>
                              <w:alias w:val="Numeris"/>
                              <w:tag w:val="nr_4a3a6d725f314b89a2436bc897a6d691"/>
                              <w:lock w:val="sdtLocked"/>
                              <w:richText/>
                            </w:sdtPr>
                            <w:sdtContent>
                              <w:r>
                                <w:rPr>
                                  <w:sz w:val="22"/>
                                </w:rPr>
                                <w:t>21</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11 str. 2 d."/>
                    <w:tag w:val="part_d9ec73e42d5f4e78bc16cdc9379b35fc"/>
                    <w:lock w:val="sdtLocked"/>
                    <w:richText/>
                  </w:sdtPr>
                  <w:sdtContent>
                    <w:p>
                      <w:pPr>
                        <w:ind w:firstLine="720"/>
                        <w:jc w:val="both"/>
                        <w:rPr>
                          <w:sz w:val="22"/>
                        </w:rPr>
                      </w:pPr>
                      <w:sdt>
                        <w:sdtPr>
                          <w:alias w:val="Numeris"/>
                          <w:tag w:val="nr_d9ec73e42d5f4e78bc16cdc9379b35fc"/>
                          <w:lock w:val="sdtLocked"/>
                          <w:richText/>
                        </w:sdtPr>
                        <w:sdtContent>
                          <w:r>
                            <w:rPr>
                              <w:sz w:val="22"/>
                              <w:szCs w:val="22"/>
                            </w:rPr>
                            <w:t>2</w:t>
                          </w:r>
                        </w:sdtContent>
                      </w:sdt>
                      <w:r>
                        <w:rPr>
                          <w:sz w:val="22"/>
                          <w:szCs w:val="22"/>
                        </w:rPr>
                        <w:t>. Lietuvos banko valdyba gali dalį savo funkcijų pavesti vykdyti valdybos pirmininkui, išskyrus šio straipsnio 1 dalies 4, 6, 7,</w:t>
                      </w:r>
                      <w:r>
                        <w:rPr>
                          <w:b/>
                          <w:sz w:val="22"/>
                          <w:szCs w:val="22"/>
                        </w:rPr>
                        <w:t xml:space="preserve"> </w:t>
                      </w:r>
                      <w:r>
                        <w:rPr>
                          <w:sz w:val="22"/>
                          <w:szCs w:val="22"/>
                        </w:rPr>
                        <w:t>9, 10, 12, 13, 14, 15, 16, 18, 19 ir 20 punktuose numatytas funkcijas.</w:t>
                      </w:r>
                    </w:p>
                  </w:sdtContent>
                </w:sdt>
                <w:sdt>
                  <w:sdtPr>
                    <w:alias w:val="11 str. 3 d."/>
                    <w:tag w:val="part_26998c74641740f3b76b5a87bda5f9d8"/>
                    <w:lock w:val="sdtLocked"/>
                    <w:richText/>
                  </w:sdtPr>
                  <w:sdtContent>
                    <w:p>
                      <w:pPr>
                        <w:ind w:firstLine="720"/>
                        <w:jc w:val="both"/>
                      </w:pPr>
                      <w:sdt>
                        <w:sdtPr>
                          <w:alias w:val="Numeris"/>
                          <w:tag w:val="nr_26998c74641740f3b76b5a87bda5f9d8"/>
                          <w:lock w:val="sdtLocked"/>
                          <w:richText/>
                        </w:sdtPr>
                        <w:sdtContent>
                          <w:r>
                            <w:rPr>
                              <w:bCs/>
                              <w:sz w:val="22"/>
                              <w:szCs w:val="22"/>
                            </w:rPr>
                            <w:t>3</w:t>
                          </w:r>
                        </w:sdtContent>
                      </w:sdt>
                      <w:r>
                        <w:rPr>
                          <w:bCs/>
                          <w:sz w:val="22"/>
                          <w:szCs w:val="22"/>
                        </w:rPr>
                        <w:t>. Lietuvos banko valdyba gali visas ar dalį savo funkcijų, nustatytų šio straipsnio 1 dalies 13, 18 ir 19 punktuose, pavesti vykdyti Lietuvos banko struktūriniams padaliniams, jeigu įstatymai nenustato kitaip.</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8defedf30d5747b6a109b496a1078ed7"/>
                <w:lock w:val="sdtLocked"/>
                <w:richText/>
              </w:sdtPr>
              <w:sdtContent>
                <w:p>
                  <w:pPr>
                    <w:ind w:firstLine="720"/>
                    <w:jc w:val="both"/>
                    <w:rPr>
                      <w:sz w:val="22"/>
                    </w:rPr>
                  </w:pPr>
                  <w:sdt>
                    <w:sdtPr>
                      <w:alias w:val="Numeris"/>
                      <w:tag w:val="nr_8defedf30d5747b6a109b496a1078ed7"/>
                      <w:lock w:val="sdtLocked"/>
                      <w:richText/>
                    </w:sdtPr>
                    <w:sdtContent>
                      <w:r>
                        <w:rPr>
                          <w:b/>
                          <w:sz w:val="22"/>
                        </w:rPr>
                        <w:t>19</w:t>
                      </w:r>
                    </w:sdtContent>
                  </w:sdt>
                  <w:r>
                    <w:rPr>
                      <w:b/>
                      <w:sz w:val="22"/>
                    </w:rPr>
                    <w:t xml:space="preserve"> straipsnis. </w:t>
                  </w:r>
                  <w:sdt>
                    <w:sdtPr>
                      <w:alias w:val="Pavadinimas"/>
                      <w:tag w:val="title_8defedf30d5747b6a109b496a1078ed7"/>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8b2c637aad5844a497beb48242f62919"/>
                <w:lock w:val="sdtLocked"/>
                <w:richText/>
              </w:sdtPr>
              <w:sdtContent>
                <w:p>
                  <w:pPr>
                    <w:ind w:firstLine="720"/>
                    <w:jc w:val="both"/>
                    <w:rPr>
                      <w:b/>
                      <w:sz w:val="22"/>
                    </w:rPr>
                  </w:pPr>
                  <w:sdt>
                    <w:sdtPr>
                      <w:alias w:val="Numeris"/>
                      <w:tag w:val="nr_8b2c637aad5844a497beb48242f62919"/>
                      <w:lock w:val="sdtLocked"/>
                      <w:richText/>
                    </w:sdtPr>
                    <w:sdtContent>
                      <w:r>
                        <w:rPr>
                          <w:b/>
                          <w:sz w:val="22"/>
                        </w:rPr>
                        <w:t>20</w:t>
                      </w:r>
                    </w:sdtContent>
                  </w:sdt>
                  <w:r>
                    <w:rPr>
                      <w:b/>
                      <w:sz w:val="22"/>
                    </w:rPr>
                    <w:t xml:space="preserve"> straipsnis. </w:t>
                  </w:r>
                  <w:sdt>
                    <w:sdtPr>
                      <w:alias w:val="Pavadinimas"/>
                      <w:tag w:val="title_8b2c637aad5844a497beb48242f62919"/>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9c94d12530c4436e990b437081bd7743"/>
                    <w:lock w:val="sdtLocked"/>
                    <w:richText/>
                  </w:sdtPr>
                  <w:sdtContent>
                    <w:p>
                      <w:pPr>
                        <w:ind w:firstLine="720"/>
                        <w:jc w:val="both"/>
                        <w:rPr>
                          <w:sz w:val="22"/>
                          <w:szCs w:val="22"/>
                        </w:rPr>
                      </w:pPr>
                      <w:sdt>
                        <w:sdtPr>
                          <w:alias w:val="Numeris"/>
                          <w:tag w:val="nr_9c94d12530c4436e990b437081bd774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sz w:val="22"/>
                          <w:szCs w:val="22"/>
                        </w:rPr>
                        <w:t xml:space="preserve"> </w:t>
                      </w:r>
                      <w:r>
                        <w:rPr>
                          <w:sz w:val="22"/>
                          <w:szCs w:val="22"/>
                        </w:rPr>
                        <w:t>Nustatant įmokų dydį, atsižvelgiama į Lietuvos banko atliekamas funkcijas ir patiriamas išlaidas, susijusias su atitinkamais finansų rinkos dalyviais, taip pat į šių finansų rinkos dalyvių veiklos mastą, formą, o prižiūrimų finansų rinkos dalyvių atveju – ir jų prisiimamą riziką. Išsamią prižiūrimų finansų rinkos dalyvių įmokų apskaičiavimo metodiką ir mokėjimo tvarką bei įmokų pertvarkymo institucijos veiklai finansuoti mokėjimo tvarką nustato Lietuvos banko teisės aktai.</w:t>
                      </w:r>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f3fc325c6a784748a573b393b052fac9"/>
                    <w:lock w:val="sdtLocked"/>
                    <w:richText/>
                  </w:sdtPr>
                  <w:sdtContent>
                    <w:p>
                      <w:pPr>
                        <w:ind w:firstLine="720"/>
                        <w:jc w:val="both"/>
                        <w:rPr>
                          <w:sz w:val="22"/>
                          <w:szCs w:val="22"/>
                        </w:rPr>
                      </w:pPr>
                      <w:sdt>
                        <w:sdtPr>
                          <w:alias w:val="Numeris"/>
                          <w:tag w:val="nr_f3fc325c6a784748a573b393b052fac9"/>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Už praleistą įmokų sumokėjimo terminą finansų rinkos dalyviai privalo mokėti delspinigius: 0,05 procento nuo nesumokėtos sumos už kiekvieną dieną. Delspinigių sumokėjimas neatleidžia nuo pareigos sumokėti visą uždelstą sumą.</w:t>
                      </w:r>
                    </w:p>
                    <w:p>
                      <w:pPr>
                        <w:jc w:val="both"/>
                        <w:rPr>
                          <w:i/>
                          <w:sz w:val="20"/>
                        </w:rPr>
                      </w:pPr>
                      <w:r>
                        <w:rPr>
                          <w:b/>
                          <w:i/>
                          <w:sz w:val="20"/>
                        </w:rPr>
                        <w:t>TAR pastaba.</w:t>
                      </w:r>
                      <w:r>
                        <w:rPr>
                          <w:i/>
                          <w:sz w:val="20"/>
                        </w:rPr>
                        <w:t xml:space="preserve"> 21</w:t>
                      </w:r>
                      <w:r>
                        <w:rPr>
                          <w:i/>
                          <w:sz w:val="20"/>
                          <w:vertAlign w:val="superscript"/>
                        </w:rPr>
                        <w:t>1</w:t>
                      </w:r>
                      <w:r>
                        <w:rPr>
                          <w:i/>
                          <w:sz w:val="20"/>
                        </w:rPr>
                        <w:t> straipsnio 5 dalyje nustatyta įmokų surinkimo tvarka pradedama taikyti finansų rinkos dalyvių įmokoms už 2016 metus.</w:t>
                      </w:r>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a56f001d1a1b4c989c511fe5770e56df"/>
                <w:lock w:val="sdtLocked"/>
                <w:richText/>
              </w:sdtPr>
              <w:sdtContent>
                <w:p>
                  <w:pPr>
                    <w:ind w:left="2268" w:hanging="1548"/>
                    <w:jc w:val="both"/>
                    <w:rPr>
                      <w:b/>
                      <w:bCs/>
                      <w:sz w:val="22"/>
                      <w:szCs w:val="22"/>
                    </w:rPr>
                  </w:pPr>
                  <w:sdt>
                    <w:sdtPr>
                      <w:alias w:val="Numeris"/>
                      <w:tag w:val="nr_a56f001d1a1b4c989c511fe5770e56df"/>
                      <w:lock w:val="sdtLocked"/>
                      <w:richText/>
                    </w:sdtPr>
                    <w:sdtContent>
                      <w:r>
                        <w:rPr>
                          <w:b/>
                          <w:bCs/>
                          <w:sz w:val="22"/>
                          <w:szCs w:val="22"/>
                        </w:rPr>
                        <w:t>42</w:t>
                      </w:r>
                    </w:sdtContent>
                  </w:sdt>
                  <w:r>
                    <w:rPr>
                      <w:b/>
                      <w:bCs/>
                      <w:sz w:val="22"/>
                      <w:szCs w:val="22"/>
                    </w:rPr>
                    <w:t xml:space="preserve"> straipsnis. </w:t>
                  </w:r>
                  <w:sdt>
                    <w:sdtPr>
                      <w:alias w:val="Pavadinimas"/>
                      <w:tag w:val="title_a56f001d1a1b4c989c511fe5770e56df"/>
                      <w:lock w:val="sdtLocked"/>
                      <w:richText/>
                    </w:sdtPr>
                    <w:sdtContent>
                      <w:r>
                        <w:rPr>
                          <w:b/>
                          <w:bCs/>
                          <w:sz w:val="22"/>
                          <w:szCs w:val="22"/>
                        </w:rPr>
                        <w:t>Lietuvos banko tikslas, funkcijos, teisės ir pareigos atliekant finansų rinkos priežiūrą</w:t>
                      </w:r>
                    </w:sdtContent>
                  </w:sdt>
                </w:p>
                <w:sdt>
                  <w:sdtPr>
                    <w:alias w:val="42 str. 1 d."/>
                    <w:tag w:val="part_2f867dcc9a0943ed9263f95c94c3692f"/>
                    <w:lock w:val="sdtLocked"/>
                    <w:richText/>
                  </w:sdtPr>
                  <w:sdtContent>
                    <w:p>
                      <w:pPr>
                        <w:widowControl w:val="0"/>
                        <w:ind w:firstLine="720"/>
                        <w:jc w:val="both"/>
                        <w:rPr>
                          <w:b/>
                          <w:bCs/>
                          <w:i/>
                          <w:sz w:val="20"/>
                        </w:rPr>
                      </w:pPr>
                      <w:sdt>
                        <w:sdtPr>
                          <w:alias w:val="Numeris"/>
                          <w:tag w:val="nr_2f867dcc9a0943ed9263f95c94c3692f"/>
                          <w:lock w:val="sdtLocked"/>
                          <w:richText/>
                        </w:sdtPr>
                        <w:sdtContent>
                          <w:r>
                            <w:rPr>
                              <w:bCs/>
                              <w:sz w:val="22"/>
                              <w:szCs w:val="22"/>
                            </w:rPr>
                            <w:t>1</w:t>
                          </w:r>
                        </w:sdtContent>
                      </w:sdt>
                      <w:r>
                        <w:rPr>
                          <w:bCs/>
                          <w:sz w:val="22"/>
                          <w:szCs w:val="22"/>
                        </w:rPr>
                        <w:t>. Prižiūrimi finansų rinkos dalyviai yra bankai, užsienio valstybių bankų filialai, įsteigti Lietuvos Respublikoje, Centrinė kredito unija,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patarėjo įmonės, reguliuojamos rinkos operatoriai, valdymo įmonės, investicinės bendrovės, depozitoriumai, užsienio valstybių finansų maklerio įmonės ir valdymo įmonių filialai, įsteigti Lietuvos Respublikoje, pensijų asociacijos, kontroliuojančiosios investicinės bendrovės ir emitentai, mokėjimo įstaigos ir mokėjimo įstaigų tarpininkai, vartojimo kredito davėjai ir vartojimo kredito tarpininkai, sutelktinio finansavimo platformų operatoriai, mokėjimo ir vertybinių popierių atsiskaitymo sistemų operatoriai ir valiutos keityklų operatoriai</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sdtContent>
                </w:sdt>
                <w:sdt>
                  <w:sdtPr>
                    <w:alias w:val="42 str. 2 d."/>
                    <w:tag w:val="part_222f459abe6a47018ca4765b46e4961c"/>
                    <w:lock w:val="sdtLocked"/>
                    <w:richText/>
                  </w:sdtPr>
                  <w:sdtContent>
                    <w:p>
                      <w:pPr>
                        <w:ind w:firstLine="720"/>
                        <w:jc w:val="both"/>
                        <w:rPr>
                          <w:bCs/>
                          <w:sz w:val="22"/>
                          <w:szCs w:val="22"/>
                        </w:rPr>
                      </w:pPr>
                      <w:sdt>
                        <w:sdtPr>
                          <w:alias w:val="Numeris"/>
                          <w:tag w:val="nr_222f459abe6a47018ca4765b46e4961c"/>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6ad3f2b4e5dd4997b1d82db51d1d2ec9"/>
                        <w:lock w:val="sdtLocked"/>
                        <w:richText/>
                      </w:sdtPr>
                      <w:sdtContent>
                        <w:p>
                          <w:pPr>
                            <w:ind w:firstLine="720"/>
                            <w:jc w:val="both"/>
                            <w:rPr>
                              <w:bCs/>
                              <w:sz w:val="22"/>
                              <w:szCs w:val="22"/>
                            </w:rPr>
                          </w:pPr>
                          <w:sdt>
                            <w:sdtPr>
                              <w:alias w:val="Numeris"/>
                              <w:tag w:val="nr_6ad3f2b4e5dd4997b1d82db51d1d2ec9"/>
                              <w:lock w:val="sdtLocked"/>
                              <w:richText/>
                            </w:sdtPr>
                            <w:sdtContent>
                              <w:r>
                                <w:rPr>
                                  <w:bCs/>
                                  <w:sz w:val="22"/>
                                  <w:szCs w:val="22"/>
                                </w:rPr>
                                <w:t>1</w:t>
                              </w:r>
                            </w:sdtContent>
                          </w:sdt>
                          <w:r>
                            <w:rPr>
                              <w:bCs/>
                              <w:sz w:val="22"/>
                              <w:szCs w:val="22"/>
                            </w:rPr>
                            <w:t>) atlieka bankų, užsienio valstybių bankų filialų, įsteigtų Lietuvos Respublikoje, Centrinės kredito unijos, kredito unijų priežiūrą ir kitas Lietuvos Respublikos bankų įstatymo, Lietuvos Respublikos centrinės kredito unijos įstatymo ir Lietuvos Respublikos kredito unijų įstatymo Lietuvos bankui priskirtas funkcijas;</w:t>
                          </w:r>
                        </w:p>
                      </w:sdtContent>
                    </w:sdt>
                    <w:sdt>
                      <w:sdtPr>
                        <w:alias w:val="42 str. 2 d. 2 p."/>
                        <w:tag w:val="part_eba793c2980f4b7ab08e1b91d09470e5"/>
                        <w:lock w:val="sdtLocked"/>
                        <w:richText/>
                      </w:sdtPr>
                      <w:sdtContent>
                        <w:p>
                          <w:pPr>
                            <w:ind w:firstLine="720"/>
                            <w:jc w:val="both"/>
                            <w:rPr>
                              <w:bCs/>
                              <w:sz w:val="22"/>
                              <w:szCs w:val="22"/>
                            </w:rPr>
                          </w:pPr>
                          <w:sdt>
                            <w:sdtPr>
                              <w:alias w:val="Numeris"/>
                              <w:tag w:val="nr_eba793c2980f4b7ab08e1b91d09470e5"/>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5562d087550a4831a4e554e300e35e41"/>
                        <w:lock w:val="sdtLocked"/>
                        <w:richText/>
                      </w:sdtPr>
                      <w:sdtContent>
                        <w:p>
                          <w:pPr>
                            <w:ind w:firstLine="720"/>
                            <w:jc w:val="both"/>
                            <w:rPr>
                              <w:bCs/>
                              <w:sz w:val="22"/>
                              <w:szCs w:val="22"/>
                            </w:rPr>
                          </w:pPr>
                          <w:sdt>
                            <w:sdtPr>
                              <w:alias w:val="Numeris"/>
                              <w:tag w:val="nr_5562d087550a4831a4e554e300e35e41"/>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534c09eed3bc4658947279ffdea278e9"/>
                        <w:lock w:val="sdtLocked"/>
                        <w:richText/>
                      </w:sdtPr>
                      <w:sdtContent>
                        <w:p>
                          <w:pPr>
                            <w:tabs>
                              <w:tab w:val="left" w:pos="720"/>
                            </w:tabs>
                            <w:ind w:right="6" w:firstLine="720"/>
                            <w:jc w:val="both"/>
                            <w:rPr>
                              <w:bCs/>
                              <w:sz w:val="22"/>
                              <w:szCs w:val="22"/>
                            </w:rPr>
                          </w:pPr>
                          <w:sdt>
                            <w:sdtPr>
                              <w:alias w:val="Numeris"/>
                              <w:tag w:val="nr_534c09eed3bc4658947279ffdea278e9"/>
                              <w:lock w:val="sdtLocked"/>
                              <w:richText/>
                            </w:sdtPr>
                            <w:sdtContent>
                              <w:r>
                                <w:rPr>
                                  <w:sz w:val="22"/>
                                  <w:szCs w:val="22"/>
                                  <w:lang w:eastAsia="lt-LT" w:bidi="he-IL"/>
                                </w:rPr>
                                <w:t>4</w:t>
                              </w:r>
                            </w:sdtContent>
                          </w:sdt>
                          <w:r>
                            <w:rPr>
                              <w:sz w:val="22"/>
                              <w:szCs w:val="22"/>
                              <w:lang w:eastAsia="lt-LT" w:bidi="he-IL"/>
                            </w:rPr>
                            <w:t>) atlieka finansų maklerio įmonių, finansų patarėjo įmonių, reguliuojamų rinkų operatorių, valdymo įmonių, investicinių bendrovių,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valdymo įmonių įstatymo, Lietuvos Respublikos informuotiesiems investuotojams skirtų kolektyvinio investavimo subjektų įstatymo, Lietuvos Respublikos profesionaliesiems investuotojams skirtų kolektyvinio investavimo subjektų valdymo įmonių įstatymo,</w:t>
                          </w:r>
                          <w:r>
                            <w:rPr>
                              <w:b/>
                              <w:sz w:val="22"/>
                              <w:szCs w:val="22"/>
                              <w:lang w:eastAsia="lt-LT" w:bidi="he-IL"/>
                            </w:rPr>
                            <w:t xml:space="preserve"> </w:t>
                          </w:r>
                          <w:r>
                            <w:rPr>
                              <w:sz w:val="22"/>
                              <w:szCs w:val="22"/>
                              <w:lang w:eastAsia="lt-LT" w:bidi="he-IL"/>
                            </w:rPr>
                            <w:t>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42 str. 2 d. 5 p."/>
                        <w:tag w:val="part_21798314417b43e6acd91606eebb2d0d"/>
                        <w:lock w:val="sdtLocked"/>
                        <w:richText/>
                      </w:sdtPr>
                      <w:sdtContent>
                        <w:p>
                          <w:pPr>
                            <w:ind w:firstLine="720"/>
                            <w:jc w:val="both"/>
                            <w:rPr>
                              <w:bCs/>
                              <w:sz w:val="22"/>
                              <w:szCs w:val="22"/>
                            </w:rPr>
                          </w:pPr>
                          <w:sdt>
                            <w:sdtPr>
                              <w:alias w:val="Numeris"/>
                              <w:tag w:val="nr_21798314417b43e6acd91606eebb2d0d"/>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e13ce716baec48ad8ecdaf4019c12074"/>
                        <w:lock w:val="sdtLocked"/>
                        <w:richText/>
                      </w:sdtPr>
                      <w:sdtContent>
                        <w:p>
                          <w:pPr>
                            <w:ind w:firstLine="720"/>
                            <w:jc w:val="both"/>
                            <w:rPr>
                              <w:bCs/>
                              <w:sz w:val="22"/>
                              <w:szCs w:val="22"/>
                            </w:rPr>
                          </w:pPr>
                          <w:sdt>
                            <w:sdtPr>
                              <w:alias w:val="Numeris"/>
                              <w:tag w:val="nr_e13ce716baec48ad8ecdaf4019c12074"/>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ir kitų įstatymų Lietuvos bankui priskirtas funkcijas;</w:t>
                          </w:r>
                        </w:p>
                      </w:sdtContent>
                    </w:sdt>
                    <w:sdt>
                      <w:sdtPr>
                        <w:alias w:val="42 str. 2 d. 7 p."/>
                        <w:tag w:val="part_710d6e173a1b42cfb485646ee835031e"/>
                        <w:lock w:val="sdtLocked"/>
                        <w:richText/>
                      </w:sdtPr>
                      <w:sdtContent>
                        <w:p>
                          <w:pPr>
                            <w:ind w:firstLine="720"/>
                            <w:jc w:val="both"/>
                            <w:rPr>
                              <w:bCs/>
                              <w:sz w:val="22"/>
                              <w:szCs w:val="22"/>
                            </w:rPr>
                          </w:pPr>
                          <w:sdt>
                            <w:sdtPr>
                              <w:alias w:val="Numeris"/>
                              <w:tag w:val="nr_710d6e173a1b42cfb485646ee835031e"/>
                              <w:lock w:val="sdtLocked"/>
                              <w:richText/>
                            </w:sdtPr>
                            <w:sdtContent>
                              <w:r>
                                <w:rPr>
                                  <w:bCs/>
                                  <w:sz w:val="22"/>
                                  <w:szCs w:val="22"/>
                                </w:rPr>
                                <w:t>7</w:t>
                              </w:r>
                            </w:sdtContent>
                          </w:sdt>
                          <w:r>
                            <w:rPr>
                              <w:bCs/>
                              <w:sz w:val="22"/>
                              <w:szCs w:val="22"/>
                            </w:rPr>
                            <w:t>) atlieka vartojimo kredito davėjų ir vartojimo kredito tarpininkų priežiūrą ir kitas Lietuvos Respublikos vartojimo kredito įstatymo Lietuvos bankui priskirtas funkcijas;</w:t>
                          </w:r>
                        </w:p>
                      </w:sdtContent>
                    </w:sdt>
                    <w:sdt>
                      <w:sdtPr>
                        <w:alias w:val="42 str. 2 d. 8 p."/>
                        <w:tag w:val="part_983d04183f054ae690ca98a3a44dd382"/>
                        <w:lock w:val="sdtLocked"/>
                        <w:richText/>
                      </w:sdtPr>
                      <w:sdtContent>
                        <w:p>
                          <w:pPr>
                            <w:ind w:firstLine="720"/>
                            <w:jc w:val="both"/>
                            <w:rPr>
                              <w:b/>
                              <w:bCs/>
                              <w:i/>
                              <w:sz w:val="20"/>
                            </w:rPr>
                          </w:pPr>
                          <w:sdt>
                            <w:sdtPr>
                              <w:alias w:val="Numeris"/>
                              <w:tag w:val="nr_983d04183f054ae690ca98a3a44dd382"/>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beb3881955284336aef9ae6af7e79103"/>
                        <w:lock w:val="sdtLocked"/>
                        <w:richText/>
                      </w:sdtPr>
                      <w:sdtContent>
                        <w:p>
                          <w:pPr>
                            <w:ind w:firstLine="720"/>
                            <w:jc w:val="both"/>
                            <w:rPr>
                              <w:sz w:val="22"/>
                              <w:szCs w:val="22"/>
                            </w:rPr>
                          </w:pPr>
                          <w:r>
                            <w:rPr>
                              <w:sz w:val="22"/>
                              <w:szCs w:val="22"/>
                            </w:rPr>
                            <w:t>9) atlieka valiutos keityklų operatorių priežiūrą ir kitas Lietuvos Respublikos valiutos keityklos operatorių įstatyme Lietuvos bankui priskirtas funkcijas;</w:t>
                          </w:r>
                        </w:p>
                      </w:sdtContent>
                    </w:sdt>
                    <w:sdt>
                      <w:sdtPr>
                        <w:alias w:val="10 p."/>
                        <w:tag w:val="part_2716c21aa2724a94af0cdc21558f20b0"/>
                        <w:lock w:val="sdtLocked"/>
                        <w:richText/>
                      </w:sdtPr>
                      <w:sdtContent>
                        <w:p>
                          <w:pPr>
                            <w:tabs>
                              <w:tab w:val="left" w:pos="720"/>
                            </w:tabs>
                            <w:ind w:right="6" w:firstLine="720"/>
                            <w:jc w:val="both"/>
                          </w:pPr>
                          <w:sdt>
                            <w:sdtPr>
                              <w:alias w:val="Numeris"/>
                              <w:tag w:val="nr_2716c21aa2724a94af0cdc21558f20b0"/>
                              <w:lock w:val="sdtLocked"/>
                              <w:richText/>
                            </w:sdtPr>
                            <w:sdtContent>
                              <w:r>
                                <w:rPr>
                                  <w:sz w:val="22"/>
                                  <w:szCs w:val="22"/>
                                  <w:lang w:eastAsia="lt-LT" w:bidi="he-IL"/>
                                </w:rPr>
                                <w:t>10</w:t>
                              </w:r>
                            </w:sdtContent>
                          </w:sdt>
                          <w:r>
                            <w:rPr>
                              <w:sz w:val="22"/>
                              <w:szCs w:val="22"/>
                              <w:lang w:eastAsia="lt-LT" w:bidi="he-IL"/>
                            </w:rPr>
                            <w:t>) atlieka R</w:t>
                          </w:r>
                          <w:r>
                            <w:rPr>
                              <w:bCs/>
                              <w:sz w:val="22"/>
                              <w:szCs w:val="22"/>
                              <w:lang w:eastAsia="lt-LT"/>
                            </w:rPr>
                            <w:t>eglamento (EB) Nr. 1060/2009 kompetentingai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158818090b911e4bb408baba2bdddf3">
                            <w:r w:rsidRPr="00532B9F">
                              <w:rPr>
                                <w:rFonts w:ascii="Times New Roman" w:eastAsia="MS Mincho" w:hAnsi="Times New Roman"/>
                                <w:sz w:val="20"/>
                                <w:i/>
                                <w:iCs/>
                                <w:color w:val="0000FF" w:themeColor="hyperlink"/>
                                <w:u w:val="single"/>
                              </w:rPr>
                              <w:t>XII-1473</w:t>
                            </w:r>
                          </w:fldSimple>
                          <w:r>
                            <w:rPr>
                              <w:rFonts w:ascii="Times New Roman" w:eastAsia="MS Mincho" w:hAnsi="Times New Roman"/>
                              <w:sz w:val="20"/>
                              <w:i/>
                              <w:iCs/>
                            </w:rPr>
                            <w:t>,
2014-12-18,
paskelbta TAR 2014-12-31, i. k. 2014-21134        </w:t>
                          </w:r>
                        </w:p>
                        <w:p/>
                      </w:sdtContent>
                    </w:sdt>
                    <w:sdt>
                      <w:sdtPr>
                        <w:alias w:val="11 p."/>
                        <w:tag w:val="part_3dcb7306251f473aa40187257b5556ac"/>
                        <w:lock w:val="sdtLocked"/>
                        <w:richText/>
                      </w:sdtPr>
                      <w:sdtContent>
                        <w:p>
                          <w:pPr>
                            <w:ind w:firstLine="720"/>
                            <w:jc w:val="both"/>
                            <w:rPr>
                              <w:bCs/>
                              <w:sz w:val="22"/>
                              <w:szCs w:val="22"/>
                            </w:rPr>
                          </w:pPr>
                          <w:sdt>
                            <w:sdtPr>
                              <w:alias w:val="Numeris"/>
                              <w:tag w:val="nr_3dcb7306251f473aa40187257b5556ac"/>
                              <w:lock w:val="sdtLocked"/>
                              <w:richText/>
                            </w:sdtPr>
                            <w:sdtContent>
                              <w:r>
                                <w:rPr>
                                  <w:sz w:val="22"/>
                                  <w:szCs w:val="22"/>
                                </w:rPr>
                                <w:t>11</w:t>
                              </w:r>
                            </w:sdtContent>
                          </w:sdt>
                          <w:r>
                            <w:rPr>
                              <w:sz w:val="22"/>
                              <w:szCs w:val="22"/>
                            </w:rPr>
                            <w:t xml:space="preserve">) </w:t>
                          </w:r>
                          <w:r>
                            <w:rPr>
                              <w:sz w:val="22"/>
                              <w:szCs w:val="22"/>
                              <w:lang w:eastAsia="lt-LT"/>
                            </w:rPr>
                            <w:t>atlieka sutelktinio finansavimo platformos operatorių priežiūrą ir kitas Lietuvos Respublikos sutelktinio finansavimo įstatyme Lietuvos bankui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sdtContent>
                    </w:sdt>
                  </w:sdtContent>
                </w:sdt>
                <w:sdt>
                  <w:sdtPr>
                    <w:alias w:val="2-1 d."/>
                    <w:tag w:val="part_2af65cd3a38d49dcb45e3e9ed6cf1449"/>
                    <w:lock w:val="sdtLocked"/>
                    <w:richText/>
                  </w:sdtPr>
                  <w:sdtContent>
                    <w:p>
                      <w:pPr>
                        <w:ind w:firstLine="720"/>
                        <w:jc w:val="both"/>
                        <w:rPr>
                          <w:bCs/>
                          <w:sz w:val="22"/>
                          <w:szCs w:val="22"/>
                        </w:rPr>
                      </w:pPr>
                      <w:sdt>
                        <w:sdtPr>
                          <w:alias w:val="Numeris"/>
                          <w:tag w:val="nr_2af65cd3a38d49dcb45e3e9ed6cf1449"/>
                          <w:lock w:val="sdtLocked"/>
                          <w:richText/>
                        </w:sdtPr>
                        <w:sdtContent>
                          <w:r>
                            <w:rPr>
                              <w:bCs/>
                              <w:sz w:val="22"/>
                              <w:szCs w:val="22"/>
                            </w:rPr>
                            <w:t>2</w:t>
                          </w:r>
                          <w:r>
                            <w:rPr>
                              <w:bCs/>
                              <w:sz w:val="22"/>
                              <w:szCs w:val="22"/>
                              <w:vertAlign w:val="superscript"/>
                            </w:rPr>
                            <w:t>1</w:t>
                          </w:r>
                        </w:sdtContent>
                      </w:sdt>
                      <w:r>
                        <w:rPr>
                          <w:bCs/>
                          <w:sz w:val="22"/>
                          <w:szCs w:val="22"/>
                        </w:rPr>
                        <w:t>. Lietuvos bankas finansų rinkos priežiūrą atlieka tiek, kiek pagal Reglamento (ES) Nr. 1024/2013 nuostatas tai nepavesta Europos centriniam bankui.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w:tag w:val="part_eb67969674f9435b8b44f3a3048027bc"/>
                    <w:lock w:val="sdtLocked"/>
                    <w:richText/>
                  </w:sdtPr>
                  <w:sdtContent>
                    <w:p>
                      <w:pPr>
                        <w:ind w:firstLine="720"/>
                        <w:jc w:val="both"/>
                        <w:rPr>
                          <w:sz w:val="22"/>
                          <w:szCs w:val="22"/>
                        </w:rPr>
                      </w:pPr>
                      <w:sdt>
                        <w:sdtPr>
                          <w:alias w:val="Numeris"/>
                          <w:tag w:val="nr_eb67969674f9435b8b44f3a3048027bc"/>
                          <w:lock w:val="sdtLocked"/>
                          <w:richText/>
                        </w:sdtPr>
                        <w:sdtContent>
                          <w:r>
                            <w:rPr>
                              <w:bCs/>
                              <w:sz w:val="22"/>
                              <w:szCs w:val="22"/>
                            </w:rPr>
                            <w:t>3</w:t>
                          </w:r>
                        </w:sdtContent>
                      </w:sdt>
                      <w:r>
                        <w:rPr>
                          <w:bCs/>
                          <w:sz w:val="22"/>
                          <w:szCs w:val="22"/>
                        </w:rPr>
                        <w:t xml:space="preserve">. </w:t>
                      </w:r>
                      <w:r>
                        <w:rPr>
                          <w:sz w:val="22"/>
                          <w:szCs w:val="22"/>
                        </w:rPr>
                        <w:t>Lietuvos bankas, atlikdamas finansų rinkos priežiūrą, turi teisę:</w:t>
                      </w:r>
                    </w:p>
                    <w:sdt>
                      <w:sdtPr>
                        <w:alias w:val="3 d. 1 p."/>
                        <w:tag w:val="part_2277b48d00804ab5ba4cbb3477bde428"/>
                        <w:lock w:val="sdtLocked"/>
                        <w:richText/>
                      </w:sdtPr>
                      <w:sdtContent>
                        <w:p>
                          <w:pPr>
                            <w:ind w:firstLine="720"/>
                            <w:jc w:val="both"/>
                            <w:rPr>
                              <w:sz w:val="22"/>
                              <w:szCs w:val="22"/>
                            </w:rPr>
                          </w:pPr>
                          <w:sdt>
                            <w:sdtPr>
                              <w:alias w:val="Numeris"/>
                              <w:tag w:val="nr_2277b48d00804ab5ba4cbb3477bde428"/>
                              <w:lock w:val="sdtLocked"/>
                              <w:richText/>
                            </w:sdtPr>
                            <w:sdtContent>
                              <w:r>
                                <w:rPr>
                                  <w:sz w:val="22"/>
                                  <w:szCs w:val="22"/>
                                </w:rPr>
                                <w:t>1</w:t>
                              </w:r>
                            </w:sdtContent>
                          </w:sdt>
                          <w:r>
                            <w:rPr>
                              <w:sz w:val="22"/>
                              <w:szCs w:val="22"/>
                            </w:rPr>
                            <w:t>) leisti teisės aktus ir rekomendacijas dėl prižiūrimų finansų rinkos dalyvių veiklos ir priežiūros;</w:t>
                          </w:r>
                        </w:p>
                      </w:sdtContent>
                    </w:sdt>
                    <w:sdt>
                      <w:sdtPr>
                        <w:alias w:val="3 d. 2 p."/>
                        <w:tag w:val="part_f7baded11b034180b8a319ffdcf9acbf"/>
                        <w:lock w:val="sdtLocked"/>
                        <w:richText/>
                      </w:sdtPr>
                      <w:sdtContent>
                        <w:p>
                          <w:pPr>
                            <w:ind w:firstLine="720"/>
                            <w:jc w:val="both"/>
                            <w:rPr>
                              <w:sz w:val="22"/>
                              <w:szCs w:val="22"/>
                            </w:rPr>
                          </w:pPr>
                          <w:sdt>
                            <w:sdtPr>
                              <w:alias w:val="Numeris"/>
                              <w:tag w:val="nr_f7baded11b034180b8a319ffdcf9acbf"/>
                              <w:lock w:val="sdtLocked"/>
                              <w:richText/>
                            </w:sdtPr>
                            <w:sdtContent>
                              <w:r>
                                <w:rPr>
                                  <w:sz w:val="22"/>
                                  <w:szCs w:val="22"/>
                                </w:rPr>
                                <w:t>2</w:t>
                              </w:r>
                            </w:sdtContent>
                          </w:sdt>
                          <w:r>
                            <w:rPr>
                              <w:sz w:val="22"/>
                              <w:szCs w:val="22"/>
                            </w:rPr>
                            <w:t>) gauti priežiūrai atlikti reikalingą informaciją iš valstybės institucijų, prižiūrimų finansų rinkos dalyvių ir kitų įmonių, įstaigų, organizacijų;</w:t>
                          </w:r>
                        </w:p>
                      </w:sdtContent>
                    </w:sdt>
                    <w:sdt>
                      <w:sdtPr>
                        <w:alias w:val="3 d. 3 p."/>
                        <w:tag w:val="part_cb6f3a95642e40d4884d69870e630d9f"/>
                        <w:lock w:val="sdtLocked"/>
                        <w:richText/>
                      </w:sdtPr>
                      <w:sdtContent>
                        <w:p>
                          <w:pPr>
                            <w:ind w:firstLine="720"/>
                            <w:jc w:val="both"/>
                            <w:rPr>
                              <w:sz w:val="22"/>
                              <w:szCs w:val="22"/>
                            </w:rPr>
                          </w:pPr>
                          <w:sdt>
                            <w:sdtPr>
                              <w:alias w:val="Numeris"/>
                              <w:tag w:val="nr_cb6f3a95642e40d4884d69870e630d9f"/>
                              <w:lock w:val="sdtLocked"/>
                              <w:richText/>
                            </w:sdtPr>
                            <w:sdtContent>
                              <w:r>
                                <w:rPr>
                                  <w:sz w:val="22"/>
                                  <w:szCs w:val="22"/>
                                </w:rPr>
                                <w:t>3</w:t>
                              </w:r>
                            </w:sdtContent>
                          </w:sdt>
                          <w:r>
                            <w:rPr>
                              <w:sz w:val="22"/>
                              <w:szCs w:val="22"/>
                            </w:rPr>
                            <w:t>) inspektuoti (tikrinti) prižiūrimus finansų rinkos dalyvius, o įstatymų nustatytais atvejais – ir kitus asmenis;</w:t>
                          </w:r>
                        </w:p>
                      </w:sdtContent>
                    </w:sdt>
                    <w:sdt>
                      <w:sdtPr>
                        <w:alias w:val="3 d. 4 p."/>
                        <w:tag w:val="part_9a5b44423ccc47ad96f1ee2661c11812"/>
                        <w:lock w:val="sdtLocked"/>
                        <w:richText/>
                      </w:sdtPr>
                      <w:sdtContent>
                        <w:p>
                          <w:pPr>
                            <w:ind w:firstLine="720"/>
                            <w:jc w:val="both"/>
                            <w:rPr>
                              <w:sz w:val="22"/>
                              <w:szCs w:val="22"/>
                            </w:rPr>
                          </w:pPr>
                          <w:sdt>
                            <w:sdtPr>
                              <w:alias w:val="Numeris"/>
                              <w:tag w:val="nr_9a5b44423ccc47ad96f1ee2661c11812"/>
                              <w:lock w:val="sdtLocked"/>
                              <w:richText/>
                            </w:sdtPr>
                            <w:sdtContent>
                              <w:r>
                                <w:rPr>
                                  <w:sz w:val="22"/>
                                  <w:szCs w:val="22"/>
                                </w:rPr>
                                <w:t>4</w:t>
                              </w:r>
                            </w:sdtContent>
                          </w:sdt>
                          <w:r>
                            <w:rPr>
                              <w:sz w:val="22"/>
                              <w:szCs w:val="22"/>
                            </w:rPr>
                            <w:t>) įstatymų ir Europos Sąjungos teisės aktų nustatytais atvejais ir tvarka taikyti poveikio priemones prižiūrimiems finansų rinkos dalyviams ir kitiems asmenims;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3 d. 5 p."/>
                        <w:tag w:val="part_e8b7b3ea98684122a56365ef69ef14d2"/>
                        <w:lock w:val="sdtLocked"/>
                        <w:richText/>
                      </w:sdtPr>
                      <w:sdtContent>
                        <w:p>
                          <w:pPr>
                            <w:ind w:firstLine="720"/>
                            <w:jc w:val="both"/>
                            <w:rPr>
                              <w:bCs/>
                              <w:sz w:val="22"/>
                              <w:szCs w:val="22"/>
                            </w:rPr>
                          </w:pPr>
                          <w:sdt>
                            <w:sdtPr>
                              <w:alias w:val="Numeris"/>
                              <w:tag w:val="nr_e8b7b3ea98684122a56365ef69ef14d2"/>
                              <w:lock w:val="sdtLocked"/>
                              <w:richText/>
                            </w:sdtPr>
                            <w:sdtContent>
                              <w:r>
                                <w:rPr>
                                  <w:sz w:val="22"/>
                                  <w:szCs w:val="22"/>
                                </w:rPr>
                                <w:t>5</w:t>
                              </w:r>
                            </w:sdtContent>
                          </w:sdt>
                          <w:r>
                            <w:rPr>
                              <w:sz w:val="22"/>
                              <w:szCs w:val="22"/>
                            </w:rPr>
                            <w:t xml:space="preserve">) turėti kitokių teisių, nustatytų </w:t>
                          </w:r>
                          <w:r>
                            <w:rPr>
                              <w:bCs/>
                              <w:sz w:val="22"/>
                              <w:szCs w:val="22"/>
                            </w:rPr>
                            <w:t>šio straipsnio 2 ir 2</w:t>
                          </w:r>
                          <w:r>
                            <w:rPr>
                              <w:bCs/>
                              <w:sz w:val="22"/>
                              <w:szCs w:val="22"/>
                              <w:vertAlign w:val="superscript"/>
                            </w:rPr>
                            <w:t>1</w:t>
                          </w:r>
                          <w:r>
                            <w:rPr>
                              <w:bCs/>
                              <w:sz w:val="22"/>
                              <w:szCs w:val="22"/>
                            </w:rPr>
                            <w:t xml:space="preserve"> dalyse nurodytuose teisės aktuose ir jų įgyvendinamuosiuose teisės aktuose.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Content>
                </w:sdt>
                <w:sdt>
                  <w:sdtPr>
                    <w:alias w:val="4 d."/>
                    <w:tag w:val="part_93ae26d7a4ea48c7992566d4d42a9827"/>
                    <w:lock w:val="sdtLocked"/>
                    <w:richText/>
                  </w:sdtPr>
                  <w:sdtContent>
                    <w:p>
                      <w:pPr>
                        <w:ind w:firstLine="720"/>
                        <w:jc w:val="both"/>
                        <w:rPr>
                          <w:sz w:val="22"/>
                          <w:szCs w:val="22"/>
                          <w:lang w:eastAsia="lt-LT"/>
                        </w:rPr>
                      </w:pPr>
                      <w:sdt>
                        <w:sdtPr>
                          <w:alias w:val="Numeris"/>
                          <w:tag w:val="nr_93ae26d7a4ea48c7992566d4d42a9827"/>
                          <w:lock w:val="sdtLocked"/>
                          <w:richText/>
                        </w:sdtPr>
                        <w:sdtContent>
                          <w:r>
                            <w:rPr>
                              <w:sz w:val="22"/>
                              <w:szCs w:val="22"/>
                              <w:lang w:eastAsia="lt-LT"/>
                            </w:rPr>
                            <w:t>4</w:t>
                          </w:r>
                        </w:sdtContent>
                      </w:sdt>
                      <w:r>
                        <w:rPr>
                          <w:sz w:val="22"/>
                          <w:szCs w:val="22"/>
                          <w:lang w:eastAsia="lt-LT"/>
                        </w:rPr>
                        <w:t>. Šio straipsnio 3 dalyje numatytomis teisėmis Lietuvos bankas naudojasi:</w:t>
                      </w:r>
                    </w:p>
                    <w:sdt>
                      <w:sdtPr>
                        <w:alias w:val="4 d. 1 p."/>
                        <w:tag w:val="part_8a4948183c3d442c8ba26ef314a1b1ac"/>
                        <w:lock w:val="sdtLocked"/>
                        <w:richText/>
                      </w:sdtPr>
                      <w:sdtContent>
                        <w:p>
                          <w:pPr>
                            <w:ind w:firstLine="720"/>
                            <w:jc w:val="both"/>
                            <w:rPr>
                              <w:sz w:val="22"/>
                              <w:szCs w:val="22"/>
                              <w:lang w:eastAsia="lt-LT"/>
                            </w:rPr>
                          </w:pPr>
                          <w:sdt>
                            <w:sdtPr>
                              <w:alias w:val="Numeris"/>
                              <w:tag w:val="nr_8a4948183c3d442c8ba26ef314a1b1ac"/>
                              <w:lock w:val="sdtLocked"/>
                              <w:richText/>
                            </w:sdtPr>
                            <w:sdtContent>
                              <w:r>
                                <w:rPr>
                                  <w:sz w:val="22"/>
                                  <w:szCs w:val="22"/>
                                  <w:lang w:eastAsia="lt-LT"/>
                                </w:rPr>
                                <w:t>1</w:t>
                              </w:r>
                            </w:sdtContent>
                          </w:sdt>
                          <w:r>
                            <w:rPr>
                              <w:sz w:val="22"/>
                              <w:szCs w:val="22"/>
                              <w:lang w:eastAsia="lt-LT"/>
                            </w:rPr>
                            <w:t>) tiesiogiai;</w:t>
                          </w:r>
                        </w:p>
                      </w:sdtContent>
                    </w:sdt>
                    <w:sdt>
                      <w:sdtPr>
                        <w:alias w:val="4 d. 2 p."/>
                        <w:tag w:val="part_8df56807af464b9e95b1fce92b39bd10"/>
                        <w:lock w:val="sdtLocked"/>
                        <w:richText/>
                      </w:sdtPr>
                      <w:sdtContent>
                        <w:p>
                          <w:pPr>
                            <w:tabs>
                              <w:tab w:val="left" w:pos="709"/>
                            </w:tabs>
                            <w:ind w:firstLine="720"/>
                            <w:jc w:val="both"/>
                            <w:rPr>
                              <w:sz w:val="22"/>
                              <w:szCs w:val="22"/>
                              <w:lang w:eastAsia="lt-LT"/>
                            </w:rPr>
                          </w:pPr>
                          <w:sdt>
                            <w:sdtPr>
                              <w:alias w:val="Numeris"/>
                              <w:tag w:val="nr_8df56807af464b9e95b1fce92b39bd10"/>
                              <w:lock w:val="sdtLocked"/>
                              <w:richText/>
                            </w:sdtPr>
                            <w:sdtContent>
                              <w:r>
                                <w:rPr>
                                  <w:sz w:val="22"/>
                                  <w:szCs w:val="22"/>
                                  <w:lang w:eastAsia="lt-LT"/>
                                </w:rPr>
                                <w:t>2</w:t>
                              </w:r>
                            </w:sdtContent>
                          </w:sdt>
                          <w:r>
                            <w:rPr>
                              <w:sz w:val="22"/>
                              <w:szCs w:val="22"/>
                              <w:lang w:eastAsia="lt-LT"/>
                            </w:rPr>
                            <w:t>) bendradarbiaudamas su kitomis priežiūros, valstybės ir savivaldybių institucijomis;</w:t>
                          </w:r>
                        </w:p>
                      </w:sdtContent>
                    </w:sdt>
                    <w:sdt>
                      <w:sdtPr>
                        <w:alias w:val="4 d. 3 p."/>
                        <w:tag w:val="part_1b0b6d0566c544f1bb7a05ecd33b31a8"/>
                        <w:lock w:val="sdtLocked"/>
                        <w:richText/>
                      </w:sdtPr>
                      <w:sdtContent>
                        <w:p>
                          <w:pPr>
                            <w:ind w:firstLine="720"/>
                            <w:jc w:val="both"/>
                            <w:rPr>
                              <w:sz w:val="22"/>
                              <w:szCs w:val="22"/>
                              <w:lang w:eastAsia="lt-LT"/>
                            </w:rPr>
                          </w:pPr>
                          <w:sdt>
                            <w:sdtPr>
                              <w:alias w:val="Numeris"/>
                              <w:tag w:val="nr_1b0b6d0566c544f1bb7a05ecd33b31a8"/>
                              <w:lock w:val="sdtLocked"/>
                              <w:richText/>
                            </w:sdtPr>
                            <w:sdtContent>
                              <w:r>
                                <w:rPr>
                                  <w:sz w:val="22"/>
                                  <w:szCs w:val="22"/>
                                  <w:lang w:eastAsia="lt-LT"/>
                                </w:rPr>
                                <w:t>3</w:t>
                              </w:r>
                            </w:sdtContent>
                          </w:sdt>
                          <w:r>
                            <w:rPr>
                              <w:sz w:val="22"/>
                              <w:szCs w:val="22"/>
                              <w:lang w:eastAsia="lt-LT"/>
                            </w:rPr>
                            <w:t>) pasitelkdamas kitus asmenis tam tikriems veiksmams atlikti;</w:t>
                          </w:r>
                        </w:p>
                      </w:sdtContent>
                    </w:sdt>
                    <w:sdt>
                      <w:sdtPr>
                        <w:alias w:val="4 d. 4 p."/>
                        <w:tag w:val="part_e8b0f69785324ca8a66d6a76ac963c34"/>
                        <w:lock w:val="sdtLocked"/>
                        <w:richText/>
                      </w:sdtPr>
                      <w:sdtContent>
                        <w:p>
                          <w:pPr>
                            <w:ind w:firstLine="720"/>
                            <w:jc w:val="both"/>
                            <w:rPr>
                              <w:bCs/>
                              <w:sz w:val="22"/>
                              <w:szCs w:val="22"/>
                            </w:rPr>
                          </w:pPr>
                          <w:sdt>
                            <w:sdtPr>
                              <w:alias w:val="Numeris"/>
                              <w:tag w:val="nr_e8b0f69785324ca8a66d6a76ac963c34"/>
                              <w:lock w:val="sdtLocked"/>
                              <w:richText/>
                            </w:sdtPr>
                            <w:sdtContent>
                              <w:r>
                                <w:rPr>
                                  <w:sz w:val="22"/>
                                  <w:szCs w:val="22"/>
                                  <w:lang w:eastAsia="lt-LT"/>
                                </w:rPr>
                                <w:t>4</w:t>
                              </w:r>
                            </w:sdtContent>
                          </w:sdt>
                          <w:r>
                            <w:rPr>
                              <w:sz w:val="22"/>
                              <w:szCs w:val="22"/>
                              <w:lang w:eastAsia="lt-LT"/>
                            </w:rPr>
                            <w:t>) pasitelkdamas teisėsaugos institucijas.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5 d."/>
                    <w:tag w:val="part_2fb9be5aff544eabb886946e024a0c2f"/>
                    <w:lock w:val="sdtLocked"/>
                    <w:richText/>
                  </w:sdtPr>
                  <w:sdtContent>
                    <w:p>
                      <w:pPr>
                        <w:shd w:val="clear" w:color="auto" w:fill="FFFFFF"/>
                        <w:ind w:firstLine="720"/>
                        <w:jc w:val="both"/>
                      </w:pPr>
                      <w:sdt>
                        <w:sdtPr>
                          <w:alias w:val="Numeris"/>
                          <w:tag w:val="nr_2fb9be5aff544eabb886946e024a0c2f"/>
                          <w:lock w:val="sdtLocked"/>
                          <w:richText/>
                        </w:sdtPr>
                        <w:sdtContent>
                          <w:r>
                            <w:rPr>
                              <w:bCs/>
                              <w:sz w:val="22"/>
                              <w:szCs w:val="22"/>
                            </w:rPr>
                            <w:t>5</w:t>
                          </w:r>
                        </w:sdtContent>
                      </w:sdt>
                      <w:r>
                        <w:rPr>
                          <w:bCs/>
                          <w:sz w:val="22"/>
                          <w:szCs w:val="22"/>
                        </w:rPr>
                        <w:t xml:space="preserve">. Lietuvos bankas konsultuoja Lietuvos banko atliekamos priežiūros kompetencijos klausimais ir imasi kitų </w:t>
                      </w:r>
                      <w:r>
                        <w:rPr>
                          <w:sz w:val="22"/>
                          <w:szCs w:val="22"/>
                          <w:lang w:eastAsia="lt-LT"/>
                        </w:rPr>
                        <w:t>Lietuvos Respublikos viešojo administravimo įstatyme ir kituose teisės aktuose nustatytų</w:t>
                      </w:r>
                      <w:r>
                        <w:rPr>
                          <w:bCs/>
                          <w:sz w:val="22"/>
                          <w:szCs w:val="22"/>
                        </w:rPr>
                        <w:t xml:space="preserve"> prevencinių veiksmų, skirtų užkirsti kelią galimiems teisės aktų pažeidimams.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
                  <w:sdtPr>
                    <w:alias w:val="42 str. 6 d."/>
                    <w:tag w:val="part_8f5b88349cc142719daf2ec775e7c518"/>
                    <w:lock w:val="sdtLocked"/>
                    <w:richText/>
                  </w:sdtPr>
                  <w:sdtContent>
                    <w:p>
                      <w:pPr>
                        <w:ind w:firstLine="720"/>
                        <w:jc w:val="both"/>
                      </w:pPr>
                      <w:sdt>
                        <w:sdtPr>
                          <w:alias w:val="Numeris"/>
                          <w:tag w:val="nr_8f5b88349cc142719daf2ec775e7c518"/>
                          <w:lock w:val="sdtLocked"/>
                          <w:richText/>
                        </w:sdtPr>
                        <w:sdtContent>
                          <w:r>
                            <w:rPr>
                              <w:sz w:val="22"/>
                              <w:szCs w:val="22"/>
                            </w:rPr>
                            <w:t>6</w:t>
                          </w:r>
                        </w:sdtContent>
                      </w:sdt>
                      <w:r>
                        <w:rPr>
                          <w:sz w:val="22"/>
                          <w:szCs w:val="22"/>
                        </w:rPr>
                        <w:t>. Lietuvos bankas, nustatęs faktus, liudijančius galimai nusikalstamą veiklą, apie juos praneša atitinkamoms teisėsaugos institucijoms.</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jc w:val="both"/>
                        <w:rPr>
                          <w:i/>
                          <w:sz w:val="20"/>
                        </w:rPr>
                      </w:pPr>
                      <w:r>
                        <w:rPr>
                          <w:i/>
                          <w:sz w:val="20"/>
                        </w:rPr>
                        <w:t xml:space="preserve">Nr. </w:t>
                      </w:r>
                      <w:hyperlink r:id="rId96" w:history="1">
                        <w:r>
                          <w:rPr>
                            <w:i/>
                            <w:color w:val="0000FF"/>
                            <w:sz w:val="20"/>
                            <w:u w:val="single"/>
                          </w:rPr>
                          <w:t>XII-1035</w:t>
                        </w:r>
                      </w:hyperlink>
                      <w:r>
                        <w:rPr>
                          <w:i/>
                          <w:sz w:val="20"/>
                        </w:rPr>
                        <w:t>, 2014-07-17, paskelbta TAR 2014-08-04, i. k. 2014-10871</w:t>
                      </w:r>
                    </w:p>
                    <w:p>
                      <w:pPr>
                        <w:jc w:val="both"/>
                        <w:rPr>
                          <w:i/>
                          <w:sz w:val="20"/>
                        </w:rPr>
                      </w:pP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96e5f099c611e58fd1fc0b9bba68a7">
                        <w:r w:rsidRPr="00532B9F">
                          <w:rPr>
                            <w:rFonts w:ascii="Times New Roman" w:eastAsia="MS Mincho" w:hAnsi="Times New Roman"/>
                            <w:sz w:val="20"/>
                            <w:i/>
                            <w:iCs/>
                            <w:color w:val="0000FF" w:themeColor="hyperlink"/>
                            <w:u w:val="single"/>
                          </w:rPr>
                          <w:t>XII-2075</w:t>
                        </w:r>
                      </w:fldSimple>
                      <w:r>
                        <w:rPr>
                          <w:rFonts w:ascii="Times New Roman" w:eastAsia="MS Mincho" w:hAnsi="Times New Roman"/>
                          <w:sz w:val="20"/>
                          <w:i/>
                          <w:iCs/>
                        </w:rPr>
                        <w:t>,
2015-11-26,
paskelbta TAR 2015-12-03, i. k. 2015-19283        </w:t>
                      </w:r>
                    </w:p>
                    <w:p/>
                  </w:sdtContent>
                </w:sdt>
              </w:sdtContent>
            </w:sdt>
            <w:sdt>
              <w:sdtPr>
                <w:alias w:val="43 str."/>
                <w:tag w:val="part_da56f831353b49e98b7bf8d117842b53"/>
                <w:lock w:val="sdtLocked"/>
                <w:richText/>
              </w:sdtPr>
              <w:sdtContent>
                <w:p>
                  <w:pPr>
                    <w:ind w:firstLine="720"/>
                    <w:jc w:val="both"/>
                    <w:rPr>
                      <w:b/>
                      <w:bCs/>
                      <w:sz w:val="22"/>
                      <w:szCs w:val="22"/>
                    </w:rPr>
                  </w:pPr>
                  <w:sdt>
                    <w:sdtPr>
                      <w:alias w:val="Numeris"/>
                      <w:tag w:val="nr_da56f831353b49e98b7bf8d117842b53"/>
                      <w:lock w:val="sdtLocked"/>
                      <w:richText/>
                    </w:sdtPr>
                    <w:sdtContent>
                      <w:r>
                        <w:rPr>
                          <w:b/>
                          <w:bCs/>
                          <w:sz w:val="22"/>
                          <w:szCs w:val="22"/>
                        </w:rPr>
                        <w:t>43</w:t>
                      </w:r>
                    </w:sdtContent>
                  </w:sdt>
                  <w:r>
                    <w:rPr>
                      <w:b/>
                      <w:bCs/>
                      <w:sz w:val="22"/>
                      <w:szCs w:val="22"/>
                    </w:rPr>
                    <w:t xml:space="preserve"> straipsnis. </w:t>
                  </w:r>
                  <w:sdt>
                    <w:sdtPr>
                      <w:alias w:val="Pavadinimas"/>
                      <w:tag w:val="title_da56f831353b49e98b7bf8d117842b53"/>
                      <w:lock w:val="sdtLocked"/>
                      <w:richText/>
                    </w:sdtPr>
                    <w:sdtContent>
                      <w:r>
                        <w:rPr>
                          <w:b/>
                          <w:bCs/>
                          <w:sz w:val="22"/>
                          <w:szCs w:val="22"/>
                        </w:rPr>
                        <w:t>Finansų rinkos priežiūros tikslais gautos informacijos apsauga</w:t>
                      </w:r>
                    </w:sdtContent>
                  </w:sdt>
                </w:p>
                <w:sdt>
                  <w:sdtPr>
                    <w:alias w:val="43 str. 1 d."/>
                    <w:tag w:val="part_03f7ac2f851240ffb030005884f95e21"/>
                    <w:lock w:val="sdtLocked"/>
                    <w:richText/>
                  </w:sdtPr>
                  <w:sdtContent>
                    <w:p>
                      <w:pPr>
                        <w:ind w:firstLine="720"/>
                        <w:jc w:val="both"/>
                      </w:pPr>
                      <w:r>
                        <w:rPr>
                          <w:bCs/>
                          <w:sz w:val="22"/>
                          <w:szCs w:val="22"/>
                        </w:rPr>
                        <w:t>Informacijos, kurią Lietuvos bankas gauna finansų rinkos priežiūros tikslais, apsaugai taikomos šio įstatymo 19 straipsnio ir finansų rinką reglamentuojančių teisės aktų nuostatos.</w:t>
                      </w:r>
                    </w:p>
                  </w:sdtContent>
                </w:sdt>
                <w:p>
                  <w:pPr>
                    <w:rPr>
                      <w:rFonts w:eastAsia="MS Mincho"/>
                      <w:i/>
                      <w:iCs/>
                      <w:sz w:val="20"/>
                    </w:rPr>
                  </w:pPr>
                  <w:r>
                    <w:rPr>
                      <w:rFonts w:eastAsia="MS Mincho"/>
                      <w:i/>
                      <w:iCs/>
                      <w:sz w:val="20"/>
                    </w:rPr>
                    <w:t xml:space="preserve"> Straipsnio pakeitimai:</w:t>
                  </w:r>
                </w:p>
                <w:p>
                  <w:pPr>
                    <w:rPr>
                      <w:rFonts w:eastAsia="MS Mincho"/>
                      <w:i/>
                      <w:iCs/>
                      <w:sz w:val="20"/>
                    </w:rPr>
                  </w:pPr>
                  <w:r>
                    <w:rPr>
                      <w:rFonts w:eastAsia="MS Mincho"/>
                      <w:i/>
                      <w:iCs/>
                      <w:sz w:val="20"/>
                    </w:rPr>
                    <w:t xml:space="preserve">Nr. </w:t>
                  </w:r>
                  <w:hyperlink r:id="rId97"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8"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9"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0"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102"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10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104"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105"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0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7"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8"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9"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1bec0bada7e14aa1a9dde4c517476212"/>
                <w:lock w:val="sdtLocked"/>
                <w:richText/>
              </w:sdtPr>
              <w:sdtContent>
                <w:p>
                  <w:pPr>
                    <w:ind w:left="2410" w:hanging="1690"/>
                    <w:jc w:val="both"/>
                    <w:rPr>
                      <w:sz w:val="22"/>
                      <w:szCs w:val="22"/>
                    </w:rPr>
                  </w:pPr>
                  <w:sdt>
                    <w:sdtPr>
                      <w:alias w:val="Numeris"/>
                      <w:tag w:val="nr_1bec0bada7e14aa1a9dde4c517476212"/>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1bec0bada7e14aa1a9dde4c517476212"/>
                      <w:lock w:val="sdtLocked"/>
                      <w:richText/>
                    </w:sdtPr>
                    <w:sdtContent>
                      <w:r>
                        <w:rPr>
                          <w:b/>
                          <w:sz w:val="22"/>
                          <w:szCs w:val="22"/>
                        </w:rPr>
                        <w:t>Vartotojų ir finansų rinkos dalyvių ginčų nagrinėjimas ne teismo tvarka</w:t>
                      </w:r>
                    </w:sdtContent>
                  </w:sdt>
                </w:p>
                <w:sdt>
                  <w:sdtPr>
                    <w:alias w:val="47 str. 1 d."/>
                    <w:tag w:val="part_d01eb94ff7164f2ab385738f25043f55"/>
                    <w:lock w:val="sdtLocked"/>
                    <w:richText/>
                  </w:sdtPr>
                  <w:sdtContent>
                    <w:p>
                      <w:pPr>
                        <w:tabs>
                          <w:tab w:val="left" w:pos="567"/>
                        </w:tabs>
                        <w:ind w:firstLine="720"/>
                        <w:jc w:val="both"/>
                        <w:rPr>
                          <w:sz w:val="22"/>
                          <w:szCs w:val="22"/>
                        </w:rPr>
                      </w:pPr>
                      <w:sdt>
                        <w:sdtPr>
                          <w:alias w:val="Numeris"/>
                          <w:tag w:val="nr_d01eb94ff7164f2ab385738f25043f55"/>
                          <w:lock w:val="sdtLocked"/>
                          <w:richText/>
                        </w:sdtPr>
                        <w:sdtContent>
                          <w:r>
                            <w:rPr>
                              <w:color w:val="000000"/>
                              <w:sz w:val="22"/>
                              <w:szCs w:val="22"/>
                            </w:rPr>
                            <w:t>1</w:t>
                          </w:r>
                        </w:sdtContent>
                      </w:sdt>
                      <w:r>
                        <w:rPr>
                          <w:color w:val="000000"/>
                          <w:sz w:val="22"/>
                          <w:szCs w:val="22"/>
                        </w:rPr>
                        <w:t xml:space="preserve">. </w:t>
                      </w:r>
                      <w:r>
                        <w:rPr>
                          <w:sz w:val="22"/>
                          <w:szCs w:val="22"/>
                        </w:rPr>
                        <w:t>Lietuvos bankas nagrinėja šio straipsnio 2 dalyje nurodytų vartotojų (toliau – vartotojai) ginčus su draudimo, finansinių paslaugų ir (arba) papildomų investicinių paslaugų teikėjais, kylančius iš finansinių ir (arba) papildomų investicinių paslaugų teikimo, iš draudimo paslaugų sutarties ar susijusius su ja, jeigu tokiai sutarčiai yra taikytina Lietuvos Respublikos teisė,</w:t>
                      </w:r>
                      <w:r>
                        <w:rPr>
                          <w:b/>
                          <w:sz w:val="22"/>
                          <w:szCs w:val="22"/>
                        </w:rPr>
                        <w:t xml:space="preserve"> </w:t>
                      </w:r>
                      <w:r>
                        <w:rPr>
                          <w:sz w:val="22"/>
                          <w:szCs w:val="22"/>
                        </w:rPr>
                        <w:t>taip pat vartotojų ginčus su kitais ūkio subjektais, kylančius dėl Lietuvos Respublikos mokėjimų įstatyme nustatytų reikalavimų laikymosi.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1810c18f4c164afa93c3565ca331c452"/>
                        <w:lock w:val="sdtLocked"/>
                        <w:richText/>
                      </w:sdtPr>
                      <w:sdtContent>
                        <w:p>
                          <w:pPr>
                            <w:ind w:firstLine="720"/>
                            <w:jc w:val="both"/>
                            <w:rPr>
                              <w:sz w:val="22"/>
                              <w:szCs w:val="22"/>
                            </w:rPr>
                          </w:pPr>
                          <w:sdt>
                            <w:sdtPr>
                              <w:alias w:val="Numeris"/>
                              <w:tag w:val="nr_1810c18f4c164afa93c3565ca331c452"/>
                              <w:lock w:val="sdtLocked"/>
                              <w:richText/>
                            </w:sdtPr>
                            <w:sdtContent>
                              <w:r>
                                <w:rPr>
                                  <w:sz w:val="22"/>
                                  <w:szCs w:val="22"/>
                                </w:rPr>
                                <w:t>1</w:t>
                              </w:r>
                            </w:sdtContent>
                          </w:sdt>
                          <w:r>
                            <w:rPr>
                              <w:sz w:val="22"/>
                              <w:szCs w:val="22"/>
                            </w:rPr>
                            <w:t>) sudarantis su finansų rinkos dalyviu finansinių paslaugų sutartį, išskyrus profesionaliuosius klientus, asmeniniams, šeimos ar namų ūkio poreikiams tenkinti;</w:t>
                          </w:r>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f26394f1573b4b348fb8b8ea937813f7"/>
                    <w:lock w:val="sdtLocked"/>
                    <w:richText/>
                  </w:sdtPr>
                  <w:sdtContent>
                    <w:p>
                      <w:pPr>
                        <w:ind w:firstLine="720"/>
                        <w:jc w:val="both"/>
                        <w:rPr>
                          <w:sz w:val="22"/>
                          <w:szCs w:val="22"/>
                        </w:rPr>
                      </w:pPr>
                      <w:sdt>
                        <w:sdtPr>
                          <w:alias w:val="Numeris"/>
                          <w:tag w:val="nr_f26394f1573b4b348fb8b8ea937813f7"/>
                          <w:lock w:val="sdtLocked"/>
                          <w:richText/>
                        </w:sdtPr>
                        <w:sdtContent>
                          <w:r>
                            <w:rPr>
                              <w:sz w:val="22"/>
                              <w:szCs w:val="22"/>
                            </w:rPr>
                            <w:t>4</w:t>
                          </w:r>
                        </w:sdtContent>
                      </w:sdt>
                      <w:r>
                        <w:rPr>
                          <w:sz w:val="22"/>
                          <w:szCs w:val="22"/>
                        </w:rPr>
                        <w:t>. Vartotojas, manantis, kad finansų rinkos dalyvis pažeidė jo teises ar teisėtus interesus, atsirandančius iš sutarčių ar su jais susijusių santykių, ir ketinantis dėl kilusio ginčo nagrinėjimo kreiptis į Lietuvos banką, prieš kreipdamasis į Lietuvos banką privalo raštu kreiptis į finansų rinkos dalyvį, nurodydamas ginčo aplinkybes ir savo reikalavimą. Finansų rinkos dalyviai vartotojų kreipimusis nagrinėja neatlygintinai.</w:t>
                      </w:r>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2"/>
                      <w:szCs w:val="22"/>
                    </w:rPr>
                    <w:t>TAR pastaba.</w:t>
                  </w:r>
                  <w:r>
                    <w:rPr>
                      <w:i/>
                      <w:sz w:val="22"/>
                      <w:szCs w:val="22"/>
                    </w:rPr>
                    <w:t xml:space="preserve"> </w:t>
                  </w:r>
                  <w:r>
                    <w:rPr>
                      <w:i/>
                      <w:color w:val="000000"/>
                      <w:sz w:val="22"/>
                      <w:szCs w:val="22"/>
                    </w:rPr>
                    <w:t xml:space="preserve">Iki </w:t>
                  </w:r>
                  <w:r>
                    <w:rPr>
                      <w:i/>
                      <w:sz w:val="22"/>
                      <w:szCs w:val="22"/>
                    </w:rPr>
                    <w:t>2015 m. gruodžio 31 d.</w:t>
                  </w:r>
                  <w:r>
                    <w:rPr>
                      <w:i/>
                      <w:color w:val="000000"/>
                      <w:sz w:val="22"/>
                      <w:szCs w:val="22"/>
                    </w:rPr>
                    <w:t xml:space="preserve"> pradėti nagrinėti vartotojų ir </w:t>
                  </w:r>
                  <w:r>
                    <w:rPr>
                      <w:i/>
                      <w:sz w:val="22"/>
                      <w:szCs w:val="22"/>
                    </w:rPr>
                    <w:t xml:space="preserve">finansų rinkos dalyvių ginčai </w:t>
                  </w:r>
                  <w:r>
                    <w:rPr>
                      <w:i/>
                      <w:color w:val="000000"/>
                      <w:sz w:val="22"/>
                      <w:szCs w:val="22"/>
                    </w:rPr>
                    <w:t xml:space="preserve">baigiami nagrinėti vadovaujantis iki </w:t>
                  </w:r>
                  <w:r>
                    <w:rPr>
                      <w:i/>
                      <w:sz w:val="22"/>
                      <w:szCs w:val="22"/>
                    </w:rPr>
                    <w:t>2015 m. gruodžio 31 d.</w:t>
                  </w:r>
                  <w:r>
                    <w:rPr>
                      <w:i/>
                      <w:color w:val="000000"/>
                      <w:sz w:val="22"/>
                      <w:szCs w:val="22"/>
                    </w:rPr>
                    <w:t xml:space="preserve"> galiojusių teisės aktų nuostatomis.</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0e991688cde1421daeca5185694c3a27"/>
                <w:lock w:val="sdtLocked"/>
                <w:richText/>
              </w:sdtPr>
              <w:sdtContent>
                <w:p>
                  <w:pPr>
                    <w:tabs>
                      <w:tab w:val="left" w:pos="10076"/>
                      <w:tab w:val="left" w:pos="10992"/>
                      <w:tab w:val="left" w:pos="11908"/>
                      <w:tab w:val="left" w:pos="12824"/>
                      <w:tab w:val="left" w:pos="13740"/>
                      <w:tab w:val="left" w:pos="14656"/>
                    </w:tabs>
                    <w:ind w:left="2977" w:hanging="2257"/>
                    <w:jc w:val="both"/>
                    <w:rPr>
                      <w:b/>
                      <w:sz w:val="22"/>
                      <w:szCs w:val="22"/>
                    </w:rPr>
                  </w:pPr>
                  <w:sdt>
                    <w:sdtPr>
                      <w:alias w:val="Numeris"/>
                      <w:tag w:val="nr_0e991688cde1421daeca5185694c3a27"/>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0e991688cde1421daeca5185694c3a27"/>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3673e74de64f4655a84854132d8dede3"/>
                <w:lock w:val="sdtLocked"/>
                <w:richText/>
              </w:sdtPr>
              <w:sdtContent>
                <w:p>
                  <w:pPr>
                    <w:ind w:firstLine="720"/>
                    <w:jc w:val="both"/>
                    <w:rPr>
                      <w:sz w:val="22"/>
                      <w:szCs w:val="22"/>
                    </w:rPr>
                  </w:pPr>
                  <w:sdt>
                    <w:sdtPr>
                      <w:alias w:val="Numeris"/>
                      <w:tag w:val="nr_3673e74de64f4655a84854132d8dede3"/>
                      <w:lock w:val="sdtLocked"/>
                      <w:richText/>
                    </w:sdtPr>
                    <w:sdtContent>
                      <w:r>
                        <w:rPr>
                          <w:b/>
                          <w:sz w:val="22"/>
                          <w:szCs w:val="22"/>
                        </w:rPr>
                        <w:t>49</w:t>
                      </w:r>
                    </w:sdtContent>
                  </w:sdt>
                  <w:r>
                    <w:rPr>
                      <w:b/>
                      <w:sz w:val="22"/>
                      <w:szCs w:val="22"/>
                    </w:rPr>
                    <w:t xml:space="preserve"> straipsnis. </w:t>
                  </w:r>
                  <w:sdt>
                    <w:sdtPr>
                      <w:alias w:val="Pavadinimas"/>
                      <w:tag w:val="title_3673e74de64f4655a84854132d8dede3"/>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0"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1"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12"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3"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7"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63"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8"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4277c607d7154382b82831060b6e52a6"/>
                <w:lock w:val="sdtLocked"/>
                <w:richText/>
              </w:sdtPr>
              <w:sdtContent>
                <w:sdt>
                  <w:sdtPr>
                    <w:alias w:val="Pavadinimas"/>
                    <w:tag w:val="title_4277c607d7154382b82831060b6e52a6"/>
                    <w:lock w:val="sdtLocked"/>
                    <w:richText/>
                  </w:sdtPr>
                  <w:sdtContent>
                    <w:p>
                      <w:pPr>
                        <w:ind w:left="2520" w:hanging="1800"/>
                        <w:jc w:val="both"/>
                        <w:rPr>
                          <w:b/>
                          <w:sz w:val="22"/>
                        </w:rPr>
                      </w:pPr>
                      <w:sdt>
                        <w:sdtPr>
                          <w:alias w:val="Numeris"/>
                          <w:tag w:val="nr_4277c607d7154382b82831060b6e52a6"/>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9"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20"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21"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23"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2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25"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6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65"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26"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4ef9404cda284b0897986b801ab726c3"/>
            <w:lock w:val="sdtLocked"/>
            <w:richText/>
          </w:sdtPr>
          <w:sdtContent>
            <w:p>
              <w:pPr>
                <w:ind w:firstLine="720"/>
                <w:jc w:val="both"/>
              </w:pPr>
            </w:p>
            <w:p>
              <w:pPr>
                <w:ind w:firstLine="720"/>
                <w:jc w:val="both"/>
              </w:pPr>
            </w:p>
            <w:p>
              <w:pPr>
                <w:ind w:firstLine="720"/>
                <w:jc w:val="both"/>
                <w:rPr>
                  <w:sz w:val="22"/>
                </w:rPr>
              </w:pPr>
              <w:r>
                <w:rPr>
                  <w:sz w:val="22"/>
                </w:rPr>
                <w:t>Skelbiu šį Lietuvos Respublikos Seimo priimtą įstatymą.</w:t>
                <w:cr/>
                <w:cr/>
                <w:cr/>
                <w:t>RESPUBLIKOS PREZIDENTAS</w:t>
                <w:tab/>
                <w:tab/>
                <w:tab/>
                <w:tab/>
                <w:t>ALGIRDAS BRAZAUSKAS</w:t>
                <w:cr/>
              </w:r>
            </w:p>
            <w:p>
              <w:pPr>
                <w:ind w:firstLine="720"/>
                <w:jc w:val="both"/>
                <w:rPr>
                  <w:sz w:val="22"/>
                </w:rPr>
              </w:pPr>
            </w:p>
            <w:p>
              <w:pPr>
                <w:ind w:firstLine="720"/>
                <w:jc w:val="both"/>
                <w:rPr>
                  <w:sz w:val="22"/>
                </w:rPr>
              </w:pPr>
            </w:p>
          </w:sdtContent>
        </w:sdt>
      </w:sdtContent>
    </w:sdt>
    <w:sdt>
      <w:sdtPr>
        <w:alias w:val="1 pr."/>
        <w:tag w:val="part_5f0e9aca937848dd83b3ba9209501006"/>
        <w:lock w:val="sdtLocked"/>
        <w:richText/>
      </w:sdtPr>
      <w:sdtContent>
        <w:p>
          <w:pPr>
            <w:ind w:firstLine="5760"/>
            <w:rPr>
              <w:bCs/>
              <w:szCs w:val="24"/>
            </w:rPr>
          </w:pPr>
          <w:r>
            <w:rPr>
              <w:bCs/>
              <w:szCs w:val="24"/>
            </w:rPr>
            <w:t>Lietuvos Respublikos</w:t>
          </w:r>
        </w:p>
        <w:p>
          <w:pPr>
            <w:ind w:firstLine="5760"/>
            <w:rPr>
              <w:bCs/>
              <w:szCs w:val="24"/>
            </w:rPr>
          </w:pPr>
          <w:r>
            <w:rPr>
              <w:bCs/>
              <w:szCs w:val="24"/>
            </w:rPr>
            <w:t>Lietuvos banko įstatymo</w:t>
          </w:r>
        </w:p>
        <w:p>
          <w:pPr>
            <w:ind w:firstLine="5760"/>
            <w:rPr>
              <w:bCs/>
              <w:strike/>
              <w:szCs w:val="24"/>
            </w:rPr>
          </w:pPr>
          <w:sdt>
            <w:sdtPr>
              <w:alias w:val="Numeris"/>
              <w:tag w:val="nr_5f0e9aca937848dd83b3ba9209501006"/>
              <w:lock w:val="sdtLocked"/>
              <w:richText/>
            </w:sdtPr>
            <w:sdtContent>
              <w:r>
                <w:rPr>
                  <w:bCs/>
                  <w:szCs w:val="24"/>
                </w:rPr>
                <w:t>1</w:t>
              </w:r>
            </w:sdtContent>
          </w:sdt>
          <w:r>
            <w:rPr>
              <w:bCs/>
              <w:szCs w:val="24"/>
            </w:rPr>
            <w:t xml:space="preserve"> priedas</w:t>
          </w:r>
        </w:p>
        <w:p>
          <w:pPr>
            <w:spacing w:line="240" w:lineRule="atLeast"/>
            <w:ind w:left="284"/>
            <w:rPr>
              <w:bCs/>
              <w:szCs w:val="24"/>
            </w:rPr>
          </w:pPr>
        </w:p>
        <w:p>
          <w:pPr>
            <w:rPr>
              <w:sz w:val="10"/>
              <w:szCs w:val="10"/>
            </w:rPr>
          </w:pPr>
        </w:p>
        <w:p>
          <w:pPr>
            <w:spacing w:line="360" w:lineRule="auto"/>
            <w:jc w:val="center"/>
            <w:rPr>
              <w:b/>
              <w:bCs/>
              <w:szCs w:val="24"/>
            </w:rPr>
          </w:pPr>
          <w:sdt>
            <w:sdtPr>
              <w:alias w:val="Pavadinimas"/>
              <w:tag w:val="title_5f0e9aca937848dd83b3ba9209501006"/>
              <w:lock w:val="sdtLocked"/>
              <w:richText/>
            </w:sdtPr>
            <w:sdtContent>
              <w:r>
                <w:rPr>
                  <w:b/>
                  <w:bCs/>
                  <w:szCs w:val="24"/>
                </w:rPr>
                <w:t xml:space="preserve">FINANSŲ RINKOS DALYVIAI, MOKANTYS ĮMOKAS FINANSŲ RINKOS PRIEŽIŪROS IŠLAIDOMS PADENGTI, ĮMOKŲ BAZĖ IR MAKSIMALŪS ĮMOKŲ DYDŽIAI </w:t>
              </w:r>
            </w:sdtContent>
          </w:sdt>
        </w:p>
        <w:p>
          <w:pPr>
            <w:tabs>
              <w:tab w:val="right" w:pos="8306"/>
            </w:tabs>
            <w:spacing w:line="240" w:lineRule="atLeast"/>
            <w:ind w:firstLine="902"/>
            <w:rPr>
              <w:b/>
              <w:bCs/>
              <w:szCs w:val="24"/>
            </w:rPr>
          </w:pPr>
        </w:p>
        <w:tbl>
          <w:tblPr>
            <w:tblW w:w="93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48"/>
            <w:gridCol w:w="4280"/>
            <w:gridCol w:w="2410"/>
            <w:gridCol w:w="1617"/>
            <w:gridCol w:w="390"/>
          </w:tblGrid>
          <w:tr>
            <w:trPr>
              <w:tblHeader/>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Eil. Nr.</w:t>
                </w:r>
              </w:p>
            </w:tc>
            <w:tc>
              <w:tcPr>
                <w:tcW w:w="428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Rinkos dalyviai</w:t>
                </w:r>
              </w:p>
            </w:tc>
            <w:tc>
              <w:tcPr>
                <w:tcW w:w="2410"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Įmokų bazė</w:t>
                </w:r>
              </w:p>
            </w:tc>
            <w:tc>
              <w:tcPr>
                <w:tcW w:w="1617" w:type="dxa"/>
                <w:tcBorders>
                  <w:top w:val="single" w:sz="4" w:space="0" w:color="auto"/>
                  <w:left w:val="single" w:sz="4" w:space="0" w:color="auto"/>
                  <w:bottom w:val="single" w:sz="4" w:space="0" w:color="auto"/>
                  <w:right w:val="single" w:sz="4" w:space="0" w:color="auto"/>
                </w:tcBorders>
                <w:vAlign w:val="center"/>
                <w:hideMark/>
              </w:tcPr>
              <w:p>
                <w:pPr>
                  <w:jc w:val="center"/>
                  <w:rPr>
                    <w:szCs w:val="24"/>
                  </w:rPr>
                </w:pPr>
                <w:r>
                  <w:rPr>
                    <w:szCs w:val="24"/>
                  </w:rPr>
                  <w:t>Maksimalus įmokų dydis</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Kredito įstaigos; kitose negu 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užsienio bankų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0,0057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Vartojimo kredito davėjai, išskyrus kredito įstaigas ir jų filialus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Vidutinis metinis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0,0085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Elektroninių pinigų įstaigos; kitose negu 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elektroninių pinigų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Neapmokėtų elektroninių pinigų metinis vidurkis ir </w:t>
                </w:r>
              </w:p>
              <w:p>
                <w:pPr>
                  <w:rPr>
                    <w:szCs w:val="24"/>
                  </w:rPr>
                </w:pPr>
                <w:r>
                  <w:rPr>
                    <w:bCs/>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rPr>
              <w:trHeight w:val="591"/>
            </w:trP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Mokėjimo įstaigos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0,01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mokėjimo įstaigų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Mokėjimo paslaugų metinė apyvarta</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 xml:space="preserve">Draudimo ir perdraudimo įmonės; kitose negu Europos ekonominės erdvės valstybėse licencijuotų draudimo ir perdraudimo įmonių filialai, įsteigti Lietuvos Respublikoje </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0,26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9.</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Europos ekonominės erdvės valstybėse licencijuotų draudimo ir perdraudimo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Lietuvos Respublikoje pasirašytos draudimo ir perdraudimo įmokos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Finansų maklerio įmonės</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0,3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11.</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Kitose Europos ekonominės erdvės valstybėse licencijuotų finansų maklerio įmonių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Metinės pajamos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0,15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12.</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Valdymo įmonės, investicinės kintamojo kapitalo bendrovės, uždaro tipo investicinės bendrovės ir šių subjektų filialai, įsteigti Lietuvos Respublikoje</w:t>
                </w:r>
              </w:p>
            </w:tc>
            <w:tc>
              <w:tcPr>
                <w:tcW w:w="2410" w:type="dxa"/>
                <w:tcBorders>
                  <w:top w:val="single" w:sz="4" w:space="0" w:color="auto"/>
                  <w:left w:val="single" w:sz="4" w:space="0" w:color="auto"/>
                  <w:bottom w:val="single" w:sz="4" w:space="0" w:color="auto"/>
                  <w:right w:val="single" w:sz="4" w:space="0" w:color="auto"/>
                </w:tcBorders>
                <w:hideMark/>
              </w:tcPr>
              <w:p>
                <w:pPr>
                  <w:rPr>
                    <w:szCs w:val="24"/>
                  </w:rPr>
                </w:pPr>
                <w:r>
                  <w:rPr>
                    <w:szCs w:val="24"/>
                  </w:rPr>
                  <w:t>Valdomas kolektyvinio investavimo subjektų ir papildomo savanoriško pensijų kaupimo fondų turtas</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0,05 proc.</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13.</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Reguliuojamos rinkos operatoriai</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21 721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14.</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Centrinis vertybinių popierių depozitoriumas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28 962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15.</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868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16.</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Emitentai, kurių ne nuosavybės vertybiniai popieriai įtraukti į prekybą reguliuojamoje rinkoje Lietuvos Respublikoje ir (ar) kitoje Europos ekonominės erdvės valstybėje ir kurių priežiūrą atlieka Lietuvos bankas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17.</w:t>
                </w:r>
              </w:p>
            </w:tc>
            <w:tc>
              <w:tcPr>
                <w:tcW w:w="4280" w:type="dxa"/>
                <w:tcBorders>
                  <w:top w:val="single" w:sz="4" w:space="0" w:color="auto"/>
                  <w:left w:val="single" w:sz="4" w:space="0" w:color="auto"/>
                  <w:bottom w:val="single" w:sz="4" w:space="0" w:color="auto"/>
                  <w:right w:val="single" w:sz="4" w:space="0" w:color="auto"/>
                </w:tcBorders>
                <w:hideMark/>
              </w:tcPr>
              <w:p>
                <w:pPr>
                  <w:jc w:val="both"/>
                  <w:rPr>
                    <w:szCs w:val="24"/>
                  </w:rPr>
                </w:pPr>
                <w:r>
                  <w:rPr>
                    <w:szCs w:val="24"/>
                  </w:rPr>
                  <w:t>Draudimo brokerių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283"/>
                  <w:jc w:val="center"/>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18.</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szCs w:val="24"/>
                  </w:rPr>
                  <w:t>Finansų patarėjo įmonės</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tcPr>
              <w:p>
                <w:pPr>
                  <w:ind w:left="102"/>
                  <w:rPr>
                    <w:szCs w:val="24"/>
                  </w:rPr>
                </w:pPr>
              </w:p>
            </w:tc>
          </w:tr>
          <w:tr>
            <w:tc>
              <w:tcPr>
                <w:tcW w:w="648"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19.</w:t>
                </w:r>
              </w:p>
            </w:tc>
            <w:tc>
              <w:tcPr>
                <w:tcW w:w="4280" w:type="dxa"/>
                <w:tcBorders>
                  <w:top w:val="single" w:sz="4" w:space="0" w:color="auto"/>
                  <w:left w:val="single" w:sz="4" w:space="0" w:color="auto"/>
                  <w:bottom w:val="single" w:sz="4" w:space="0" w:color="auto"/>
                  <w:right w:val="single" w:sz="4" w:space="0" w:color="auto"/>
                </w:tcBorders>
                <w:hideMark/>
              </w:tcPr>
              <w:p>
                <w:pPr>
                  <w:tabs>
                    <w:tab w:val="left" w:pos="540"/>
                  </w:tabs>
                  <w:jc w:val="both"/>
                  <w:rPr>
                    <w:szCs w:val="24"/>
                  </w:rPr>
                </w:pPr>
                <w:r>
                  <w:rPr>
                    <w:bCs/>
                    <w:szCs w:val="24"/>
                  </w:rPr>
                  <w:t xml:space="preserve">Valiutos keityklos operatoriai         </w:t>
                </w:r>
              </w:p>
            </w:tc>
            <w:tc>
              <w:tcPr>
                <w:tcW w:w="2410"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1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434 Eur</w:t>
                </w:r>
              </w:p>
            </w:tc>
            <w:tc>
              <w:tcPr>
                <w:tcW w:w="390" w:type="dxa"/>
                <w:tcBorders>
                  <w:top w:val="nil"/>
                  <w:left w:val="single" w:sz="4" w:space="0" w:color="auto"/>
                  <w:bottom w:val="nil"/>
                  <w:right w:val="nil"/>
                </w:tcBorders>
                <w:hideMark/>
              </w:tcPr>
              <w:p/>
            </w:tc>
          </w:tr>
          <w:tr>
            <w:tc>
              <w:tcPr>
                <w:tcW w:w="64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20.</w:t>
                </w:r>
              </w:p>
            </w:tc>
            <w:tc>
              <w:tcPr>
                <w:tcW w:w="4280" w:type="dxa"/>
                <w:tcBorders>
                  <w:top w:val="single" w:sz="4" w:space="0" w:color="auto"/>
                  <w:left w:val="single" w:sz="4" w:space="0" w:color="auto"/>
                  <w:bottom w:val="single" w:sz="4" w:space="0" w:color="auto"/>
                  <w:right w:val="single" w:sz="4" w:space="0" w:color="auto"/>
                </w:tcBorders>
              </w:tcPr>
              <w:p>
                <w:pPr>
                  <w:jc w:val="both"/>
                  <w:rPr>
                    <w:szCs w:val="24"/>
                    <w:lang w:eastAsia="lt-LT"/>
                  </w:rPr>
                </w:pPr>
                <w:r>
                  <w:rPr>
                    <w:szCs w:val="24"/>
                    <w:lang w:eastAsia="lt-LT"/>
                  </w:rPr>
                  <w:t>Sutelktinio finansavimo platformos operatoriai</w:t>
                </w:r>
              </w:p>
            </w:tc>
            <w:tc>
              <w:tcPr>
                <w:tcW w:w="2410"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w:t>
                </w:r>
              </w:p>
            </w:tc>
            <w:tc>
              <w:tcPr>
                <w:tcW w:w="161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3 000 Eur</w:t>
                </w:r>
              </w:p>
            </w:tc>
            <w:tc>
              <w:tcPr>
                <w:tcW w:w="390" w:type="dxa"/>
                <w:tcBorders>
                  <w:top w:val="nil"/>
                  <w:left w:val="single" w:sz="4" w:space="0" w:color="auto"/>
                  <w:bottom w:val="nil"/>
                  <w:right w:val="nil"/>
                </w:tcBorders>
              </w:tcPr>
              <w:p/>
            </w:tc>
          </w:tr>
        </w:tbl>
        <w:p>
          <w:pPr>
            <w:tabs>
              <w:tab w:val="center" w:pos="4153"/>
              <w:tab w:val="right" w:pos="8306"/>
            </w:tabs>
            <w:rPr>
              <w:i/>
              <w:sz w:val="20"/>
            </w:rPr>
          </w:pPr>
          <w:r>
            <w:rPr>
              <w:i/>
              <w:sz w:val="20"/>
            </w:rPr>
            <w:t>Įstatymas papildytas nauju 1 priedu:</w:t>
          </w:r>
        </w:p>
        <w:p>
          <w:pPr>
            <w:tabs>
              <w:tab w:val="center" w:pos="4153"/>
              <w:tab w:val="right" w:pos="8306"/>
            </w:tabs>
            <w:rPr>
              <w:i/>
              <w:sz w:val="20"/>
            </w:rPr>
          </w:pPr>
          <w:r>
            <w:rPr>
              <w:i/>
              <w:sz w:val="20"/>
            </w:rPr>
            <w:t xml:space="preserve">Nr. </w:t>
          </w:r>
          <w:hyperlink r:id="rId127" w:history="1">
            <w:r>
              <w:rPr>
                <w:i/>
                <w:color w:val="0000FF"/>
                <w:sz w:val="20"/>
                <w:u w:val="single"/>
              </w:rPr>
              <w:t>XI-1666</w:t>
            </w:r>
          </w:hyperlink>
          <w:r>
            <w:rPr>
              <w:i/>
              <w:sz w:val="20"/>
            </w:rPr>
            <w:t>, 2011-11-17, Žin., 2011, Nr. 145-6812 (2011-12-01)</w:t>
          </w:r>
        </w:p>
        <w:p>
          <w:pPr>
            <w:tabs>
              <w:tab w:val="center" w:pos="4153"/>
              <w:tab w:val="right" w:pos="8306"/>
            </w:tabs>
            <w:rPr>
              <w:i/>
              <w:sz w:val="20"/>
            </w:rPr>
          </w:pPr>
          <w:r>
            <w:rPr>
              <w:i/>
              <w:sz w:val="20"/>
            </w:rPr>
            <w:t>Priedo pakeitimai:</w:t>
          </w:r>
        </w:p>
        <w:p>
          <w:pPr>
            <w:tabs>
              <w:tab w:val="center" w:pos="4153"/>
              <w:tab w:val="right" w:pos="8306"/>
            </w:tabs>
          </w:pPr>
          <w:r>
            <w:rPr>
              <w:i/>
              <w:sz w:val="20"/>
            </w:rPr>
            <w:t xml:space="preserve">Nr. </w:t>
          </w:r>
          <w:hyperlink r:id="rId128" w:history="1">
            <w:r>
              <w:rPr>
                <w:i/>
                <w:color w:val="0000FF"/>
                <w:sz w:val="20"/>
                <w:u w:val="single"/>
              </w:rPr>
              <w:t>XII-1035</w:t>
            </w:r>
          </w:hyperlink>
          <w:r>
            <w:rPr>
              <w:i/>
              <w:sz w:val="20"/>
            </w:rPr>
            <w:t>, 2014-07-17, paskelbta TAR 2014-08-04, i. k. 2014-10871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92119501020d4a8e8d5fdfd8e1c2bbe5"/>
        <w:lock w:val="sdtLocked"/>
        <w:richText/>
      </w:sdtPr>
      <w:sdtContent>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92119501020d4a8e8d5fdfd8e1c2bbe5"/>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92119501020d4a8e8d5fdfd8e1c2bbe5"/>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c45a8053ed2c455cb86d8025046d7afc"/>
        <w:lock w:val="sdtLocked"/>
        <w:richText/>
      </w:sdtPr>
      <w:sdtContent>
        <w:p>
          <w:pPr>
            <w:ind w:firstLine="6480"/>
            <w:rPr>
              <w:sz w:val="22"/>
              <w:szCs w:val="22"/>
            </w:rPr>
          </w:pPr>
          <w:r>
            <w:rPr>
              <w:sz w:val="22"/>
              <w:szCs w:val="22"/>
            </w:rPr>
            <w:t>Lietuvos Respublikos</w:t>
          </w:r>
        </w:p>
        <w:p>
          <w:pPr>
            <w:ind w:firstLine="6480"/>
            <w:rPr>
              <w:sz w:val="22"/>
              <w:szCs w:val="22"/>
            </w:rPr>
          </w:pPr>
          <w:r>
            <w:rPr>
              <w:sz w:val="22"/>
              <w:szCs w:val="22"/>
            </w:rPr>
            <w:t xml:space="preserve">Lietuvos banko įstatymo </w:t>
          </w:r>
        </w:p>
        <w:p>
          <w:pPr>
            <w:ind w:firstLine="6480"/>
            <w:rPr>
              <w:b/>
              <w:sz w:val="22"/>
              <w:szCs w:val="22"/>
            </w:rPr>
          </w:pPr>
          <w:sdt>
            <w:sdtPr>
              <w:alias w:val="Numeris"/>
              <w:tag w:val="nr_c45a8053ed2c455cb86d8025046d7afc"/>
              <w:lock w:val="sdtLocked"/>
              <w:richText/>
            </w:sdtPr>
            <w:sdtContent>
              <w:r>
                <w:rPr>
                  <w:sz w:val="22"/>
                  <w:szCs w:val="22"/>
                </w:rPr>
                <w:t>3</w:t>
              </w:r>
            </w:sdtContent>
          </w:sdt>
          <w:r>
            <w:rPr>
              <w:b/>
              <w:sz w:val="22"/>
              <w:szCs w:val="22"/>
            </w:rPr>
            <w:t xml:space="preserve"> </w:t>
          </w:r>
          <w:r>
            <w:rPr>
              <w:sz w:val="22"/>
              <w:szCs w:val="22"/>
            </w:rPr>
            <w:t>priedas</w:t>
          </w:r>
        </w:p>
        <w:p>
          <w:pPr>
            <w:ind w:firstLine="720"/>
            <w:rPr>
              <w:sz w:val="22"/>
              <w:szCs w:val="22"/>
            </w:rPr>
          </w:pPr>
        </w:p>
        <w:p>
          <w:pPr>
            <w:jc w:val="center"/>
            <w:rPr>
              <w:b/>
              <w:sz w:val="22"/>
              <w:szCs w:val="22"/>
            </w:rPr>
          </w:pPr>
          <w:sdt>
            <w:sdtPr>
              <w:alias w:val="Pavadinimas"/>
              <w:tag w:val="title_c45a8053ed2c455cb86d8025046d7afc"/>
              <w:lock w:val="sdtLocked"/>
              <w:richText/>
            </w:sdtPr>
            <w:sdtContent>
              <w:r>
                <w:rPr>
                  <w:b/>
                  <w:sz w:val="22"/>
                  <w:szCs w:val="22"/>
                </w:rPr>
                <w:t>ĮGYVENDINAMI EUROPOS SĄJUNGOS TEISĖS AKTAI</w:t>
              </w:r>
            </w:sdtContent>
          </w:sdt>
        </w:p>
        <w:p>
          <w:pPr>
            <w:ind w:firstLine="720"/>
            <w:jc w:val="both"/>
            <w:rPr>
              <w:sz w:val="22"/>
              <w:szCs w:val="22"/>
            </w:rPr>
          </w:pPr>
        </w:p>
        <w:sdt>
          <w:sdtPr>
            <w:alias w:val="3 pr. 1 p."/>
            <w:tag w:val="part_9392a88c6a564eb6a1d27150849c37f7"/>
            <w:lock w:val="sdtLocked"/>
            <w:richText/>
          </w:sdtPr>
          <w:sdtContent>
            <w:p>
              <w:pPr>
                <w:ind w:firstLine="720"/>
                <w:jc w:val="both"/>
                <w:rPr>
                  <w:sz w:val="22"/>
                  <w:szCs w:val="22"/>
                </w:rPr>
              </w:pPr>
              <w:sdt>
                <w:sdtPr>
                  <w:alias w:val="Numeris"/>
                  <w:tag w:val="nr_9392a88c6a564eb6a1d27150849c37f7"/>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6ef40e06f6f342498ef9571918bea7a6"/>
            <w:lock w:val="sdtLocked"/>
            <w:richText/>
          </w:sdtPr>
          <w:sdtContent>
            <w:p>
              <w:pPr>
                <w:ind w:firstLine="720"/>
                <w:jc w:val="both"/>
                <w:rPr>
                  <w:sz w:val="22"/>
                  <w:szCs w:val="22"/>
                </w:rPr>
              </w:pPr>
              <w:sdt>
                <w:sdtPr>
                  <w:alias w:val="Numeris"/>
                  <w:tag w:val="nr_6ef40e06f6f342498ef9571918bea7a6"/>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7b28963640a04e48984fe9db3c32e15d"/>
            <w:lock w:val="sdtLocked"/>
            <w:richText/>
          </w:sdtPr>
          <w:sdtContent>
            <w:p>
              <w:pPr>
                <w:ind w:firstLine="720"/>
                <w:jc w:val="both"/>
                <w:rPr>
                  <w:sz w:val="22"/>
                  <w:szCs w:val="22"/>
                </w:rPr>
              </w:pPr>
              <w:sdt>
                <w:sdtPr>
                  <w:alias w:val="Numeris"/>
                  <w:tag w:val="nr_7b28963640a04e48984fe9db3c32e15d"/>
                  <w:lock w:val="sdtLocked"/>
                  <w:richText/>
                </w:sdtPr>
                <w:sdtContent>
                  <w:r>
                    <w:rPr>
                      <w:sz w:val="22"/>
                      <w:szCs w:val="22"/>
                    </w:rPr>
                    <w:t>3</w:t>
                  </w:r>
                </w:sdtContent>
              </w:sdt>
              <w:r>
                <w:rPr>
                  <w:sz w:val="22"/>
                  <w:szCs w:val="22"/>
                </w:rPr>
                <w:t xml:space="preserve">. 1993 m. gruodžio 13 d. Tarybos reglamentas (EB) Nr. 3603/93, nustatantis apibrėžimus, susijusius su Sutarties 104 ir 104b (1) straipsniuose numatytų uždraudimų taikymu (OL </w:t>
              </w:r>
              <w:r>
                <w:rPr>
                  <w:i/>
                  <w:sz w:val="22"/>
                  <w:szCs w:val="22"/>
                </w:rPr>
                <w:t>2004 m. specialusis leidimas</w:t>
              </w:r>
              <w:r>
                <w:rPr>
                  <w:sz w:val="22"/>
                  <w:szCs w:val="22"/>
                </w:rPr>
                <w:t xml:space="preserve">, 10 skyrius, 1 tomas, p. 27). </w:t>
              </w:r>
            </w:p>
          </w:sdtContent>
        </w:sdt>
        <w:sdt>
          <w:sdtPr>
            <w:alias w:val="3 pr. 4 p."/>
            <w:tag w:val="part_1bd45c0ff62a4d7f8ea9e508a0b3205e"/>
            <w:lock w:val="sdtLocked"/>
            <w:richText/>
          </w:sdtPr>
          <w:sdtContent>
            <w:p>
              <w:pPr>
                <w:ind w:firstLine="720"/>
                <w:jc w:val="both"/>
                <w:rPr>
                  <w:sz w:val="22"/>
                  <w:szCs w:val="22"/>
                </w:rPr>
              </w:pPr>
              <w:sdt>
                <w:sdtPr>
                  <w:alias w:val="Numeris"/>
                  <w:tag w:val="nr_1bd45c0ff62a4d7f8ea9e508a0b3205e"/>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w:t>
              </w:r>
              <w:r>
                <w:rPr>
                  <w:i/>
                  <w:sz w:val="22"/>
                  <w:szCs w:val="22"/>
                </w:rPr>
                <w:t>2004 m. specialusis leidimas</w:t>
              </w:r>
              <w:r>
                <w:rPr>
                  <w:sz w:val="22"/>
                  <w:szCs w:val="22"/>
                </w:rPr>
                <w:t xml:space="preserve">, 10 skyrius, 1 tomas, p. 30). </w:t>
              </w:r>
            </w:p>
          </w:sdtContent>
        </w:sdt>
        <w:sdt>
          <w:sdtPr>
            <w:alias w:val="3 pr. 5 p."/>
            <w:tag w:val="part_9009c7b2bdf64b86b01bb2aa21dd1412"/>
            <w:lock w:val="sdtLocked"/>
            <w:richText/>
          </w:sdtPr>
          <w:sdtContent>
            <w:p>
              <w:pPr>
                <w:ind w:firstLine="720"/>
                <w:jc w:val="both"/>
                <w:rPr>
                  <w:sz w:val="22"/>
                  <w:szCs w:val="22"/>
                </w:rPr>
              </w:pPr>
              <w:sdt>
                <w:sdtPr>
                  <w:alias w:val="Numeris"/>
                  <w:tag w:val="nr_9009c7b2bdf64b86b01bb2aa21dd1412"/>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w:t>
              </w:r>
              <w:r>
                <w:rPr>
                  <w:i/>
                  <w:sz w:val="22"/>
                  <w:szCs w:val="22"/>
                </w:rPr>
                <w:t>2004 m. specialusis leidimas</w:t>
              </w:r>
              <w:r>
                <w:rPr>
                  <w:sz w:val="22"/>
                  <w:szCs w:val="22"/>
                </w:rPr>
                <w:t>, 19 skyrius, 4 tomas, p. 152), su paskutiniais pakeitimais, padarytais 2008 m. gruodžio 18 d. Tarybos reglamentu (EB) Nr. 44/2009 (OL 2009 L 17, p. 1).</w:t>
              </w:r>
            </w:p>
          </w:sdtContent>
        </w:sdt>
        <w:sdt>
          <w:sdtPr>
            <w:alias w:val="3 pr. 6 p."/>
            <w:tag w:val="part_c486f41b512f459190934e503116ae68"/>
            <w:lock w:val="sdtLocked"/>
            <w:richText/>
          </w:sdtPr>
          <w:sdtContent>
            <w:p>
              <w:pPr>
                <w:ind w:firstLine="720"/>
                <w:jc w:val="both"/>
                <w:rPr>
                  <w:sz w:val="22"/>
                  <w:szCs w:val="22"/>
                </w:rPr>
              </w:pPr>
              <w:sdt>
                <w:sdtPr>
                  <w:alias w:val="Numeris"/>
                  <w:tag w:val="nr_c486f41b512f459190934e503116ae68"/>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w:t>
              </w:r>
              <w:r>
                <w:rPr>
                  <w:i/>
                  <w:sz w:val="22"/>
                  <w:szCs w:val="22"/>
                </w:rPr>
                <w:t>2004 m. specialusis leidimas</w:t>
              </w:r>
              <w:r>
                <w:rPr>
                  <w:sz w:val="22"/>
                  <w:szCs w:val="22"/>
                </w:rPr>
                <w:t>, 19 skyrius, 4 tomas, p. 157).</w:t>
              </w:r>
            </w:p>
          </w:sdtContent>
        </w:sdt>
        <w:sdt>
          <w:sdtPr>
            <w:alias w:val="3 pr. 7 p."/>
            <w:tag w:val="part_3790cc695bb441ef9d19db20321710b8"/>
            <w:lock w:val="sdtLocked"/>
            <w:richText/>
          </w:sdtPr>
          <w:sdtContent>
            <w:p>
              <w:pPr>
                <w:ind w:firstLine="720"/>
                <w:jc w:val="both"/>
                <w:rPr>
                  <w:sz w:val="22"/>
                  <w:szCs w:val="22"/>
                </w:rPr>
              </w:pPr>
              <w:sdt>
                <w:sdtPr>
                  <w:alias w:val="Numeris"/>
                  <w:tag w:val="nr_3790cc695bb441ef9d19db20321710b8"/>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w:t>
              </w:r>
              <w:r>
                <w:rPr>
                  <w:i/>
                  <w:sz w:val="22"/>
                  <w:szCs w:val="22"/>
                </w:rPr>
                <w:t>2004 m. specialusis leidimas</w:t>
              </w:r>
              <w:r>
                <w:rPr>
                  <w:sz w:val="22"/>
                  <w:szCs w:val="22"/>
                </w:rPr>
                <w:t>, 10 skyrius, 3 tomas, p. 89).</w:t>
              </w:r>
            </w:p>
          </w:sdtContent>
        </w:sdt>
        <w:sdt>
          <w:sdtPr>
            <w:alias w:val="3 pr. 8 p."/>
            <w:tag w:val="part_f49ae22a00e842049f66ebf7a0953dc1"/>
            <w:lock w:val="sdtLocked"/>
            <w:richText/>
          </w:sdtPr>
          <w:sdtContent>
            <w:p>
              <w:pPr>
                <w:ind w:firstLine="720"/>
                <w:jc w:val="both"/>
                <w:rPr>
                  <w:sz w:val="22"/>
                  <w:szCs w:val="22"/>
                </w:rPr>
              </w:pPr>
              <w:sdt>
                <w:sdtPr>
                  <w:alias w:val="Numeris"/>
                  <w:tag w:val="nr_f49ae22a00e842049f66ebf7a0953dc1"/>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c150edcf79a4ac7bfc6ebd61e1cfb77"/>
            <w:lock w:val="sdtLocked"/>
            <w:richText/>
          </w:sdtPr>
          <w:sdtContent>
            <w:p>
              <w:pPr>
                <w:ind w:firstLine="720"/>
                <w:jc w:val="both"/>
                <w:rPr>
                  <w:sz w:val="22"/>
                  <w:szCs w:val="22"/>
                </w:rPr>
              </w:pPr>
              <w:sdt>
                <w:sdtPr>
                  <w:alias w:val="Numeris"/>
                  <w:tag w:val="nr_bc150edcf79a4ac7bfc6ebd61e1cfb77"/>
                  <w:lock w:val="sdtLocked"/>
                  <w:richText/>
                </w:sdtPr>
                <w:sdtContent>
                  <w:r>
                    <w:rPr>
                      <w:sz w:val="22"/>
                      <w:szCs w:val="22"/>
                    </w:rPr>
                    <w:t>9</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0 p."/>
            <w:tag w:val="part_6eb77abcc4814c1cb2fdfc79153f7cb4"/>
            <w:lock w:val="sdtLocked"/>
            <w:richText/>
          </w:sdtPr>
          <w:sdtContent>
            <w:p>
              <w:pPr>
                <w:ind w:firstLine="720"/>
                <w:jc w:val="both"/>
              </w:pPr>
              <w:sdt>
                <w:sdtPr>
                  <w:alias w:val="Numeris"/>
                  <w:tag w:val="nr_6eb77abcc4814c1cb2fdfc79153f7cb4"/>
                  <w:lock w:val="sdtLocked"/>
                  <w:richText/>
                </w:sdtPr>
                <w:sdtContent>
                  <w:r>
                    <w:rPr>
                      <w:sz w:val="22"/>
                      <w:szCs w:val="22"/>
                    </w:rPr>
                    <w:t>10</w:t>
                  </w:r>
                </w:sdtContent>
              </w:sdt>
              <w:r>
                <w:rPr>
                  <w:sz w:val="22"/>
                  <w:szCs w:val="22"/>
                </w:rPr>
                <w:t>. 2014 m. gegužės 15 d. Europos Parlamento ir Tarybos direktyva 2014/59/ES, kuria nustatoma kredito įstaigų̨ ir investicinių įmonių̨ gaivinimo ir pertvarkymo sistema ir iš dalies keičiamos Tarybos direktyva 82/891/EEB, direktyvos 2001/24/EB, 2002/47/EB, 2004/25/EB, 2005/56/EB, 2007/36/EB, 2011/35/ES, 2012/30/ES bei 2013/36/ES ir Europos Parlamento ir Tarybos reglamentai (ES) Nr. 1093/2010 bei (ES) Nr. 648/2012 (OL 2014 L 173, p. 190).</w:t>
              </w:r>
            </w:p>
          </w:sdtContent>
        </w:sdt>
        <w:p>
          <w:pPr>
            <w:jc w:val="both"/>
            <w:rPr>
              <w:bCs/>
              <w:i/>
              <w:iCs/>
              <w:sz w:val="20"/>
            </w:rPr>
          </w:pPr>
          <w:r>
            <w:rPr>
              <w:bCs/>
              <w:i/>
              <w:iCs/>
              <w:sz w:val="20"/>
            </w:rPr>
            <w:t>Įstatymas papildytas priedu:</w:t>
          </w:r>
        </w:p>
        <w:p>
          <w:pPr>
            <w:jc w:val="both"/>
            <w:rPr>
              <w:rFonts w:eastAsia="MS Mincho"/>
              <w:bCs/>
              <w:i/>
              <w:iCs/>
              <w:sz w:val="20"/>
            </w:rPr>
          </w:pPr>
          <w:r>
            <w:rPr>
              <w:rFonts w:eastAsia="MS Mincho"/>
              <w:bCs/>
              <w:i/>
              <w:iCs/>
              <w:sz w:val="20"/>
            </w:rPr>
            <w:t xml:space="preserve">Nr. </w:t>
          </w:r>
          <w:hyperlink r:id="rId12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Priedo pakeitimas:</w:t>
          </w:r>
        </w:p>
        <w:p>
          <w:pPr>
            <w:jc w:val="both"/>
            <w:rPr>
              <w:rFonts w:eastAsia="MS Mincho"/>
              <w:i/>
              <w:iCs/>
              <w:sz w:val="20"/>
            </w:rPr>
          </w:pPr>
          <w:r>
            <w:rPr>
              <w:rFonts w:eastAsia="MS Mincho"/>
              <w:i/>
              <w:iCs/>
              <w:sz w:val="20"/>
            </w:rPr>
            <w:t xml:space="preserve">Nr. </w:t>
          </w:r>
          <w:hyperlink r:id="rId13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rFonts w:eastAsia="MS Mincho"/>
              <w:i/>
              <w:iCs/>
              <w:sz w:val="20"/>
            </w:rPr>
          </w:pPr>
          <w:r>
            <w:rPr>
              <w:i/>
              <w:sz w:val="20"/>
            </w:rPr>
            <w:t xml:space="preserve">Nr. </w:t>
          </w:r>
          <w:hyperlink r:id="rId131" w:history="1">
            <w:r>
              <w:rPr>
                <w:i/>
                <w:color w:val="0000FF"/>
                <w:sz w:val="20"/>
                <w:u w:val="single"/>
              </w:rPr>
              <w:t>XI-1667</w:t>
            </w:r>
          </w:hyperlink>
          <w:r>
            <w:rPr>
              <w:i/>
              <w:sz w:val="20"/>
            </w:rPr>
            <w:t>, 2011-11-17, Žin., 2011, Nr. 145-6813 (2011-12-01)</w:t>
          </w:r>
        </w:p>
        <w:p>
          <w:pPr>
            <w:ind w:firstLine="720"/>
            <w:jc w:val="both"/>
            <w:rPr>
              <w:rFonts w:eastAsia="MS Mincho"/>
              <w:i/>
              <w:iCs/>
              <w:sz w:val="20"/>
            </w:rPr>
          </w:pPr>
          <w:r>
            <w:rPr>
              <w:i/>
              <w:sz w:val="20"/>
            </w:rPr>
            <w:t xml:space="preserve">Nr. </w:t>
          </w:r>
          <w:hyperlink r:id="rId132" w:history="1">
            <w:r>
              <w:rPr>
                <w:i/>
                <w:color w:val="0000FF"/>
                <w:sz w:val="20"/>
                <w:u w:val="single"/>
              </w:rPr>
              <w:t>XII-1046</w:t>
            </w:r>
          </w:hyperlink>
          <w:r>
            <w:rPr>
              <w:i/>
              <w:sz w:val="20"/>
            </w:rPr>
            <w:t>, 2014-07-17, paskelbta TAR 2014-08-01, i. k. 2014-10742</w:t>
          </w:r>
        </w:p>
        <w:p>
          <w:pPr>
            <w:jc w:val="both"/>
            <w:rPr>
              <w:i/>
              <w:sz w:val="22"/>
              <w:szCs w:val="22"/>
            </w:rPr>
          </w:pPr>
          <w:r>
            <w:rPr>
              <w:i/>
              <w:sz w:val="20"/>
            </w:rPr>
            <w:t xml:space="preserve">Nr. </w:t>
          </w:r>
          <w:hyperlink r:id="rId133" w:history="1">
            <w:r>
              <w:rPr>
                <w:i/>
                <w:color w:val="0000FF"/>
                <w:sz w:val="20"/>
                <w:u w:val="single"/>
              </w:rPr>
              <w:t>XI-1666</w:t>
            </w:r>
          </w:hyperlink>
          <w:r>
            <w:rPr>
              <w:i/>
              <w:sz w:val="20"/>
            </w:rPr>
            <w:t>, 2011-11-17, Žin., 2011, Nr. 145-6812 (2011-12-01)</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34"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35"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36"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37"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8"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9"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40" w:history="1">
            <w:r>
              <w:rPr>
                <w:rStyle w:val="Hipersaitas"/>
                <w:sz w:val="20"/>
              </w:rPr>
              <w:t>89-2741</w:t>
            </w:r>
          </w:hyperlink>
          <w:r>
            <w:rPr>
              <w:sz w:val="20"/>
            </w:rPr>
            <w:t xml:space="preserve">) ir Lietuvos Respublikos baudžiamojo proceso kodeksu (Žin., 2002, Nr. </w:t>
          </w:r>
          <w:hyperlink r:id="rId141"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42"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3"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44"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5"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6"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47"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8"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9"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0"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1"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2"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53"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4"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5"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56"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57"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8"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9"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60"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61"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62"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1134" w:bottom="1134" w:left="567" w:header="567" w:footer="567" w:gutter="1134"/>
      <w:cols w:space="129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A375A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230454&amp;b="/>
  <Relationship Id="rId101" Type="http://schemas.openxmlformats.org/officeDocument/2006/relationships/hyperlink" TargetMode="External" Target="http://www3.lrs.lt/cgi-bin/preps2?a=361206&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30454&amp;b="/>
  <Relationship Id="rId104" Type="http://schemas.openxmlformats.org/officeDocument/2006/relationships/hyperlink" TargetMode="External" Target="http://www3.lrs.lt/cgi-bin/preps2?a=361206&amp;b="/>
  <Relationship Id="rId105" Type="http://schemas.openxmlformats.org/officeDocument/2006/relationships/hyperlink" TargetMode="External" Target="http://www3.lrs.lt/cgi-bin/preps2?a=412373&amp;b="/>
  <Relationship Id="rId106" Type="http://schemas.openxmlformats.org/officeDocument/2006/relationships/hyperlink" TargetMode="External" Target="http://www3.lrs.lt/cgi-bin/preps2?a=227304&amp;b="/>
  <Relationship Id="rId107" Type="http://schemas.openxmlformats.org/officeDocument/2006/relationships/hyperlink" TargetMode="External" Target="http://www3.lrs.lt/cgi-bin/preps2?a=361206&amp;b="/>
  <Relationship Id="rId108" Type="http://schemas.openxmlformats.org/officeDocument/2006/relationships/hyperlink" TargetMode="External" Target="http://www3.lrs.lt/cgi-bin/preps2?a=412373&amp;b="/>
  <Relationship Id="rId109" Type="http://schemas.openxmlformats.org/officeDocument/2006/relationships/hyperlink" TargetMode="External" Target="http://www3.lrs.lt/cgi-bin/preps2?a=412373&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227304&amp;b="/>
  <Relationship Id="rId111" Type="http://schemas.openxmlformats.org/officeDocument/2006/relationships/hyperlink" TargetMode="External" Target="http://www3.lrs.lt/cgi-bin/preps2?a=274804&amp;b="/>
  <Relationship Id="rId112" Type="http://schemas.openxmlformats.org/officeDocument/2006/relationships/hyperlink" TargetMode="External" Target="http://www3.lrs.lt/cgi-bin/preps2?a=396599&amp;b="/>
  <Relationship Id="rId113" Type="http://schemas.openxmlformats.org/officeDocument/2006/relationships/hyperlink" TargetMode="External" Target="http://www3.lrs.lt/cgi-bin/preps2?a=396597&amp;b="/>
  <Relationship Id="rId114" Type="http://schemas.openxmlformats.org/officeDocument/2006/relationships/hyperlink" TargetMode="External" Target="http://www3.lrs.lt/cgi-bin/preps2?a=2273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396599&amp;b="/>
  <Relationship Id="rId117" Type="http://schemas.openxmlformats.org/officeDocument/2006/relationships/hyperlink" TargetMode="External" Target="http://www3.lrs.lt/cgi-bin/preps2?a=396597&amp;b="/>
  <Relationship Id="rId118" Type="http://schemas.openxmlformats.org/officeDocument/2006/relationships/hyperlink" TargetMode="External" Target="http://www3.lrs.lt/cgi-bin/preps2?a=412373&amp;b="/>
  <Relationship Id="rId119" Type="http://schemas.openxmlformats.org/officeDocument/2006/relationships/hyperlink" TargetMode="External" Target="http://www3.lrs.lt/cgi-bin/preps2?a=213881&amp;b="/>
  <Relationship Id="rId12" Type="http://schemas.openxmlformats.org/officeDocument/2006/relationships/hyperlink" TargetMode="External" Target="http://www3.lrs.lt/cgi-bin/preps2?a=274804&amp;b="/>
  <Relationship Id="rId120" Type="http://schemas.openxmlformats.org/officeDocument/2006/relationships/hyperlink" TargetMode="External" Target="http://www3.lrs.lt/cgi-bin/preps2?a=231828&amp;b="/>
  <Relationship Id="rId121" Type="http://schemas.openxmlformats.org/officeDocument/2006/relationships/hyperlink" TargetMode="External" Target="http://www3.lrs.lt/cgi-bin/preps2?a=274804&amp;b="/>
  <Relationship Id="rId122" Type="http://schemas.openxmlformats.org/officeDocument/2006/relationships/hyperlink" TargetMode="External" Target="http://www3.lrs.lt/cgi-bin/preps2?a=274804&amp;b="/>
  <Relationship Id="rId123" Type="http://schemas.openxmlformats.org/officeDocument/2006/relationships/hyperlink" TargetMode="External" Target="http://www3.lrs.lt/cgi-bin/preps2?a=469641&amp;b="/>
  <Relationship Id="rId124" Type="http://schemas.openxmlformats.org/officeDocument/2006/relationships/hyperlink" TargetMode="External" Target="http://www3.lrs.lt/cgi-bin/preps2?a=227304&amp;b="/>
  <Relationship Id="rId125" Type="http://schemas.openxmlformats.org/officeDocument/2006/relationships/hyperlink" TargetMode="External" Target="http://www3.lrs.lt/cgi-bin/preps2?a=274804&amp;b="/>
  <Relationship Id="rId126" Type="http://schemas.openxmlformats.org/officeDocument/2006/relationships/hyperlink" TargetMode="External" Target="http://www3.lrs.lt/cgi-bin/preps2?a=231829&amp;b="/>
  <Relationship Id="rId127" Type="http://schemas.openxmlformats.org/officeDocument/2006/relationships/hyperlink" TargetMode="External" Target="http://www3.lrs.lt/cgi-bin/preps2?a=412373&amp;b="/>
  <Relationship Id="rId128" Type="http://schemas.openxmlformats.org/officeDocument/2006/relationships/hyperlink" TargetMode="External" Target="http://www3.lrs.lt/cgi-bin/preps2?a=478691&amp;b="/>
  <Relationship Id="rId129" Type="http://schemas.openxmlformats.org/officeDocument/2006/relationships/hyperlink" TargetMode="External" Target="http://www3.lrs.lt/cgi-bin/preps2?a=227304&amp;b="/>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74804&amp;b="/>
  <Relationship Id="rId131" Type="http://schemas.openxmlformats.org/officeDocument/2006/relationships/hyperlink" TargetMode="External" Target="http://www3.lrs.lt/cgi-bin/preps2?a=412356&amp;b="/>
  <Relationship Id="rId132" Type="http://schemas.openxmlformats.org/officeDocument/2006/relationships/hyperlink" TargetMode="External" Target="http://www3.lrs.lt/cgi-bin/preps2?a=478702&amp;b="/>
  <Relationship Id="rId133" Type="http://schemas.openxmlformats.org/officeDocument/2006/relationships/hyperlink" TargetMode="External" Target="http://www3.lrs.lt/cgi-bin/preps2?a=412373&amp;b="/>
  <Relationship Id="rId134" Type="http://schemas.openxmlformats.org/officeDocument/2006/relationships/hyperlink" TargetMode="External" Target="http://www3.lrs.lt/cgi-bin/preps2?Condition1=26025&amp;Condition2="/>
  <Relationship Id="rId135" Type="http://schemas.openxmlformats.org/officeDocument/2006/relationships/hyperlink" TargetMode="External" Target="http://www3.lrs.lt/cgi-bin/preps2?Condition1=37819&amp;Condition2="/>
  <Relationship Id="rId136" Type="http://schemas.openxmlformats.org/officeDocument/2006/relationships/hyperlink" TargetMode="External" Target="http://www3.lrs.lt/cgi-bin/preps2?Condition1=41676&amp;Condition2="/>
  <Relationship Id="rId137" Type="http://schemas.openxmlformats.org/officeDocument/2006/relationships/hyperlink" TargetMode="External" Target="http://www3.lrs.lt/cgi-bin/preps2?Condition1=128873&amp;Condition2="/>
  <Relationship Id="rId138" Type="http://schemas.openxmlformats.org/officeDocument/2006/relationships/hyperlink" TargetMode="External" Target="http://www3.lrs.lt/cgi-bin/preps2?a=206757&amp;b="/>
  <Relationship Id="rId139" Type="http://schemas.openxmlformats.org/officeDocument/2006/relationships/hyperlink" TargetMode="External" Target="http://www3.lrs.lt/cgi-bin/preps2?a=209663&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111555&amp;b="/>
  <Relationship Id="rId141" Type="http://schemas.openxmlformats.org/officeDocument/2006/relationships/hyperlink" TargetMode="External" Target="http://www3.lrs.lt/cgi-bin/preps2?a=163482&amp;b="/>
  <Relationship Id="rId142" Type="http://schemas.openxmlformats.org/officeDocument/2006/relationships/hyperlink" TargetMode="External" Target="http://www3.lrs.lt/cgi-bin/preps2?a=213881&amp;b="/>
  <Relationship Id="rId143" Type="http://schemas.openxmlformats.org/officeDocument/2006/relationships/hyperlink" TargetMode="External" Target="http://www3.lrs.lt/cgi-bin/preps2?a=227304&amp;b="/>
  <Relationship Id="rId144" Type="http://schemas.openxmlformats.org/officeDocument/2006/relationships/hyperlink" TargetMode="External" Target="http://www3.lrs.lt/cgi-bin/preps2?a=230454&amp;b="/>
  <Relationship Id="rId145" Type="http://schemas.openxmlformats.org/officeDocument/2006/relationships/hyperlink" TargetMode="External" Target="http://www3.lrs.lt/cgi-bin/preps2?a=231828&amp;b="/>
  <Relationship Id="rId146" Type="http://schemas.openxmlformats.org/officeDocument/2006/relationships/hyperlink" TargetMode="External" Target="http://www3.lrs.lt/cgi-bin/preps2?a=231829&amp;b="/>
  <Relationship Id="rId147" Type="http://schemas.openxmlformats.org/officeDocument/2006/relationships/hyperlink" TargetMode="External" Target="http://www3.lrs.lt/cgi-bin/preps2?a=274804&amp;b="/>
  <Relationship Id="rId148" Type="http://schemas.openxmlformats.org/officeDocument/2006/relationships/hyperlink" TargetMode="External" Target="http://www3.lrs.lt/cgi-bin/preps2?a=361205&amp;b="/>
  <Relationship Id="rId149" Type="http://schemas.openxmlformats.org/officeDocument/2006/relationships/hyperlink" TargetMode="External" Target="http://www3.lrs.lt/cgi-bin/preps2?a=39659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412356&amp;b="/>
  <Relationship Id="rId151" Type="http://schemas.openxmlformats.org/officeDocument/2006/relationships/hyperlink" TargetMode="External" Target="http://www3.lrs.lt/cgi-bin/preps2?a=464959&amp;b="/>
  <Relationship Id="rId152" Type="http://schemas.openxmlformats.org/officeDocument/2006/relationships/hyperlink" TargetMode="External" Target="http://www3.lrs.lt/cgi-bin/preps2?a=469641&amp;b="/>
  <Relationship Id="rId153" Type="http://schemas.openxmlformats.org/officeDocument/2006/relationships/hyperlink" TargetMode="External" Target="http://www3.lrs.lt/cgi-bin/preps2?a=478702&amp;b="/>
  <Relationship Id="rId154" Type="http://schemas.openxmlformats.org/officeDocument/2006/relationships/hyperlink" TargetMode="External" Target="http://www3.lrs.lt/cgi-bin/preps2?a=340369&amp;b="/>
  <Relationship Id="rId155" Type="http://schemas.openxmlformats.org/officeDocument/2006/relationships/hyperlink" TargetMode="External" Target="http://www3.lrs.lt/cgi-bin/preps2?a=359889&amp;b="/>
  <Relationship Id="rId156" Type="http://schemas.openxmlformats.org/officeDocument/2006/relationships/hyperlink" TargetMode="External" Target="http://www3.lrs.lt/cgi-bin/preps2?a=361206&amp;b="/>
  <Relationship Id="rId157" Type="http://schemas.openxmlformats.org/officeDocument/2006/relationships/hyperlink" TargetMode="External" Target="http://www3.lrs.lt/cgi-bin/preps2?a=386459&amp;b="/>
  <Relationship Id="rId158" Type="http://schemas.openxmlformats.org/officeDocument/2006/relationships/hyperlink" TargetMode="External" Target="http://www3.lrs.lt/cgi-bin/preps2?a=396597&amp;b="/>
  <Relationship Id="rId159" Type="http://schemas.openxmlformats.org/officeDocument/2006/relationships/hyperlink" TargetMode="External" Target="http://www3.lrs.lt/cgi-bin/preps2?a=412373&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415118&amp;b="/>
  <Relationship Id="rId161" Type="http://schemas.openxmlformats.org/officeDocument/2006/relationships/hyperlink" TargetMode="External" Target="http://www3.lrs.lt/cgi-bin/preps2?a=464957&amp;b="/>
  <Relationship Id="rId162" Type="http://schemas.openxmlformats.org/officeDocument/2006/relationships/hyperlink" TargetMode="External" Target="http://www3.lrs.lt/cgi-bin/preps2?a=478691&amp;b="/>
  <Relationship Id="rId163" Type="http://schemas.openxmlformats.org/officeDocument/2006/relationships/hyperlink" TargetMode="External" Target="http://www3.lrs.lt/cgi-bin/preps2?a=412373&amp;b="/>
  <Relationship Id="rId164" Type="http://schemas.openxmlformats.org/officeDocument/2006/relationships/hyperlink" TargetMode="External" Target="http://www3.lrs.lt/cgi-bin/preps2?a=274804&amp;b="/>
  <Relationship Id="rId165" Type="http://schemas.openxmlformats.org/officeDocument/2006/relationships/hyperlink" TargetMode="External" Target="http://www3.lrs.lt/cgi-bin/preps2?a=478702&amp;b="/>
  <Relationship Id="rId166"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478691&amp;b="/>
  <Relationship Id="rId97" Type="http://schemas.openxmlformats.org/officeDocument/2006/relationships/hyperlink" TargetMode="External" Target="http://www3.lrs.lt/cgi-bin/preps2?a=230454&amp;b="/>
  <Relationship Id="rId98" Type="http://schemas.openxmlformats.org/officeDocument/2006/relationships/hyperlink" TargetMode="External" Target="http://www3.lrs.lt/cgi-bin/preps2?a=361206&amp;b="/>
  <Relationship Id="rId99" Type="http://schemas.openxmlformats.org/officeDocument/2006/relationships/hyperlink" TargetMode="External" Target="http://www3.lrs.lt/cgi-bin/preps2?a=412373&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725fef77b6914b63b78fc1125c7bbc39"/>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b9418e40a9884e40a2c4d10585bd847a">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5a2d6bc977154141a586b2be9c690f19"/>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697600893ce943b1b3b73837ce516d26"/>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c4c9a1fd929247d2b57859d577dc1857"/>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f78d28b916054bcf94c7384f42a8fc12">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71cb0639615e46adbb3cbfd72ece5901"/>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11 str. 1 d. 21 p." DocPartId="113609dcd30c45258932552da0ad6eb9" PartId="4a3a6d725f314b89a2436bc897a6d691"/>
        </Part>
        <Part Type="strDalis" Nr="2" Abbr="11 str. 2 d." DocPartId="ce46ff2e0da8488fa9ad9ee980162da0" PartId="d9ec73e42d5f4e78bc16cdc9379b35fc"/>
        <Part Type="strDalis" Nr="3" Abbr="11 str. 3 d." DocPartId="0e1d160fe5ce4809b24a163cc9468531" PartId="26998c74641740f3b76b5a87bda5f9d8"/>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8defedf30d5747b6a109b496a1078ed7">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8b2c637aad5844a497beb48242f62919">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9c94d12530c4436e990b437081bd774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f3fc325c6a784748a573b393b052fac9"/>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a56f001d1a1b4c989c511fe5770e56df">
        <Part Type="strDalis" Nr="1" Abbr="42 str. 1 d." DocPartId="fd42d9aa8c0f4e2ca0647e7eb9dc0a43" PartId="2f867dcc9a0943ed9263f95c94c3692f"/>
        <Part Type="strDalis" Nr="2" Abbr="42 str. 2 d." DocPartId="025a96da38d8423399ff3684a0ad860c" PartId="222f459abe6a47018ca4765b46e4961c">
          <Part Type="strPunktas" Nr="1" Abbr="42 str. 2 d. 1 p." DocPartId="4bb01fcb39504f36acf09a731eb0ec6b" PartId="6ad3f2b4e5dd4997b1d82db51d1d2ec9"/>
          <Part Type="strPunktas" Nr="2" Abbr="42 str. 2 d. 2 p." DocPartId="1dd1f827253e421599b6934570bc1c43" PartId="eba793c2980f4b7ab08e1b91d09470e5"/>
          <Part Type="strPunktas" Nr="3" Abbr="42 str. 2 d. 3 p." DocPartId="7faaac04d72a446fa30a4214d2bd2ed9" PartId="5562d087550a4831a4e554e300e35e41"/>
          <Part Type="strPunktas" Nr="4" Abbr="42 str. 2 d. 4 p." DocPartId="624300f289184404933da686057a24d3" PartId="534c09eed3bc4658947279ffdea278e9"/>
          <Part Type="strPunktas" Nr="5" Abbr="42 str. 2 d. 5 p." DocPartId="9848b933d13a4754b3ec96f375ff6e96" PartId="21798314417b43e6acd91606eebb2d0d"/>
          <Part Type="strPunktas" Nr="6" Abbr="42 str. 2 d. 6 p." DocPartId="9d6c4f5668bc424694deb7acdaa2e5b9" PartId="e13ce716baec48ad8ecdaf4019c12074"/>
          <Part Type="strPunktas" Nr="7" Abbr="42 str. 2 d. 7 p." DocPartId="99ae3e5059f64145b7e6485f470e6825" PartId="710d6e173a1b42cfb485646ee835031e"/>
          <Part Type="strPunktas" Nr="8" Abbr="42 str. 2 d. 8 p." DocPartId="1b8f3520292c46b5bd00b0b468b2e02e" PartId="983d04183f054ae690ca98a3a44dd382"/>
          <Part Type="strPunktas" Nr="9" Abbr="42 str. 2 d. 9 p." DocPartId="49de1140bf4f405ea69d4e87f9b6d585" PartId="beb3881955284336aef9ae6af7e79103"/>
          <Part Type="strPunktas" Nr="10" Abbr="10 p." DocPartId="f670176badfe41a099c88ec459bfcc58" PartId="2716c21aa2724a94af0cdc21558f20b0"/>
          <Part Type="strPunktas" Nr="11" Abbr="11 p." DocPartId="2707f7c4b4ef4ceb80c671f3060fb996" PartId="3dcb7306251f473aa40187257b5556ac"/>
        </Part>
        <Part Type="strDalis" Nr="2-1" Abbr="2-1 d." DocPartId="c2397de40f824cd492ac5313db081957" PartId="2af65cd3a38d49dcb45e3e9ed6cf1449"/>
        <Part Type="strDalis" Nr="3" Abbr="3 d." DocPartId="4fbca3db443048cb84e0a0a55b0587fb" PartId="eb67969674f9435b8b44f3a3048027bc">
          <Part Type="strPunktas" Nr="1" Abbr="3 d. 1 p." DocPartId="f6f1841a72554aef8cc6490670e47b17" PartId="2277b48d00804ab5ba4cbb3477bde428"/>
          <Part Type="strPunktas" Nr="2" Abbr="3 d. 2 p." DocPartId="63781156693c47919d080623cbb8f155" PartId="f7baded11b034180b8a319ffdcf9acbf"/>
          <Part Type="strPunktas" Nr="3" Abbr="3 d. 3 p." DocPartId="942d7059138c4c669f5445a3adde3eae" PartId="cb6f3a95642e40d4884d69870e630d9f"/>
          <Part Type="strPunktas" Nr="4" Abbr="3 d. 4 p." DocPartId="fd8dd183ff1542acaf12b5ccecc9b604" PartId="9a5b44423ccc47ad96f1ee2661c11812"/>
          <Part Type="strPunktas" Nr="5" Abbr="3 d. 5 p." DocPartId="5c6066af40a8480d93f9e4addeffae90" PartId="e8b7b3ea98684122a56365ef69ef14d2"/>
        </Part>
        <Part Type="strDalis" Nr="4" Abbr="4 d." DocPartId="26059cb5abbd46ea88c0027a6aecc78c" PartId="93ae26d7a4ea48c7992566d4d42a9827">
          <Part Type="strPunktas" Nr="1" Abbr="4 d. 1 p." DocPartId="e0f88cd6e23e4daa90228857b879844b" PartId="8a4948183c3d442c8ba26ef314a1b1ac"/>
          <Part Type="strPunktas" Nr="2" Abbr="4 d. 2 p." DocPartId="62c924af22cf4ec79e57b8e711bfc703" PartId="8df56807af464b9e95b1fce92b39bd10"/>
          <Part Type="strPunktas" Nr="3" Abbr="4 d. 3 p." DocPartId="7454db87dd1b4490821750edbc0d849e" PartId="1b0b6d0566c544f1bb7a05ecd33b31a8"/>
          <Part Type="strPunktas" Nr="4" Abbr="4 d. 4 p." DocPartId="54c1c28110324b5a972f75ca4af987b0" PartId="e8b0f69785324ca8a66d6a76ac963c34"/>
        </Part>
        <Part Type="strDalis" Nr="5" Abbr="42 str. 5 d." DocPartId="f736854da60e46c99bee053776791d5c" PartId="2fb9be5aff544eabb886946e024a0c2f"/>
        <Part Type="strDalis" Nr="6" Abbr="42 str. 6 d." DocPartId="ba06b451cc3f4d689976fe5aa314a80e" PartId="8f5b88349cc142719daf2ec775e7c518"/>
      </Part>
      <Part Type="straipsnis" Nr="43" Abbr="43 str." Title="Finansų rinkos priežiūros tikslais gautos informacijos apsauga" DocPartId="2651da12d2fa46a494bc63ae9e2acfc3" PartId="da56f831353b49e98b7bf8d117842b53">
        <Part Type="strDalis" Nr="1" Abbr="43 str. 1 d." DocPartId="1380a8236fc1498284cc5e59531bfc71" PartId="03f7ac2f851240ffb030005884f95e21"/>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1bec0bada7e14aa1a9dde4c517476212">
        <Part Type="strDalis" Nr="1" Abbr="47 str. 1 d." DocPartId="776d61fd0e93483a9afd2b6c3e2117e2" PartId="d01eb94ff7164f2ab385738f25043f55"/>
        <Part Type="strDalis" Nr="2" Abbr="47 str. 2 d." DocPartId="9ed9844713644405826e7bc155428b1d" PartId="5dc3c93ad64c4165b694964e0b8e36f8">
          <Part Type="strPunktas" Nr="1" Abbr="47 str. 2 d. 1 p." DocPartId="11d80f037e8a4fe0a92c1e06d20c1f8c" PartId="1810c18f4c164afa93c3565ca331c452"/>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f26394f1573b4b348fb8b8ea937813f7"/>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0e991688cde1421daeca5185694c3a27">
        <Part Type="strDalis" Nr="1" Abbr="47-4 str. 1 d." DocPartId="b9d9d00571934e339102cf016f17dcc6" PartId="38dcfda887ab4f12be854e82e1043201"/>
        <Part Type="strDalis" Nr="2" Abbr="47-4 str. 2 d." DocPartId="7baef34b6e7847d1944090beabf34b92" PartId="17bd0d3b60774866b247e0ff0b44fe4f"/>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3673e74de64f4655a84854132d8dede3">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4277c607d7154382b82831060b6e52a6">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4ef9404cda284b0897986b801ab726c3"/>
  </Part>
  <Part Type="priedas" Nr="1" Abbr="1 pr." Title="„FINANSŲ RINKOS DALYVIAI, MOKANTYS ĮMOKAS FINANSŲ RINKOS PRIEŽIŪROS IŠLAIDOMS PADENGTI, ĮMOKŲ BAZĖ IR MAKSIMALŪS ĮMOKŲ DYDŽIAI“." DocPartId="c56041ea0abf49418dabd7e46abefa88" PartId="5f0e9aca937848dd83b3ba9209501006"/>
  <Part Type="priedas" Nr="2" Abbr="2 pr." Title="FINANSŲ RINKOS DALYVIAI, MOKANTYS ĮMOKAS FINANSŲ SEKTORIAUS SUBJEKTŲ PERTVARKYMO INSTITUCIJOS IŠLAIDOMS PADENGTI, ĮMOKŲ BAZĖ IR MAKSIMALŪS ĮMOKŲ DYDŽIAI" DocPartId="bd114910dc7a4a569fe329090b2230cd" PartId="92119501020d4a8e8d5fdfd8e1c2bbe5"/>
  <Part Type="priedas" Nr="3" Abbr="3 pr." Title="ĮGYVENDINAMI EUROPOS SĄJUNGOS TEISĖS AKTAI" DocPartId="ad910aac343e4fd79e5b0dcd83308be3" PartId="c45a8053ed2c455cb86d8025046d7afc">
    <Part Type="punktas" Nr="1" Abbr="3 pr. 1 p." DocPartId="d1a37712e27e4146a9edad4798edc99a" PartId="9392a88c6a564eb6a1d27150849c37f7"/>
    <Part Type="punktas" Nr="2" Abbr="3 pr. 2 p." DocPartId="c59f9c1f9e34479fa125c6c47c07411e" PartId="6ef40e06f6f342498ef9571918bea7a6"/>
    <Part Type="punktas" Nr="3" Abbr="3 pr. 3 p." DocPartId="b1ef4c0a9a814bc0bd958edd31a61c51" PartId="7b28963640a04e48984fe9db3c32e15d"/>
    <Part Type="punktas" Nr="4" Abbr="3 pr. 4 p." DocPartId="f8bd08d2c5f84b24b89e08ff4af31de1" PartId="1bd45c0ff62a4d7f8ea9e508a0b3205e"/>
    <Part Type="punktas" Nr="5" Abbr="3 pr. 5 p." DocPartId="6ead4eac3a674e0f801afc02394c3dbd" PartId="9009c7b2bdf64b86b01bb2aa21dd1412"/>
    <Part Type="punktas" Nr="6" Abbr="3 pr. 6 p." DocPartId="61cf7fef8798472cb3c764c134d08a50" PartId="c486f41b512f459190934e503116ae68"/>
    <Part Type="punktas" Nr="7" Abbr="3 pr. 7 p." DocPartId="9872f701fe254852bb816e49048e8b25" PartId="3790cc695bb441ef9d19db20321710b8"/>
    <Part Type="punktas" Nr="8" Abbr="3 pr. 8 p." DocPartId="37b03bb5169d486e99bb600393434f93" PartId="f49ae22a00e842049f66ebf7a0953dc1"/>
    <Part Type="punktas" Nr="9" Abbr="3 pr. 9 p." DocPartId="19adb30fd8ca4018972db386c90a7845" PartId="bc150edcf79a4ac7bfc6ebd61e1cfb77"/>
    <Part Type="punktas" Nr="10" Abbr="3 pr. 10 p." DocPartId="f18b89e9a4e94619b67696b49a2b3387" PartId="6eb77abcc4814c1cb2fdfc79153f7cb4"/>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C2154DC-1CF1-44CF-B7D5-504A26BB8E7D}">
  <ds:schemaRefs>
    <ds:schemaRef ds:uri="http://lrs.lt/TAIS/DocParts"/>
  </ds:schemaRefs>
</ds:datastoreItem>
</file>

<file path=customXml/itemProps3.xml><?xml version="1.0" encoding="utf-8"?>
<ds:datastoreItem xmlns:ds="http://schemas.openxmlformats.org/officeDocument/2006/customXml" ds:itemID="{8783E5E0-33FE-4E68-AD2F-5A7677CB7DD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77</TotalTime>
  <Pages>25</Pages>
  <Words>61121</Words>
  <Characters>34839</Characters>
  <Application>Microsoft Office Word</Application>
  <DocSecurity>0</DocSecurity>
  <Lines>290</Lines>
  <Paragraphs>191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95769</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2016-11-16T17:43:00Z</dcterms:modified>
  <revision>17</revision>
  <dc:title>Neoficialus ?statymo tekstas</dc:title>
</coreProperties>
</file>