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2017-07-01 iki 2017-07-14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2"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5"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6"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8"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3f8b96fe58ae41379e010ab7c8d72406"/>
                <w:lock w:val="sdtLocked"/>
                <w:richText/>
              </w:sdtPr>
              <w:sdtContent>
                <w:p>
                  <w:pPr>
                    <w:ind w:firstLine="720"/>
                    <w:jc w:val="both"/>
                    <w:rPr>
                      <w:b/>
                      <w:bCs/>
                      <w:sz w:val="22"/>
                    </w:rPr>
                  </w:pPr>
                  <w:sdt>
                    <w:sdtPr>
                      <w:alias w:val="Numeris"/>
                      <w:tag w:val="nr_3f8b96fe58ae41379e010ab7c8d72406"/>
                      <w:lock w:val="sdtLocked"/>
                      <w:richText/>
                    </w:sdtPr>
                    <w:sdtContent>
                      <w:r>
                        <w:rPr>
                          <w:b/>
                          <w:bCs/>
                          <w:sz w:val="22"/>
                        </w:rPr>
                        <w:t>6</w:t>
                      </w:r>
                    </w:sdtContent>
                  </w:sdt>
                  <w:r>
                    <w:rPr>
                      <w:b/>
                      <w:bCs/>
                      <w:sz w:val="22"/>
                    </w:rPr>
                    <w:t xml:space="preserve"> straipsnis. </w:t>
                  </w:r>
                  <w:sdt>
                    <w:sdtPr>
                      <w:alias w:val="Pavadinimas"/>
                      <w:tag w:val="title_3f8b96fe58ae41379e010ab7c8d72406"/>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1"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6"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1"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471393e0a19e411db8bfc9f23c9070d3"/>
                <w:lock w:val="sdtLocked"/>
                <w:richText/>
              </w:sdtPr>
              <w:sdtContent>
                <w:p>
                  <w:pPr>
                    <w:ind w:firstLine="720"/>
                    <w:jc w:val="both"/>
                    <w:rPr>
                      <w:b/>
                      <w:sz w:val="22"/>
                    </w:rPr>
                  </w:pPr>
                  <w:sdt>
                    <w:sdtPr>
                      <w:alias w:val="Numeris"/>
                      <w:tag w:val="nr_471393e0a19e411db8bfc9f23c9070d3"/>
                      <w:lock w:val="sdtLocked"/>
                      <w:richText/>
                    </w:sdtPr>
                    <w:sdtContent>
                      <w:r>
                        <w:rPr>
                          <w:b/>
                          <w:sz w:val="22"/>
                        </w:rPr>
                        <w:t>11</w:t>
                      </w:r>
                    </w:sdtContent>
                  </w:sdt>
                  <w:r>
                    <w:rPr>
                      <w:b/>
                      <w:sz w:val="22"/>
                    </w:rPr>
                    <w:t xml:space="preserve"> straipsnis. </w:t>
                  </w:r>
                  <w:sdt>
                    <w:sdtPr>
                      <w:alias w:val="Pavadinimas"/>
                      <w:tag w:val="title_471393e0a19e411db8bfc9f23c9070d3"/>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0"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5"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4"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6"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7"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a7b76f5e89a7408e9d185e7b54933397"/>
                <w:lock w:val="sdtLocked"/>
                <w:richText/>
              </w:sdtPr>
              <w:sdtContent>
                <w:p>
                  <w:pPr>
                    <w:ind w:firstLine="720"/>
                    <w:jc w:val="both"/>
                    <w:rPr>
                      <w:sz w:val="22"/>
                    </w:rPr>
                  </w:pPr>
                  <w:sdt>
                    <w:sdtPr>
                      <w:alias w:val="Numeris"/>
                      <w:tag w:val="nr_a7b76f5e89a7408e9d185e7b54933397"/>
                      <w:lock w:val="sdtLocked"/>
                      <w:richText/>
                    </w:sdtPr>
                    <w:sdtContent>
                      <w:r>
                        <w:rPr>
                          <w:b/>
                          <w:sz w:val="22"/>
                        </w:rPr>
                        <w:t>19</w:t>
                      </w:r>
                    </w:sdtContent>
                  </w:sdt>
                  <w:r>
                    <w:rPr>
                      <w:b/>
                      <w:sz w:val="22"/>
                    </w:rPr>
                    <w:t xml:space="preserve"> straipsnis. </w:t>
                  </w:r>
                  <w:sdt>
                    <w:sdtPr>
                      <w:alias w:val="Pavadinimas"/>
                      <w:tag w:val="title_a7b76f5e89a7408e9d185e7b54933397"/>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5833f7e05ca34afdac3b4e668d5c609c"/>
                <w:lock w:val="sdtLocked"/>
                <w:richText/>
              </w:sdtPr>
              <w:sdtContent>
                <w:p>
                  <w:pPr>
                    <w:ind w:firstLine="720"/>
                    <w:jc w:val="both"/>
                    <w:rPr>
                      <w:b/>
                      <w:sz w:val="22"/>
                    </w:rPr>
                  </w:pPr>
                  <w:sdt>
                    <w:sdtPr>
                      <w:alias w:val="Numeris"/>
                      <w:tag w:val="nr_5833f7e05ca34afdac3b4e668d5c609c"/>
                      <w:lock w:val="sdtLocked"/>
                      <w:richText/>
                    </w:sdtPr>
                    <w:sdtContent>
                      <w:r>
                        <w:rPr>
                          <w:b/>
                          <w:sz w:val="22"/>
                        </w:rPr>
                        <w:t>20</w:t>
                      </w:r>
                    </w:sdtContent>
                  </w:sdt>
                  <w:r>
                    <w:rPr>
                      <w:b/>
                      <w:sz w:val="22"/>
                    </w:rPr>
                    <w:t xml:space="preserve"> straipsnis. </w:t>
                  </w:r>
                  <w:sdt>
                    <w:sdtPr>
                      <w:alias w:val="Pavadinimas"/>
                      <w:tag w:val="title_5833f7e05ca34afdac3b4e668d5c609c"/>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1"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2"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3"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3"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ef357932668241e5bb99e584a0f5e0d2"/>
                    <w:lock w:val="sdtLocked"/>
                    <w:richText/>
                  </w:sdtPr>
                  <w:sdtContent>
                    <w:p>
                      <w:pPr>
                        <w:ind w:firstLine="720"/>
                        <w:jc w:val="both"/>
                        <w:rPr>
                          <w:b/>
                          <w:bCs/>
                          <w:i/>
                          <w:sz w:val="20"/>
                        </w:rPr>
                      </w:pPr>
                      <w:sdt>
                        <w:sdtPr>
                          <w:alias w:val="Numeris"/>
                          <w:tag w:val="nr_ef357932668241e5bb99e584a0f5e0d2"/>
                          <w:lock w:val="sdtLocked"/>
                          <w:richText/>
                        </w:sdtPr>
                        <w:sdtContent>
                          <w:r>
                            <w:rPr>
                              <w:sz w:val="22"/>
                              <w:szCs w:val="22"/>
                            </w:rPr>
                            <w:t>1</w:t>
                          </w:r>
                        </w:sdtContent>
                      </w:sdt>
                      <w:r>
                        <w:rPr>
                          <w:sz w:val="22"/>
                          <w:szCs w:val="22"/>
                        </w:rPr>
                        <w:t xml:space="preserve">. </w:t>
                      </w:r>
                      <w:r>
                        <w:rPr>
                          <w:color w:val="000000"/>
                          <w:sz w:val="22"/>
                          <w:szCs w:val="22"/>
                        </w:rPr>
                        <w:t>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kredito davėjai, tarpusavio skolinimo platformos operatoriai ir kredito tarpininkai, kredito davėjai, tarpusavio skolinimo platformos operatoriai ir kredito tarpininkai,</w:t>
                      </w:r>
                      <w:r>
                        <w:rPr>
                          <w:sz w:val="22"/>
                          <w:szCs w:val="22"/>
                        </w:rPr>
                        <w:t xml:space="preserve"> </w:t>
                      </w:r>
                      <w:r>
                        <w:rPr>
                          <w:color w:val="000000"/>
                          <w:sz w:val="22"/>
                          <w:szCs w:val="22"/>
                        </w:rPr>
                        <w:t>sutelktinio finansavimo platformų operatoriai, mokėjimo ir vertybinių popierių atsiskaitymo sistemų operatoriai ir valiutos keityklų operatoriai.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2716c21aa2724a94af0cdc21558f20b0"/>
                        <w:lock w:val="sdtLocked"/>
                        <w:richText/>
                      </w:sdtPr>
                      <w:sdtContent>
                        <w:p>
                          <w:pPr>
                            <w:tabs>
                              <w:tab w:val="left" w:pos="720"/>
                            </w:tabs>
                            <w:ind w:right="6" w:firstLine="720"/>
                            <w:jc w:val="both"/>
                          </w:pPr>
                          <w:sdt>
                            <w:sdtPr>
                              <w:alias w:val="Numeris"/>
                              <w:tag w:val="nr_2716c21aa2724a94af0cdc21558f20b0"/>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11 p."/>
                        <w:tag w:val="part_85003369725d4508aa95d7e5e7f06b5a"/>
                        <w:lock w:val="sdtLocked"/>
                        <w:richText/>
                      </w:sdtPr>
                      <w:sdtContent>
                        <w:p>
                          <w:pPr>
                            <w:ind w:firstLine="720"/>
                            <w:jc w:val="both"/>
                          </w:pPr>
                          <w:sdt>
                            <w:sdtPr>
                              <w:alias w:val="Numeris"/>
                              <w:tag w:val="nr_85003369725d4508aa95d7e5e7f06b5a"/>
                              <w:lock w:val="sdtLocked"/>
                              <w:richText/>
                            </w:sdtPr>
                            <w:sdtContent>
                              <w:r>
                                <w:rPr>
                                  <w:sz w:val="22"/>
                                  <w:szCs w:val="22"/>
                                </w:rPr>
                                <w:t>11</w:t>
                              </w:r>
                            </w:sdtContent>
                          </w:sdt>
                          <w:r>
                            <w:rPr>
                              <w:sz w:val="22"/>
                              <w:szCs w:val="22"/>
                            </w:rPr>
                            <w:t xml:space="preserve">) </w:t>
                          </w:r>
                          <w:r>
                            <w:rPr>
                              <w:sz w:val="22"/>
                              <w:szCs w:val="22"/>
                              <w:lang w:eastAsia="lt-LT"/>
                            </w:rPr>
                            <w:t>atlieka sutelktinio finansavimo platformos operatorių priežiūrą ir kitas Lietuvos Respublikos sutelktinio finansavimo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
                      <w:sdtPr>
                        <w:alias w:val="12 p."/>
                        <w:tag w:val="part_4b35d472007e4253b302d05a13f6e291"/>
                        <w:lock w:val="sdtLocked"/>
                        <w:richText/>
                      </w:sdtPr>
                      <w:sdtContent>
                        <w:p>
                          <w:pPr>
                            <w:ind w:firstLine="720"/>
                            <w:jc w:val="both"/>
                            <w:rPr>
                              <w:bCs/>
                              <w:sz w:val="22"/>
                              <w:szCs w:val="22"/>
                            </w:rPr>
                          </w:pPr>
                          <w:sdt>
                            <w:sdtPr>
                              <w:alias w:val="Numeris"/>
                              <w:tag w:val="nr_4b35d472007e4253b302d05a13f6e291"/>
                              <w:lock w:val="sdtLocked"/>
                              <w:richText/>
                            </w:sdtPr>
                            <w:sdtContent>
                              <w:r>
                                <w:rPr>
                                  <w:sz w:val="22"/>
                                  <w:szCs w:val="22"/>
                                </w:rPr>
                                <w:t>12</w:t>
                              </w:r>
                            </w:sdtContent>
                          </w:sdt>
                          <w:r>
                            <w:rPr>
                              <w:sz w:val="22"/>
                              <w:szCs w:val="22"/>
                            </w:rPr>
                            <w:t>) atlieka kredito davėjų, tarpusavio skolinimo platformos operatorių ir kredito tarpininkų priežiūrą ir kitas Lietuvos Respublikos su nekilnojamuoju turtu susijusio kredito įstatymu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8"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1"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6"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9"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0"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1"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f387522bd51445d08fada7b3ab91f7f7"/>
                <w:lock w:val="sdtLocked"/>
                <w:richText/>
              </w:sdtPr>
              <w:sdtContent>
                <w:sdt>
                  <w:sdtPr>
                    <w:alias w:val="Pavadinimas"/>
                    <w:tag w:val="title_f387522bd51445d08fada7b3ab91f7f7"/>
                    <w:lock w:val="sdtLocked"/>
                    <w:richText/>
                  </w:sdtPr>
                  <w:sdtContent>
                    <w:p>
                      <w:pPr>
                        <w:ind w:left="2520" w:hanging="1800"/>
                        <w:jc w:val="both"/>
                        <w:rPr>
                          <w:b/>
                          <w:sz w:val="22"/>
                        </w:rPr>
                      </w:pPr>
                      <w:sdt>
                        <w:sdtPr>
                          <w:alias w:val="Numeris"/>
                          <w:tag w:val="nr_f387522bd51445d08fada7b3ab91f7f7"/>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1"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5"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8"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86277d0e528948db812604393bfcefd3"/>
        <w:lock w:val="sdtLocked"/>
        <w:richText/>
      </w:sdtPr>
      <w:sdtContent>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Lietuvos banko įstatymo</w:t>
          </w:r>
        </w:p>
        <w:p>
          <w:pPr>
            <w:ind w:firstLine="6480"/>
            <w:jc w:val="both"/>
            <w:rPr>
              <w:bCs/>
              <w:strike/>
              <w:sz w:val="22"/>
              <w:szCs w:val="22"/>
            </w:rPr>
          </w:pPr>
          <w:sdt>
            <w:sdtPr>
              <w:alias w:val="Numeris"/>
              <w:tag w:val="nr_86277d0e528948db812604393bfcefd3"/>
              <w:lock w:val="sdtLocked"/>
              <w:richText/>
            </w:sdtPr>
            <w:sdtContent>
              <w:r>
                <w:rPr>
                  <w:bCs/>
                  <w:sz w:val="22"/>
                  <w:szCs w:val="22"/>
                </w:rPr>
                <w:t>1</w:t>
              </w:r>
            </w:sdtContent>
          </w:sdt>
          <w:r>
            <w:rPr>
              <w:bCs/>
              <w:sz w:val="22"/>
              <w:szCs w:val="22"/>
            </w:rPr>
            <w:t xml:space="preserve"> priedas</w:t>
          </w:r>
        </w:p>
        <w:p>
          <w:pPr>
            <w:ind w:left="284"/>
            <w:rPr>
              <w:b/>
              <w:bCs/>
              <w:sz w:val="22"/>
              <w:szCs w:val="22"/>
            </w:rPr>
          </w:pPr>
        </w:p>
        <w:p>
          <w:pPr>
            <w:rPr>
              <w:sz w:val="22"/>
              <w:szCs w:val="22"/>
            </w:rPr>
          </w:pPr>
        </w:p>
        <w:p>
          <w:pPr>
            <w:jc w:val="center"/>
            <w:rPr>
              <w:b/>
              <w:bCs/>
              <w:sz w:val="22"/>
              <w:szCs w:val="22"/>
            </w:rPr>
          </w:pPr>
          <w:sdt>
            <w:sdtPr>
              <w:alias w:val="Pavadinimas"/>
              <w:tag w:val="title_86277d0e528948db812604393bfcefd3"/>
              <w:lock w:val="sdtLocked"/>
              <w:richText/>
            </w:sdtPr>
            <w:sdtContent>
              <w:r>
                <w:rPr>
                  <w:b/>
                  <w:bCs/>
                  <w:sz w:val="22"/>
                  <w:szCs w:val="22"/>
                </w:rPr>
                <w:t>FINANSŲ RINKOS DALYVIAI, MOKANTYS ĮMOKAS FINANSŲ RINKOS PRIEŽIŪROS IŠLAIDOMS PADENGTI, ĮMOKŲ BAZĖ IR MAKSIMALŪS ĮMOKŲ DYDŽIAI</w:t>
              </w:r>
            </w:sdtContent>
          </w:sdt>
        </w:p>
        <w:p>
          <w:pPr>
            <w:ind w:firstLine="902"/>
            <w:rPr>
              <w:bCs/>
              <w:sz w:val="22"/>
              <w:szCs w:val="22"/>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563"/>
            <w:gridCol w:w="2268"/>
            <w:gridCol w:w="1985"/>
          </w:tblGrid>
          <w:tr>
            <w:tc>
              <w:tcPr>
                <w:tcW w:w="648" w:type="dxa"/>
                <w:hideMark/>
              </w:tcPr>
              <w:p>
                <w:pPr>
                  <w:ind w:left="72"/>
                  <w:jc w:val="center"/>
                  <w:rPr>
                    <w:sz w:val="22"/>
                    <w:szCs w:val="22"/>
                  </w:rPr>
                </w:pPr>
                <w:r>
                  <w:rPr>
                    <w:sz w:val="22"/>
                    <w:szCs w:val="22"/>
                  </w:rPr>
                  <w:t>Eil. Nr.</w:t>
                </w:r>
              </w:p>
            </w:tc>
            <w:tc>
              <w:tcPr>
                <w:tcW w:w="4563" w:type="dxa"/>
                <w:vAlign w:val="center"/>
                <w:hideMark/>
              </w:tcPr>
              <w:p>
                <w:pPr>
                  <w:jc w:val="center"/>
                  <w:rPr>
                    <w:sz w:val="22"/>
                    <w:szCs w:val="22"/>
                  </w:rPr>
                </w:pPr>
                <w:r>
                  <w:rPr>
                    <w:sz w:val="22"/>
                    <w:szCs w:val="22"/>
                  </w:rPr>
                  <w:t>Rinkos dalyviai</w:t>
                </w:r>
              </w:p>
            </w:tc>
            <w:tc>
              <w:tcPr>
                <w:tcW w:w="2268" w:type="dxa"/>
                <w:vAlign w:val="center"/>
                <w:hideMark/>
              </w:tcPr>
              <w:p>
                <w:pPr>
                  <w:jc w:val="center"/>
                  <w:rPr>
                    <w:sz w:val="22"/>
                    <w:szCs w:val="22"/>
                  </w:rPr>
                </w:pPr>
                <w:r>
                  <w:rPr>
                    <w:sz w:val="22"/>
                    <w:szCs w:val="22"/>
                  </w:rPr>
                  <w:t>Įmokų bazė</w:t>
                </w:r>
              </w:p>
            </w:tc>
            <w:tc>
              <w:tcPr>
                <w:tcW w:w="1985" w:type="dxa"/>
                <w:vAlign w:val="center"/>
                <w:hideMark/>
              </w:tcPr>
              <w:p>
                <w:pPr>
                  <w:jc w:val="center"/>
                  <w:rPr>
                    <w:sz w:val="22"/>
                    <w:szCs w:val="22"/>
                  </w:rPr>
                </w:pPr>
                <w:r>
                  <w:rPr>
                    <w:sz w:val="22"/>
                    <w:szCs w:val="22"/>
                  </w:rPr>
                  <w:t>Maksimalus įmokų dydis</w:t>
                </w:r>
              </w:p>
            </w:tc>
          </w:tr>
          <w:tr>
            <w:tc>
              <w:tcPr>
                <w:tcW w:w="648" w:type="dxa"/>
                <w:hideMark/>
              </w:tcPr>
              <w:p>
                <w:pPr>
                  <w:ind w:left="72"/>
                  <w:jc w:val="center"/>
                  <w:rPr>
                    <w:sz w:val="22"/>
                    <w:szCs w:val="22"/>
                  </w:rPr>
                </w:pPr>
                <w:r>
                  <w:rPr>
                    <w:sz w:val="22"/>
                    <w:szCs w:val="22"/>
                  </w:rPr>
                  <w:t>1.</w:t>
                </w:r>
              </w:p>
            </w:tc>
            <w:tc>
              <w:tcPr>
                <w:tcW w:w="4563" w:type="dxa"/>
                <w:hideMark/>
              </w:tcPr>
              <w:p>
                <w:pPr>
                  <w:jc w:val="both"/>
                  <w:rPr>
                    <w:sz w:val="22"/>
                    <w:szCs w:val="22"/>
                  </w:rPr>
                </w:pPr>
                <w:r>
                  <w:rPr>
                    <w:sz w:val="22"/>
                    <w:szCs w:val="22"/>
                  </w:rPr>
                  <w:t>Kredito įstaigos; kitose negu 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0,017 proc.</w:t>
                </w:r>
              </w:p>
            </w:tc>
          </w:tr>
          <w:tr>
            <w:tc>
              <w:tcPr>
                <w:tcW w:w="648" w:type="dxa"/>
                <w:hideMark/>
              </w:tcPr>
              <w:p>
                <w:pPr>
                  <w:ind w:left="72"/>
                  <w:jc w:val="center"/>
                  <w:rPr>
                    <w:sz w:val="22"/>
                    <w:szCs w:val="22"/>
                  </w:rPr>
                </w:pPr>
                <w:r>
                  <w:rPr>
                    <w:sz w:val="22"/>
                    <w:szCs w:val="22"/>
                  </w:rPr>
                  <w:t>2.</w:t>
                </w:r>
              </w:p>
            </w:tc>
            <w:tc>
              <w:tcPr>
                <w:tcW w:w="4563" w:type="dxa"/>
                <w:hideMark/>
              </w:tcPr>
              <w:p>
                <w:pPr>
                  <w:jc w:val="both"/>
                  <w:rPr>
                    <w:sz w:val="22"/>
                    <w:szCs w:val="22"/>
                  </w:rPr>
                </w:pPr>
                <w:r>
                  <w:rPr>
                    <w:sz w:val="22"/>
                    <w:szCs w:val="22"/>
                  </w:rPr>
                  <w:t>Europos ekonominės erdvės valstybėse licencijuotų užsienio bankų filialai, įsteigti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0,0057 proc.</w:t>
                </w:r>
              </w:p>
            </w:tc>
          </w:tr>
          <w:tr>
            <w:tc>
              <w:tcPr>
                <w:tcW w:w="648" w:type="dxa"/>
                <w:hideMark/>
              </w:tcPr>
              <w:p>
                <w:pPr>
                  <w:ind w:left="72"/>
                  <w:jc w:val="center"/>
                  <w:rPr>
                    <w:sz w:val="22"/>
                    <w:szCs w:val="22"/>
                  </w:rPr>
                </w:pPr>
                <w:r>
                  <w:rPr>
                    <w:sz w:val="22"/>
                    <w:szCs w:val="22"/>
                  </w:rPr>
                  <w:t>3.</w:t>
                </w:r>
              </w:p>
            </w:tc>
            <w:tc>
              <w:tcPr>
                <w:tcW w:w="4563" w:type="dxa"/>
                <w:hideMark/>
              </w:tcPr>
              <w:p>
                <w:pPr>
                  <w:jc w:val="both"/>
                  <w:rPr>
                    <w:sz w:val="22"/>
                    <w:szCs w:val="22"/>
                  </w:rPr>
                </w:pPr>
                <w:r>
                  <w:rPr>
                    <w:sz w:val="22"/>
                    <w:szCs w:val="22"/>
                  </w:rPr>
                  <w:t>Vartojimo kredito davėjai, išskyrus kredito įstaigas ir jų filialus Lietuvos Respublikoje</w:t>
                </w:r>
              </w:p>
            </w:tc>
            <w:tc>
              <w:tcPr>
                <w:tcW w:w="2268" w:type="dxa"/>
                <w:hideMark/>
              </w:tcPr>
              <w:p>
                <w:pPr>
                  <w:rPr>
                    <w:sz w:val="22"/>
                    <w:szCs w:val="22"/>
                  </w:rPr>
                </w:pPr>
                <w:r>
                  <w:rPr>
                    <w:sz w:val="22"/>
                    <w:szCs w:val="22"/>
                  </w:rPr>
                  <w:t>Vidutinis metinis turtas</w:t>
                </w:r>
              </w:p>
            </w:tc>
            <w:tc>
              <w:tcPr>
                <w:tcW w:w="1985" w:type="dxa"/>
                <w:hideMark/>
              </w:tcPr>
              <w:p>
                <w:pPr>
                  <w:jc w:val="center"/>
                  <w:rPr>
                    <w:sz w:val="22"/>
                    <w:szCs w:val="22"/>
                  </w:rPr>
                </w:pPr>
                <w:r>
                  <w:rPr>
                    <w:sz w:val="22"/>
                    <w:szCs w:val="22"/>
                  </w:rPr>
                  <w:t>0,0085 proc.</w:t>
                </w:r>
              </w:p>
            </w:tc>
          </w:tr>
          <w:tr>
            <w:tc>
              <w:tcPr>
                <w:tcW w:w="648" w:type="dxa"/>
                <w:hideMark/>
              </w:tcPr>
              <w:p>
                <w:pPr>
                  <w:ind w:left="72"/>
                  <w:jc w:val="center"/>
                  <w:rPr>
                    <w:sz w:val="22"/>
                    <w:szCs w:val="22"/>
                  </w:rPr>
                </w:pPr>
                <w:r>
                  <w:rPr>
                    <w:sz w:val="22"/>
                    <w:szCs w:val="22"/>
                  </w:rPr>
                  <w:t>4.</w:t>
                </w:r>
              </w:p>
            </w:tc>
            <w:tc>
              <w:tcPr>
                <w:tcW w:w="4563" w:type="dxa"/>
                <w:hideMark/>
              </w:tcPr>
              <w:p>
                <w:pPr>
                  <w:jc w:val="both"/>
                  <w:rPr>
                    <w:sz w:val="22"/>
                    <w:szCs w:val="22"/>
                  </w:rPr>
                </w:pPr>
                <w:r>
                  <w:rPr>
                    <w:sz w:val="22"/>
                    <w:szCs w:val="22"/>
                  </w:rPr>
                  <w:t>Elektroninių pinigų įstaigos; kitose negu 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5.</w:t>
                </w:r>
              </w:p>
            </w:tc>
            <w:tc>
              <w:tcPr>
                <w:tcW w:w="4563" w:type="dxa"/>
                <w:hideMark/>
              </w:tcPr>
              <w:p>
                <w:pPr>
                  <w:jc w:val="both"/>
                  <w:rPr>
                    <w:sz w:val="22"/>
                    <w:szCs w:val="22"/>
                  </w:rPr>
                </w:pPr>
                <w:r>
                  <w:rPr>
                    <w:sz w:val="22"/>
                    <w:szCs w:val="22"/>
                  </w:rPr>
                  <w:t>Europos ekonominės erdvės valstybėse licencijuotų elektroninių pinigų įstaigų filialai, įsteigti Lietuvos Respublikoje</w:t>
                </w:r>
              </w:p>
            </w:tc>
            <w:tc>
              <w:tcPr>
                <w:tcW w:w="2268" w:type="dxa"/>
                <w:hideMark/>
              </w:tcPr>
              <w:p>
                <w:pPr>
                  <w:rPr>
                    <w:bCs/>
                    <w:sz w:val="22"/>
                    <w:szCs w:val="22"/>
                  </w:rPr>
                </w:pPr>
                <w:r>
                  <w:rPr>
                    <w:bCs/>
                    <w:sz w:val="22"/>
                    <w:szCs w:val="22"/>
                  </w:rPr>
                  <w:t xml:space="preserve">Neapmokėtų elektroninių pinigų metinis vidurkis ir </w:t>
                </w:r>
              </w:p>
              <w:p>
                <w:pPr>
                  <w:rPr>
                    <w:sz w:val="22"/>
                    <w:szCs w:val="22"/>
                  </w:rPr>
                </w:pPr>
                <w:r>
                  <w:rPr>
                    <w:bCs/>
                    <w:sz w:val="22"/>
                    <w:szCs w:val="22"/>
                  </w:rPr>
                  <w:t>mokėjimo paslaugų metinė apyvarta</w:t>
                </w:r>
              </w:p>
            </w:tc>
            <w:tc>
              <w:tcPr>
                <w:tcW w:w="1985" w:type="dxa"/>
                <w:hideMark/>
              </w:tcPr>
              <w:p>
                <w:pPr>
                  <w:jc w:val="center"/>
                  <w:rPr>
                    <w:sz w:val="22"/>
                    <w:szCs w:val="22"/>
                  </w:rPr>
                </w:pPr>
                <w:r>
                  <w:rPr>
                    <w:sz w:val="22"/>
                    <w:szCs w:val="22"/>
                  </w:rPr>
                  <w:t>0,005 proc.</w:t>
                </w:r>
              </w:p>
            </w:tc>
          </w:tr>
          <w:tr>
            <w:trPr>
              <w:trHeight w:val="861"/>
            </w:trPr>
            <w:tc>
              <w:tcPr>
                <w:tcW w:w="648" w:type="dxa"/>
                <w:hideMark/>
              </w:tcPr>
              <w:p>
                <w:pPr>
                  <w:ind w:left="72"/>
                  <w:jc w:val="center"/>
                  <w:rPr>
                    <w:sz w:val="22"/>
                    <w:szCs w:val="22"/>
                  </w:rPr>
                </w:pPr>
                <w:r>
                  <w:rPr>
                    <w:sz w:val="22"/>
                    <w:szCs w:val="22"/>
                  </w:rPr>
                  <w:t>6.</w:t>
                </w:r>
              </w:p>
            </w:tc>
            <w:tc>
              <w:tcPr>
                <w:tcW w:w="4563" w:type="dxa"/>
                <w:hideMark/>
              </w:tcPr>
              <w:p>
                <w:pPr>
                  <w:jc w:val="both"/>
                  <w:rPr>
                    <w:sz w:val="22"/>
                    <w:szCs w:val="22"/>
                  </w:rPr>
                </w:pPr>
                <w:r>
                  <w:rPr>
                    <w:sz w:val="22"/>
                    <w:szCs w:val="22"/>
                  </w:rPr>
                  <w:t>Mokėjimo įstaigos</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0,01 proc.</w:t>
                </w:r>
              </w:p>
            </w:tc>
          </w:tr>
          <w:tr>
            <w:tc>
              <w:tcPr>
                <w:tcW w:w="648" w:type="dxa"/>
                <w:hideMark/>
              </w:tcPr>
              <w:p>
                <w:pPr>
                  <w:ind w:left="72"/>
                  <w:jc w:val="center"/>
                  <w:rPr>
                    <w:sz w:val="22"/>
                    <w:szCs w:val="22"/>
                  </w:rPr>
                </w:pPr>
                <w:r>
                  <w:rPr>
                    <w:sz w:val="22"/>
                    <w:szCs w:val="22"/>
                  </w:rPr>
                  <w:t>7.</w:t>
                </w:r>
              </w:p>
            </w:tc>
            <w:tc>
              <w:tcPr>
                <w:tcW w:w="4563" w:type="dxa"/>
                <w:hideMark/>
              </w:tcPr>
              <w:p>
                <w:pPr>
                  <w:jc w:val="both"/>
                  <w:rPr>
                    <w:sz w:val="22"/>
                    <w:szCs w:val="22"/>
                  </w:rPr>
                </w:pPr>
                <w:r>
                  <w:rPr>
                    <w:sz w:val="22"/>
                    <w:szCs w:val="22"/>
                  </w:rPr>
                  <w:t>Europos ekonominės erdvės valstybėse licencijuotų mokėjimo įstaigų filialai, įsteigti Lietuvos Respublikoje</w:t>
                </w:r>
              </w:p>
            </w:tc>
            <w:tc>
              <w:tcPr>
                <w:tcW w:w="2268" w:type="dxa"/>
                <w:hideMark/>
              </w:tcPr>
              <w:p>
                <w:pPr>
                  <w:rPr>
                    <w:sz w:val="22"/>
                    <w:szCs w:val="22"/>
                  </w:rPr>
                </w:pPr>
                <w:r>
                  <w:rPr>
                    <w:sz w:val="22"/>
                    <w:szCs w:val="22"/>
                  </w:rPr>
                  <w:t>Mokėjimo paslaugų metinė apyvarta</w:t>
                </w:r>
              </w:p>
            </w:tc>
            <w:tc>
              <w:tcPr>
                <w:tcW w:w="1985" w:type="dxa"/>
                <w:hideMark/>
              </w:tcPr>
              <w:p>
                <w:pPr>
                  <w:jc w:val="center"/>
                  <w:rPr>
                    <w:sz w:val="22"/>
                    <w:szCs w:val="22"/>
                  </w:rPr>
                </w:pPr>
                <w:r>
                  <w:rPr>
                    <w:sz w:val="22"/>
                    <w:szCs w:val="22"/>
                  </w:rPr>
                  <w:t>0,005 proc.</w:t>
                </w:r>
              </w:p>
            </w:tc>
          </w:tr>
          <w:tr>
            <w:tc>
              <w:tcPr>
                <w:tcW w:w="648" w:type="dxa"/>
                <w:hideMark/>
              </w:tcPr>
              <w:p>
                <w:pPr>
                  <w:ind w:left="72"/>
                  <w:jc w:val="center"/>
                  <w:rPr>
                    <w:sz w:val="22"/>
                    <w:szCs w:val="22"/>
                  </w:rPr>
                </w:pPr>
                <w:r>
                  <w:rPr>
                    <w:sz w:val="22"/>
                    <w:szCs w:val="22"/>
                  </w:rPr>
                  <w:t>8.</w:t>
                </w:r>
              </w:p>
            </w:tc>
            <w:tc>
              <w:tcPr>
                <w:tcW w:w="4563" w:type="dxa"/>
                <w:hideMark/>
              </w:tcPr>
              <w:p>
                <w:pPr>
                  <w:jc w:val="both"/>
                  <w:rPr>
                    <w:sz w:val="22"/>
                    <w:szCs w:val="22"/>
                  </w:rPr>
                </w:pPr>
                <w:r>
                  <w:rPr>
                    <w:sz w:val="22"/>
                    <w:szCs w:val="22"/>
                  </w:rPr>
                  <w:t xml:space="preserve">Draudimo ir perdraudimo įmonės; kitose negu Europos ekonominės erdvės valstybėse licencijuotų draudimo ir perdraudimo įmonių filialai, įsteigti Lietuvos Respublikoje </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0,26 proc.</w:t>
                </w:r>
              </w:p>
            </w:tc>
          </w:tr>
          <w:tr>
            <w:tc>
              <w:tcPr>
                <w:tcW w:w="648" w:type="dxa"/>
                <w:hideMark/>
              </w:tcPr>
              <w:p>
                <w:pPr>
                  <w:ind w:left="72"/>
                  <w:jc w:val="center"/>
                  <w:rPr>
                    <w:sz w:val="22"/>
                    <w:szCs w:val="22"/>
                  </w:rPr>
                </w:pPr>
                <w:r>
                  <w:rPr>
                    <w:sz w:val="22"/>
                    <w:szCs w:val="22"/>
                  </w:rPr>
                  <w:t>9.</w:t>
                </w:r>
              </w:p>
            </w:tc>
            <w:tc>
              <w:tcPr>
                <w:tcW w:w="4563" w:type="dxa"/>
                <w:hideMark/>
              </w:tcPr>
              <w:p>
                <w:pPr>
                  <w:jc w:val="both"/>
                  <w:rPr>
                    <w:sz w:val="22"/>
                    <w:szCs w:val="22"/>
                  </w:rPr>
                </w:pPr>
                <w:r>
                  <w:rPr>
                    <w:sz w:val="22"/>
                    <w:szCs w:val="22"/>
                  </w:rPr>
                  <w:t>Europos ekonominės erdvės valstybėse licencijuotų draudimo ir perdraudimo įmonių filialai, įsteigti Lietuvos Respublikoje</w:t>
                </w:r>
              </w:p>
            </w:tc>
            <w:tc>
              <w:tcPr>
                <w:tcW w:w="2268" w:type="dxa"/>
                <w:hideMark/>
              </w:tcPr>
              <w:p>
                <w:pPr>
                  <w:rPr>
                    <w:sz w:val="22"/>
                    <w:szCs w:val="22"/>
                  </w:rPr>
                </w:pPr>
                <w:r>
                  <w:rPr>
                    <w:sz w:val="22"/>
                    <w:szCs w:val="22"/>
                  </w:rPr>
                  <w:t>Lietuvos Respublikoje pasirašytos draudimo ir perdraudimo įmokos</w:t>
                </w:r>
              </w:p>
            </w:tc>
            <w:tc>
              <w:tcPr>
                <w:tcW w:w="1985" w:type="dxa"/>
                <w:hideMark/>
              </w:tcPr>
              <w:p>
                <w:pPr>
                  <w:jc w:val="center"/>
                  <w:rPr>
                    <w:sz w:val="22"/>
                    <w:szCs w:val="22"/>
                  </w:rPr>
                </w:pPr>
                <w:r>
                  <w:rPr>
                    <w:sz w:val="22"/>
                    <w:szCs w:val="22"/>
                  </w:rPr>
                  <w:t>0,13 proc.</w:t>
                </w:r>
              </w:p>
            </w:tc>
          </w:tr>
          <w:tr>
            <w:tc>
              <w:tcPr>
                <w:tcW w:w="648" w:type="dxa"/>
                <w:hideMark/>
              </w:tcPr>
              <w:p>
                <w:pPr>
                  <w:ind w:left="72"/>
                  <w:jc w:val="center"/>
                  <w:rPr>
                    <w:sz w:val="22"/>
                    <w:szCs w:val="22"/>
                  </w:rPr>
                </w:pPr>
                <w:r>
                  <w:rPr>
                    <w:sz w:val="22"/>
                    <w:szCs w:val="22"/>
                  </w:rPr>
                  <w:t>10.</w:t>
                </w:r>
              </w:p>
            </w:tc>
            <w:tc>
              <w:tcPr>
                <w:tcW w:w="4563" w:type="dxa"/>
                <w:hideMark/>
              </w:tcPr>
              <w:p>
                <w:pPr>
                  <w:jc w:val="both"/>
                  <w:rPr>
                    <w:sz w:val="22"/>
                    <w:szCs w:val="22"/>
                  </w:rPr>
                </w:pPr>
                <w:r>
                  <w:rPr>
                    <w:sz w:val="22"/>
                    <w:szCs w:val="22"/>
                  </w:rPr>
                  <w:t>Finansų maklerio įmonės</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0,3 proc.</w:t>
                </w:r>
              </w:p>
            </w:tc>
          </w:tr>
          <w:tr>
            <w:tc>
              <w:tcPr>
                <w:tcW w:w="648" w:type="dxa"/>
                <w:hideMark/>
              </w:tcPr>
              <w:p>
                <w:pPr>
                  <w:ind w:left="72"/>
                  <w:jc w:val="center"/>
                  <w:rPr>
                    <w:sz w:val="22"/>
                    <w:szCs w:val="22"/>
                  </w:rPr>
                </w:pPr>
                <w:r>
                  <w:rPr>
                    <w:sz w:val="22"/>
                    <w:szCs w:val="22"/>
                  </w:rPr>
                  <w:t>11.</w:t>
                </w:r>
              </w:p>
            </w:tc>
            <w:tc>
              <w:tcPr>
                <w:tcW w:w="4563" w:type="dxa"/>
                <w:hideMark/>
              </w:tcPr>
              <w:p>
                <w:pPr>
                  <w:jc w:val="both"/>
                  <w:rPr>
                    <w:sz w:val="22"/>
                    <w:szCs w:val="22"/>
                  </w:rPr>
                </w:pPr>
                <w:r>
                  <w:rPr>
                    <w:sz w:val="22"/>
                    <w:szCs w:val="22"/>
                  </w:rPr>
                  <w:t>Kitose Europos ekonominės erdvės valstybėse licencijuotų finansų maklerio įmonių filialai, įsteigti Lietuvos Respublikoje</w:t>
                </w:r>
              </w:p>
            </w:tc>
            <w:tc>
              <w:tcPr>
                <w:tcW w:w="2268" w:type="dxa"/>
                <w:hideMark/>
              </w:tcPr>
              <w:p>
                <w:pPr>
                  <w:rPr>
                    <w:sz w:val="22"/>
                    <w:szCs w:val="22"/>
                  </w:rPr>
                </w:pPr>
                <w:r>
                  <w:rPr>
                    <w:sz w:val="22"/>
                    <w:szCs w:val="22"/>
                  </w:rPr>
                  <w:t>Metinės pajamos</w:t>
                </w:r>
              </w:p>
            </w:tc>
            <w:tc>
              <w:tcPr>
                <w:tcW w:w="1985" w:type="dxa"/>
                <w:hideMark/>
              </w:tcPr>
              <w:p>
                <w:pPr>
                  <w:jc w:val="center"/>
                  <w:rPr>
                    <w:sz w:val="22"/>
                    <w:szCs w:val="22"/>
                  </w:rPr>
                </w:pPr>
                <w:r>
                  <w:rPr>
                    <w:sz w:val="22"/>
                    <w:szCs w:val="22"/>
                  </w:rPr>
                  <w:t>0,15 proc.</w:t>
                </w:r>
              </w:p>
            </w:tc>
          </w:tr>
          <w:tr>
            <w:tc>
              <w:tcPr>
                <w:tcW w:w="648" w:type="dxa"/>
                <w:hideMark/>
              </w:tcPr>
              <w:p>
                <w:pPr>
                  <w:ind w:left="72"/>
                  <w:jc w:val="center"/>
                  <w:rPr>
                    <w:sz w:val="22"/>
                    <w:szCs w:val="22"/>
                  </w:rPr>
                </w:pPr>
                <w:r>
                  <w:rPr>
                    <w:sz w:val="22"/>
                    <w:szCs w:val="22"/>
                  </w:rPr>
                  <w:t>12.</w:t>
                </w:r>
              </w:p>
            </w:tc>
            <w:tc>
              <w:tcPr>
                <w:tcW w:w="4563" w:type="dxa"/>
                <w:hideMark/>
              </w:tcPr>
              <w:p>
                <w:pPr>
                  <w:jc w:val="both"/>
                  <w:rPr>
                    <w:sz w:val="22"/>
                    <w:szCs w:val="22"/>
                  </w:rPr>
                </w:pPr>
                <w:r>
                  <w:rPr>
                    <w:sz w:val="22"/>
                    <w:szCs w:val="22"/>
                  </w:rPr>
                  <w:t>Valdymo įmonės, investicinės kintamojo kapitalo bendrovės, uždaro tipo investicinės bendrovės ir šių subjektų filialai, įsteigti Lietuvos Respublikoje</w:t>
                </w:r>
              </w:p>
            </w:tc>
            <w:tc>
              <w:tcPr>
                <w:tcW w:w="2268" w:type="dxa"/>
                <w:hideMark/>
              </w:tcPr>
              <w:p>
                <w:pPr>
                  <w:rPr>
                    <w:sz w:val="22"/>
                    <w:szCs w:val="22"/>
                  </w:rPr>
                </w:pPr>
                <w:r>
                  <w:rPr>
                    <w:sz w:val="22"/>
                    <w:szCs w:val="22"/>
                  </w:rPr>
                  <w:t>Valdomas kolektyvinio investavimo subjektų ir papildomo savanoriško pensijų kaupimo fondų turtas</w:t>
                </w:r>
              </w:p>
            </w:tc>
            <w:tc>
              <w:tcPr>
                <w:tcW w:w="1985" w:type="dxa"/>
                <w:hideMark/>
              </w:tcPr>
              <w:p>
                <w:pPr>
                  <w:jc w:val="center"/>
                  <w:rPr>
                    <w:sz w:val="22"/>
                    <w:szCs w:val="22"/>
                  </w:rPr>
                </w:pPr>
                <w:r>
                  <w:rPr>
                    <w:sz w:val="22"/>
                    <w:szCs w:val="22"/>
                  </w:rPr>
                  <w:t>0,05 proc.</w:t>
                </w:r>
              </w:p>
            </w:tc>
          </w:tr>
          <w:tr>
            <w:tc>
              <w:tcPr>
                <w:tcW w:w="648" w:type="dxa"/>
                <w:hideMark/>
              </w:tcPr>
              <w:p>
                <w:pPr>
                  <w:ind w:left="72"/>
                  <w:jc w:val="center"/>
                  <w:rPr>
                    <w:sz w:val="22"/>
                    <w:szCs w:val="22"/>
                  </w:rPr>
                </w:pPr>
                <w:r>
                  <w:rPr>
                    <w:sz w:val="22"/>
                    <w:szCs w:val="22"/>
                  </w:rPr>
                  <w:t>13.</w:t>
                </w:r>
              </w:p>
            </w:tc>
            <w:tc>
              <w:tcPr>
                <w:tcW w:w="4563" w:type="dxa"/>
                <w:hideMark/>
              </w:tcPr>
              <w:p>
                <w:pPr>
                  <w:tabs>
                    <w:tab w:val="left" w:pos="540"/>
                  </w:tabs>
                  <w:jc w:val="both"/>
                  <w:rPr>
                    <w:sz w:val="22"/>
                    <w:szCs w:val="22"/>
                  </w:rPr>
                </w:pPr>
                <w:r>
                  <w:rPr>
                    <w:sz w:val="22"/>
                    <w:szCs w:val="22"/>
                  </w:rPr>
                  <w:t>Reguliuojamos rinkos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21 721 Eur</w:t>
                </w:r>
              </w:p>
            </w:tc>
          </w:tr>
          <w:tr>
            <w:tc>
              <w:tcPr>
                <w:tcW w:w="648" w:type="dxa"/>
                <w:hideMark/>
              </w:tcPr>
              <w:p>
                <w:pPr>
                  <w:ind w:left="72"/>
                  <w:jc w:val="center"/>
                  <w:rPr>
                    <w:sz w:val="22"/>
                    <w:szCs w:val="22"/>
                  </w:rPr>
                </w:pPr>
                <w:r>
                  <w:rPr>
                    <w:sz w:val="22"/>
                    <w:szCs w:val="22"/>
                  </w:rPr>
                  <w:t>14.</w:t>
                </w:r>
              </w:p>
            </w:tc>
            <w:tc>
              <w:tcPr>
                <w:tcW w:w="4563" w:type="dxa"/>
                <w:hideMark/>
              </w:tcPr>
              <w:p>
                <w:pPr>
                  <w:tabs>
                    <w:tab w:val="left" w:pos="540"/>
                  </w:tabs>
                  <w:jc w:val="both"/>
                  <w:rPr>
                    <w:sz w:val="22"/>
                    <w:szCs w:val="22"/>
                  </w:rPr>
                </w:pPr>
                <w:r>
                  <w:rPr>
                    <w:sz w:val="22"/>
                    <w:szCs w:val="22"/>
                  </w:rPr>
                  <w:t>Centrinis vertybinių popierių depozitoriumas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28 962 Eur</w:t>
                </w:r>
              </w:p>
            </w:tc>
          </w:tr>
          <w:tr>
            <w:tc>
              <w:tcPr>
                <w:tcW w:w="648" w:type="dxa"/>
                <w:hideMark/>
              </w:tcPr>
              <w:p>
                <w:pPr>
                  <w:ind w:left="72"/>
                  <w:jc w:val="center"/>
                  <w:rPr>
                    <w:sz w:val="22"/>
                    <w:szCs w:val="22"/>
                  </w:rPr>
                </w:pPr>
                <w:r>
                  <w:rPr>
                    <w:sz w:val="22"/>
                    <w:szCs w:val="22"/>
                  </w:rPr>
                  <w:t>15.</w:t>
                </w:r>
              </w:p>
            </w:tc>
            <w:tc>
              <w:tcPr>
                <w:tcW w:w="4563" w:type="dxa"/>
                <w:hideMark/>
              </w:tcPr>
              <w:p>
                <w:pPr>
                  <w:tabs>
                    <w:tab w:val="center" w:pos="4153"/>
                    <w:tab w:val="right" w:pos="8306"/>
                  </w:tabs>
                  <w:rPr>
                    <w:sz w:val="22"/>
                    <w:szCs w:val="22"/>
                  </w:rPr>
                </w:pPr>
                <w:r>
                  <w:rPr>
                    <w:sz w:val="22"/>
                    <w:szCs w:val="22"/>
                  </w:rPr>
                  <w:t>Emitentai, kurių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868 Eur</w:t>
                </w:r>
              </w:p>
            </w:tc>
          </w:tr>
          <w:tr>
            <w:tc>
              <w:tcPr>
                <w:tcW w:w="648" w:type="dxa"/>
                <w:hideMark/>
              </w:tcPr>
              <w:p>
                <w:pPr>
                  <w:ind w:left="72"/>
                  <w:jc w:val="center"/>
                  <w:rPr>
                    <w:sz w:val="22"/>
                    <w:szCs w:val="22"/>
                  </w:rPr>
                </w:pPr>
                <w:r>
                  <w:rPr>
                    <w:sz w:val="22"/>
                    <w:szCs w:val="22"/>
                  </w:rPr>
                  <w:t>16.</w:t>
                </w:r>
              </w:p>
            </w:tc>
            <w:tc>
              <w:tcPr>
                <w:tcW w:w="4563" w:type="dxa"/>
                <w:hideMark/>
              </w:tcPr>
              <w:p>
                <w:pPr>
                  <w:jc w:val="both"/>
                  <w:rPr>
                    <w:sz w:val="22"/>
                    <w:szCs w:val="22"/>
                  </w:rPr>
                </w:pPr>
                <w:r>
                  <w:rPr>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17.</w:t>
                </w:r>
              </w:p>
            </w:tc>
            <w:tc>
              <w:tcPr>
                <w:tcW w:w="4563" w:type="dxa"/>
                <w:hideMark/>
              </w:tcPr>
              <w:p>
                <w:pPr>
                  <w:jc w:val="both"/>
                  <w:rPr>
                    <w:sz w:val="22"/>
                    <w:szCs w:val="22"/>
                  </w:rPr>
                </w:pPr>
                <w:r>
                  <w:rPr>
                    <w:sz w:val="22"/>
                    <w:szCs w:val="22"/>
                  </w:rPr>
                  <w:t>Draudimo brokerių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18.</w:t>
                </w:r>
              </w:p>
            </w:tc>
            <w:tc>
              <w:tcPr>
                <w:tcW w:w="4563" w:type="dxa"/>
                <w:hideMark/>
              </w:tcPr>
              <w:p>
                <w:pPr>
                  <w:tabs>
                    <w:tab w:val="left" w:pos="540"/>
                  </w:tabs>
                  <w:jc w:val="both"/>
                  <w:rPr>
                    <w:sz w:val="22"/>
                    <w:szCs w:val="22"/>
                  </w:rPr>
                </w:pPr>
                <w:r>
                  <w:rPr>
                    <w:sz w:val="22"/>
                    <w:szCs w:val="22"/>
                  </w:rPr>
                  <w:t>Finansų patarėjo įmonės</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hideMark/>
              </w:tcPr>
              <w:p>
                <w:pPr>
                  <w:ind w:left="72"/>
                  <w:jc w:val="center"/>
                  <w:rPr>
                    <w:sz w:val="22"/>
                    <w:szCs w:val="22"/>
                  </w:rPr>
                </w:pPr>
                <w:r>
                  <w:rPr>
                    <w:sz w:val="22"/>
                    <w:szCs w:val="22"/>
                  </w:rPr>
                  <w:t>19.</w:t>
                </w:r>
              </w:p>
            </w:tc>
            <w:tc>
              <w:tcPr>
                <w:tcW w:w="4563" w:type="dxa"/>
                <w:hideMark/>
              </w:tcPr>
              <w:p>
                <w:pPr>
                  <w:tabs>
                    <w:tab w:val="left" w:pos="540"/>
                  </w:tabs>
                  <w:jc w:val="both"/>
                  <w:rPr>
                    <w:sz w:val="22"/>
                    <w:szCs w:val="22"/>
                  </w:rPr>
                </w:pPr>
                <w:r>
                  <w:rPr>
                    <w:bCs/>
                    <w:sz w:val="22"/>
                    <w:szCs w:val="22"/>
                  </w:rPr>
                  <w:t>Valiutos keityklos operatoriai</w:t>
                </w:r>
              </w:p>
            </w:tc>
            <w:tc>
              <w:tcPr>
                <w:tcW w:w="2268" w:type="dxa"/>
                <w:hideMark/>
              </w:tcPr>
              <w:p>
                <w:pPr>
                  <w:jc w:val="center"/>
                  <w:rPr>
                    <w:sz w:val="22"/>
                    <w:szCs w:val="22"/>
                  </w:rPr>
                </w:pPr>
                <w:r>
                  <w:rPr>
                    <w:sz w:val="22"/>
                    <w:szCs w:val="22"/>
                  </w:rPr>
                  <w:t>–</w:t>
                </w:r>
              </w:p>
            </w:tc>
            <w:tc>
              <w:tcPr>
                <w:tcW w:w="1985" w:type="dxa"/>
                <w:hideMark/>
              </w:tcPr>
              <w:p>
                <w:pPr>
                  <w:jc w:val="center"/>
                  <w:rPr>
                    <w:sz w:val="22"/>
                    <w:szCs w:val="22"/>
                  </w:rPr>
                </w:pPr>
                <w:r>
                  <w:rPr>
                    <w:sz w:val="22"/>
                    <w:szCs w:val="22"/>
                  </w:rPr>
                  <w:t>434 Eur</w:t>
                </w:r>
              </w:p>
            </w:tc>
          </w:tr>
          <w:tr>
            <w:tc>
              <w:tcPr>
                <w:tcW w:w="648" w:type="dxa"/>
              </w:tcPr>
              <w:p>
                <w:pPr>
                  <w:ind w:left="72"/>
                  <w:jc w:val="center"/>
                  <w:rPr>
                    <w:color w:val="000000"/>
                    <w:sz w:val="22"/>
                    <w:szCs w:val="22"/>
                  </w:rPr>
                </w:pPr>
                <w:r>
                  <w:rPr>
                    <w:color w:val="000000"/>
                    <w:sz w:val="22"/>
                    <w:szCs w:val="22"/>
                  </w:rPr>
                  <w:t>20.</w:t>
                </w:r>
              </w:p>
            </w:tc>
            <w:tc>
              <w:tcPr>
                <w:tcW w:w="4563" w:type="dxa"/>
              </w:tcPr>
              <w:p>
                <w:pPr>
                  <w:tabs>
                    <w:tab w:val="left" w:pos="540"/>
                  </w:tabs>
                  <w:jc w:val="both"/>
                  <w:rPr>
                    <w:color w:val="000000"/>
                    <w:sz w:val="22"/>
                    <w:szCs w:val="22"/>
                  </w:rPr>
                </w:pPr>
                <w:r>
                  <w:rPr>
                    <w:color w:val="000000"/>
                    <w:sz w:val="22"/>
                    <w:szCs w:val="22"/>
                  </w:rPr>
                  <w:t>Sutelktinio finansavimo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21.</w:t>
                </w:r>
              </w:p>
            </w:tc>
            <w:tc>
              <w:tcPr>
                <w:tcW w:w="4563" w:type="dxa"/>
              </w:tcPr>
              <w:p>
                <w:pPr>
                  <w:tabs>
                    <w:tab w:val="left" w:pos="540"/>
                  </w:tabs>
                  <w:jc w:val="both"/>
                  <w:rPr>
                    <w:color w:val="000000"/>
                    <w:sz w:val="22"/>
                    <w:szCs w:val="22"/>
                  </w:rPr>
                </w:pPr>
                <w:r>
                  <w:rPr>
                    <w:color w:val="000000"/>
                    <w:sz w:val="22"/>
                    <w:szCs w:val="22"/>
                  </w:rPr>
                  <w:t xml:space="preserve">Kredito davėjai, išskyrus kredito įstaigas ir jų filialus Lietuvos Respublikoje </w:t>
                </w:r>
              </w:p>
            </w:tc>
            <w:tc>
              <w:tcPr>
                <w:tcW w:w="2268" w:type="dxa"/>
              </w:tcPr>
              <w:p>
                <w:pPr>
                  <w:rPr>
                    <w:color w:val="000000"/>
                    <w:sz w:val="22"/>
                    <w:szCs w:val="22"/>
                  </w:rPr>
                </w:pPr>
                <w:r>
                  <w:rPr>
                    <w:color w:val="000000"/>
                    <w:sz w:val="22"/>
                    <w:szCs w:val="22"/>
                  </w:rPr>
                  <w:t>Vidutinė metinė likusi grąžinti išmokėtų kreditų suma</w:t>
                </w:r>
              </w:p>
            </w:tc>
            <w:tc>
              <w:tcPr>
                <w:tcW w:w="1985" w:type="dxa"/>
              </w:tcPr>
              <w:p>
                <w:pPr>
                  <w:jc w:val="center"/>
                  <w:rPr>
                    <w:sz w:val="22"/>
                    <w:szCs w:val="22"/>
                  </w:rPr>
                </w:pPr>
                <w:r>
                  <w:rPr>
                    <w:sz w:val="22"/>
                    <w:szCs w:val="22"/>
                  </w:rPr>
                  <w:t>0,0125 proc., bet ne mažiau kaip 100 Eur</w:t>
                </w:r>
              </w:p>
            </w:tc>
          </w:tr>
          <w:tr>
            <w:tc>
              <w:tcPr>
                <w:tcW w:w="648" w:type="dxa"/>
              </w:tcPr>
              <w:p>
                <w:pPr>
                  <w:ind w:left="72"/>
                  <w:jc w:val="center"/>
                  <w:rPr>
                    <w:color w:val="000000"/>
                    <w:sz w:val="22"/>
                    <w:szCs w:val="22"/>
                  </w:rPr>
                </w:pPr>
                <w:r>
                  <w:rPr>
                    <w:color w:val="000000"/>
                    <w:sz w:val="22"/>
                    <w:szCs w:val="22"/>
                  </w:rPr>
                  <w:t>22.</w:t>
                </w:r>
              </w:p>
            </w:tc>
            <w:tc>
              <w:tcPr>
                <w:tcW w:w="4563" w:type="dxa"/>
              </w:tcPr>
              <w:p>
                <w:pPr>
                  <w:tabs>
                    <w:tab w:val="left" w:pos="540"/>
                  </w:tabs>
                  <w:jc w:val="both"/>
                  <w:rPr>
                    <w:color w:val="000000"/>
                    <w:sz w:val="22"/>
                    <w:szCs w:val="22"/>
                  </w:rPr>
                </w:pPr>
                <w:r>
                  <w:rPr>
                    <w:color w:val="000000"/>
                    <w:sz w:val="22"/>
                    <w:szCs w:val="22"/>
                  </w:rPr>
                  <w:t>Tarpusavio skolinimo platformos operatoriai</w:t>
                </w:r>
              </w:p>
            </w:tc>
            <w:tc>
              <w:tcPr>
                <w:tcW w:w="2268" w:type="dxa"/>
              </w:tcPr>
              <w:p>
                <w:pPr>
                  <w:jc w:val="center"/>
                  <w:rPr>
                    <w:color w:val="000000"/>
                    <w:sz w:val="22"/>
                    <w:szCs w:val="22"/>
                  </w:rPr>
                </w:pPr>
                <w:r>
                  <w:rPr>
                    <w:color w:val="000000"/>
                    <w:sz w:val="22"/>
                    <w:szCs w:val="22"/>
                  </w:rPr>
                  <w:t>–</w:t>
                </w:r>
              </w:p>
            </w:tc>
            <w:tc>
              <w:tcPr>
                <w:tcW w:w="1985" w:type="dxa"/>
              </w:tcPr>
              <w:p>
                <w:pPr>
                  <w:jc w:val="center"/>
                  <w:rPr>
                    <w:sz w:val="22"/>
                    <w:szCs w:val="22"/>
                  </w:rPr>
                </w:pPr>
                <w:r>
                  <w:rPr>
                    <w:sz w:val="22"/>
                    <w:szCs w:val="22"/>
                  </w:rPr>
                  <w:t>3 000 Eur</w:t>
                </w:r>
              </w:p>
            </w:tc>
          </w:tr>
          <w:tr>
            <w:tc>
              <w:tcPr>
                <w:tcW w:w="648" w:type="dxa"/>
              </w:tcPr>
              <w:p>
                <w:pPr>
                  <w:ind w:left="72"/>
                  <w:jc w:val="center"/>
                  <w:rPr>
                    <w:color w:val="000000"/>
                    <w:sz w:val="22"/>
                    <w:szCs w:val="22"/>
                  </w:rPr>
                </w:pPr>
                <w:r>
                  <w:rPr>
                    <w:color w:val="000000"/>
                    <w:sz w:val="22"/>
                    <w:szCs w:val="22"/>
                  </w:rPr>
                  <w:t>23.</w:t>
                </w:r>
              </w:p>
            </w:tc>
            <w:tc>
              <w:tcPr>
                <w:tcW w:w="4563" w:type="dxa"/>
              </w:tcPr>
              <w:p>
                <w:pPr>
                  <w:tabs>
                    <w:tab w:val="left" w:pos="540"/>
                  </w:tabs>
                  <w:jc w:val="both"/>
                  <w:rPr>
                    <w:color w:val="000000"/>
                    <w:sz w:val="22"/>
                    <w:szCs w:val="22"/>
                  </w:rPr>
                </w:pPr>
                <w:r>
                  <w:rPr>
                    <w:color w:val="000000"/>
                    <w:sz w:val="22"/>
                    <w:szCs w:val="22"/>
                  </w:rPr>
                  <w:t>Nepriklausomi kredito tarpininkai</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r>
            <w:tc>
              <w:tcPr>
                <w:tcW w:w="648" w:type="dxa"/>
              </w:tcPr>
              <w:p>
                <w:pPr>
                  <w:ind w:left="72"/>
                  <w:jc w:val="center"/>
                  <w:rPr>
                    <w:color w:val="000000"/>
                    <w:sz w:val="22"/>
                    <w:szCs w:val="22"/>
                  </w:rPr>
                </w:pPr>
                <w:r>
                  <w:rPr>
                    <w:color w:val="000000"/>
                    <w:sz w:val="22"/>
                    <w:szCs w:val="22"/>
                  </w:rPr>
                  <w:t>24.</w:t>
                </w:r>
              </w:p>
            </w:tc>
            <w:tc>
              <w:tcPr>
                <w:tcW w:w="4563" w:type="dxa"/>
              </w:tcPr>
              <w:p>
                <w:pPr>
                  <w:tabs>
                    <w:tab w:val="left" w:pos="540"/>
                  </w:tabs>
                  <w:jc w:val="both"/>
                  <w:rPr>
                    <w:color w:val="000000"/>
                    <w:sz w:val="22"/>
                    <w:szCs w:val="22"/>
                  </w:rPr>
                </w:pPr>
                <w:r>
                  <w:rPr>
                    <w:color w:val="000000"/>
                    <w:sz w:val="22"/>
                    <w:szCs w:val="22"/>
                  </w:rPr>
                  <w:t>Nepriklausomi vartojimo kredito tarpininkai</w:t>
                </w:r>
                <w:r>
                  <w:rPr>
                    <w:sz w:val="22"/>
                    <w:szCs w:val="22"/>
                  </w:rPr>
                  <w:t xml:space="preserve"> </w:t>
                </w:r>
              </w:p>
            </w:tc>
            <w:tc>
              <w:tcPr>
                <w:tcW w:w="2268" w:type="dxa"/>
              </w:tcPr>
              <w:p>
                <w:pPr>
                  <w:jc w:val="center"/>
                  <w:rPr>
                    <w:color w:val="000000"/>
                    <w:sz w:val="22"/>
                    <w:szCs w:val="22"/>
                  </w:rPr>
                </w:pPr>
                <w:r>
                  <w:rPr>
                    <w:color w:val="000000"/>
                    <w:sz w:val="22"/>
                    <w:szCs w:val="22"/>
                  </w:rPr>
                  <w:t>–</w:t>
                </w:r>
              </w:p>
            </w:tc>
            <w:tc>
              <w:tcPr>
                <w:tcW w:w="1985" w:type="dxa"/>
              </w:tcPr>
              <w:p>
                <w:pPr>
                  <w:jc w:val="center"/>
                  <w:rPr>
                    <w:color w:val="000000"/>
                    <w:sz w:val="22"/>
                    <w:szCs w:val="22"/>
                  </w:rPr>
                </w:pPr>
                <w:r>
                  <w:rPr>
                    <w:color w:val="000000"/>
                    <w:sz w:val="22"/>
                    <w:szCs w:val="22"/>
                  </w:rPr>
                  <w:t>217 Eur</w:t>
                </w:r>
              </w:p>
            </w:tc>
          </w:tr>
        </w:tbl>
        <w:p>
          <w:pPr>
            <w:ind w:firstLine="720"/>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1"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2"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3"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0" w:history="1">
            <w:r>
              <w:rPr>
                <w:rStyle w:val="Hipersaitas"/>
                <w:sz w:val="20"/>
              </w:rPr>
              <w:t>89-2741</w:t>
            </w:r>
          </w:hyperlink>
          <w:r>
            <w:rPr>
              <w:sz w:val="20"/>
            </w:rPr>
            <w:t xml:space="preserve">) ir Lietuvos Respublikos baudžiamojo proceso kodeksu (Žin., 2002, Nr. </w:t>
          </w:r>
          <w:hyperlink r:id="rId14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BCFE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230454&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230454&amp;b="/>
  <Relationship Id="rId106" Type="http://schemas.openxmlformats.org/officeDocument/2006/relationships/hyperlink" TargetMode="External" Target="http://www3.lrs.lt/cgi-bin/preps2?a=361206&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361206&amp;b="/>
  <Relationship Id="rId11" Type="http://schemas.openxmlformats.org/officeDocument/2006/relationships/webSettings" Target="webSettings.xml"/>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227304&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396599&amp;b="/>
  <Relationship Id="rId119" Type="http://schemas.openxmlformats.org/officeDocument/2006/relationships/hyperlink" TargetMode="External" Target="http://www3.lrs.lt/cgi-bin/preps2?a=396597&amp;b="/>
  <Relationship Id="rId12" Type="http://schemas.openxmlformats.org/officeDocument/2006/relationships/hyperlink" TargetMode="External" Target="http://www3.lrs.lt/cgi-bin/preps2?Condition1=128873&amp;Condition2="/>
  <Relationship Id="rId120" Type="http://schemas.openxmlformats.org/officeDocument/2006/relationships/hyperlink" TargetMode="External" Target="http://www3.lrs.lt/cgi-bin/preps2?a=412373&amp;b="/>
  <Relationship Id="rId121" Type="http://schemas.openxmlformats.org/officeDocument/2006/relationships/hyperlink" TargetMode="External" Target="http://www3.lrs.lt/cgi-bin/preps2?a=213881&amp;b="/>
  <Relationship Id="rId122" Type="http://schemas.openxmlformats.org/officeDocument/2006/relationships/hyperlink" TargetMode="External" Target="http://www3.lrs.lt/cgi-bin/preps2?a=231828&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74804&amp;b="/>
  <Relationship Id="rId125" Type="http://schemas.openxmlformats.org/officeDocument/2006/relationships/hyperlink" TargetMode="External" Target="http://www3.lrs.lt/cgi-bin/preps2?a=469641&amp;b="/>
  <Relationship Id="rId126" Type="http://schemas.openxmlformats.org/officeDocument/2006/relationships/hyperlink" TargetMode="External" Target="http://www3.lrs.lt/cgi-bin/preps2?a=227304&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231829&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227304&amp;b="/>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412356&amp;b="/>
  <Relationship Id="rId132" Type="http://schemas.openxmlformats.org/officeDocument/2006/relationships/hyperlink" TargetMode="External" Target="http://www3.lrs.lt/cgi-bin/preps2?a=478702&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Condition1=26025&amp;Condition2="/>
  <Relationship Id="rId135" Type="http://schemas.openxmlformats.org/officeDocument/2006/relationships/hyperlink" TargetMode="External" Target="http://www3.lrs.lt/cgi-bin/preps2?Condition1=37819&amp;Condition2="/>
  <Relationship Id="rId136" Type="http://schemas.openxmlformats.org/officeDocument/2006/relationships/hyperlink" TargetMode="External" Target="http://www3.lrs.lt/cgi-bin/preps2?Condition1=41676&amp;Condition2="/>
  <Relationship Id="rId137" Type="http://schemas.openxmlformats.org/officeDocument/2006/relationships/hyperlink" TargetMode="External" Target="http://www3.lrs.lt/cgi-bin/preps2?Condition1=128873&amp;Condition2="/>
  <Relationship Id="rId138" Type="http://schemas.openxmlformats.org/officeDocument/2006/relationships/hyperlink" TargetMode="External" Target="http://www3.lrs.lt/cgi-bin/preps2?a=206757&amp;b="/>
  <Relationship Id="rId139" Type="http://schemas.openxmlformats.org/officeDocument/2006/relationships/hyperlink" TargetMode="External" Target="http://www3.lrs.lt/cgi-bin/preps2?a=209663&amp;b="/>
  <Relationship Id="rId14" Type="http://schemas.openxmlformats.org/officeDocument/2006/relationships/hyperlink" TargetMode="External" Target="http://www3.lrs.lt/cgi-bin/preps2?a=274804&amp;b="/>
  <Relationship Id="rId140" Type="http://schemas.openxmlformats.org/officeDocument/2006/relationships/hyperlink" TargetMode="External" Target="http://www3.lrs.lt/cgi-bin/preps2?a=111555&amp;b="/>
  <Relationship Id="rId141" Type="http://schemas.openxmlformats.org/officeDocument/2006/relationships/hyperlink" TargetMode="External" Target="http://www3.lrs.lt/cgi-bin/preps2?a=163482&amp;b="/>
  <Relationship Id="rId142" Type="http://schemas.openxmlformats.org/officeDocument/2006/relationships/hyperlink" TargetMode="External" Target="http://www3.lrs.lt/cgi-bin/preps2?a=213881&amp;b="/>
  <Relationship Id="rId143" Type="http://schemas.openxmlformats.org/officeDocument/2006/relationships/hyperlink" TargetMode="External" Target="http://www3.lrs.lt/cgi-bin/preps2?a=227304&amp;b="/>
  <Relationship Id="rId144" Type="http://schemas.openxmlformats.org/officeDocument/2006/relationships/hyperlink" TargetMode="External" Target="http://www3.lrs.lt/cgi-bin/preps2?a=230454&amp;b="/>
  <Relationship Id="rId145" Type="http://schemas.openxmlformats.org/officeDocument/2006/relationships/hyperlink" TargetMode="External" Target="http://www3.lrs.lt/cgi-bin/preps2?a=231828&amp;b="/>
  <Relationship Id="rId146" Type="http://schemas.openxmlformats.org/officeDocument/2006/relationships/hyperlink" TargetMode="External" Target="http://www3.lrs.lt/cgi-bin/preps2?a=231829&amp;b="/>
  <Relationship Id="rId147" Type="http://schemas.openxmlformats.org/officeDocument/2006/relationships/hyperlink" TargetMode="External" Target="http://www3.lrs.lt/cgi-bin/preps2?a=274804&amp;b="/>
  <Relationship Id="rId148" Type="http://schemas.openxmlformats.org/officeDocument/2006/relationships/hyperlink" TargetMode="External" Target="http://www3.lrs.lt/cgi-bin/preps2?a=361205&amp;b="/>
  <Relationship Id="rId149" Type="http://schemas.openxmlformats.org/officeDocument/2006/relationships/hyperlink" TargetMode="External" Target="http://www3.lrs.lt/cgi-bin/preps2?a=396599&amp;b="/>
  <Relationship Id="rId15" Type="http://schemas.openxmlformats.org/officeDocument/2006/relationships/hyperlink" TargetMode="External" Target="http://www3.lrs.lt/cgi-bin/preps2?a=464959&amp;b="/>
  <Relationship Id="rId150" Type="http://schemas.openxmlformats.org/officeDocument/2006/relationships/hyperlink" TargetMode="External" Target="http://www3.lrs.lt/cgi-bin/preps2?a=412356&amp;b="/>
  <Relationship Id="rId151" Type="http://schemas.openxmlformats.org/officeDocument/2006/relationships/hyperlink" TargetMode="External" Target="http://www3.lrs.lt/cgi-bin/preps2?a=464959&amp;b="/>
  <Relationship Id="rId152" Type="http://schemas.openxmlformats.org/officeDocument/2006/relationships/hyperlink" TargetMode="External" Target="http://www3.lrs.lt/cgi-bin/preps2?a=469641&amp;b="/>
  <Relationship Id="rId153" Type="http://schemas.openxmlformats.org/officeDocument/2006/relationships/hyperlink" TargetMode="External" Target="http://www3.lrs.lt/cgi-bin/preps2?a=478702&amp;b="/>
  <Relationship Id="rId154" Type="http://schemas.openxmlformats.org/officeDocument/2006/relationships/hyperlink" TargetMode="External" Target="http://www3.lrs.lt/cgi-bin/preps2?a=340369&amp;b="/>
  <Relationship Id="rId155" Type="http://schemas.openxmlformats.org/officeDocument/2006/relationships/hyperlink" TargetMode="External" Target="http://www3.lrs.lt/cgi-bin/preps2?a=359889&amp;b="/>
  <Relationship Id="rId156" Type="http://schemas.openxmlformats.org/officeDocument/2006/relationships/hyperlink" TargetMode="External" Target="http://www3.lrs.lt/cgi-bin/preps2?a=361206&amp;b="/>
  <Relationship Id="rId157" Type="http://schemas.openxmlformats.org/officeDocument/2006/relationships/hyperlink" TargetMode="External" Target="http://www3.lrs.lt/cgi-bin/preps2?a=386459&amp;b="/>
  <Relationship Id="rId158" Type="http://schemas.openxmlformats.org/officeDocument/2006/relationships/hyperlink" TargetMode="External" Target="http://www3.lrs.lt/cgi-bin/preps2?a=396597&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464957&amp;b="/>
  <Relationship Id="rId160" Type="http://schemas.openxmlformats.org/officeDocument/2006/relationships/hyperlink" TargetMode="External" Target="http://www3.lrs.lt/cgi-bin/preps2?a=415118&amp;b="/>
  <Relationship Id="rId161" Type="http://schemas.openxmlformats.org/officeDocument/2006/relationships/hyperlink" TargetMode="External" Target="http://www3.lrs.lt/cgi-bin/preps2?a=464957&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412373&amp;b="/>
  <Relationship Id="rId164" Type="http://schemas.openxmlformats.org/officeDocument/2006/relationships/hyperlink" TargetMode="External" Target="http://www3.lrs.lt/cgi-bin/preps2?a=274804&amp;b="/>
  <Relationship Id="rId165" Type="http://schemas.openxmlformats.org/officeDocument/2006/relationships/hyperlink" TargetMode="External" Target="http://www3.lrs.lt/cgi-bin/preps2?a=478702&amp;b="/>
  <Relationship Id="rId166"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412373&amp;b="/>
  <Relationship Id="rId19" Type="http://schemas.openxmlformats.org/officeDocument/2006/relationships/hyperlink" TargetMode="External" Target="http://www3.lrs.lt/cgi-bin/preps2?a=227304&amp;b="/>
  <Relationship Id="rId2" Type="http://schemas.openxmlformats.org/officeDocument/2006/relationships/endnotes" Target="endnotes.xml"/>
  <Relationship Id="rId20" Type="http://schemas.openxmlformats.org/officeDocument/2006/relationships/hyperlink" TargetMode="External" Target="http://www3.lrs.lt/cgi-bin/preps2?a=274804&amp;b="/>
  <Relationship Id="rId21" Type="http://schemas.openxmlformats.org/officeDocument/2006/relationships/hyperlink" TargetMode="External" Target="http://www3.lrs.lt/cgi-bin/preps2?a=412356&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213881&amp;b="/>
  <Relationship Id="rId27" Type="http://schemas.openxmlformats.org/officeDocument/2006/relationships/hyperlink" TargetMode="External" Target="http://www3.lrs.lt/cgi-bin/preps2?a=23045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361205&amp;b="/>
  <Relationship Id="rId3" Type="http://schemas.openxmlformats.org/officeDocument/2006/relationships/fontTable" Target="fontTable.xml"/>
  <Relationship Id="rId30" Type="http://schemas.openxmlformats.org/officeDocument/2006/relationships/hyperlink" TargetMode="External" Target="http://www3.lrs.lt/cgi-bin/preps2?a=412356&amp;b="/>
  <Relationship Id="rId31" Type="http://schemas.openxmlformats.org/officeDocument/2006/relationships/hyperlink" TargetMode="External" Target="http://www3.lrs.lt/cgi-bin/preps2?a=478702&amp;b="/>
  <Relationship Id="rId32" Type="http://schemas.openxmlformats.org/officeDocument/2006/relationships/hyperlink" TargetMode="External" Target="http://www3.lrs.lt/cgi-bin/preps2?a=361206&amp;b="/>
  <Relationship Id="rId33" Type="http://schemas.openxmlformats.org/officeDocument/2006/relationships/hyperlink" TargetMode="External" Target="http://www3.lrs.lt/cgi-bin/preps2?a=412373&amp;b="/>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hyperlink" TargetMode="External" Target="http://www3.lrs.lt/cgi-bin/preps2?a=412373&amp;b="/>
  <Relationship Id="rId50" Type="http://schemas.openxmlformats.org/officeDocument/2006/relationships/hyperlink" TargetMode="External" Target="http://www3.lrs.lt/cgi-bin/preps2?a=412373&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274804&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96597&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227304&amp;b="/>
  <Relationship Id="rId57" Type="http://schemas.openxmlformats.org/officeDocument/2006/relationships/hyperlink" TargetMode="External" Target="http://www3.lrs.lt/cgi-bin/preps2?a=386459&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478691&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748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06757&amp;b="/>
  <Relationship Id="rId7" Type="http://schemas.openxmlformats.org/officeDocument/2006/relationships/settings" Target="setting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359889&amp;b="/>
  <Relationship Id="rId72" Type="http://schemas.openxmlformats.org/officeDocument/2006/relationships/hyperlink" TargetMode="External" Target="http://www3.lrs.lt/cgi-bin/preps2?a=415118&amp;b="/>
  <Relationship Id="rId73" Type="http://schemas.openxmlformats.org/officeDocument/2006/relationships/hyperlink" TargetMode="External" Target="http://www3.lrs.lt/cgi-bin/preps2?a=227304&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412356&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styles" Target="style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412356&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396599&amp;b="/>
  <Relationship Id="rId87" Type="http://schemas.openxmlformats.org/officeDocument/2006/relationships/hyperlink" TargetMode="External" Target="http://www3.lrs.lt/cgi-bin/preps2?a=396597&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27304&amp;b="/>
  <Relationship Id="rId9" Type="http://schemas.microsoft.com/office/2007/relationships/stylesWithEffects" Target="stylesWithEffects.xml"/>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3045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78691&amp;b="/>
  <Relationship Id="rId99" Type="http://schemas.openxmlformats.org/officeDocument/2006/relationships/hyperlink" TargetMode="External" Target="http://www3.lrs.lt/cgi-bin/preps2?a=23045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3f8b96fe58ae41379e010ab7c8d72406">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471393e0a19e411db8bfc9f23c9070d3">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a7b76f5e89a7408e9d185e7b54933397">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5833f7e05ca34afdac3b4e668d5c609c">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ef357932668241e5bb99e584a0f5e0d2"/>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2716c21aa2724a94af0cdc21558f20b0"/>
          <Part Type="strPunktas" Nr="11" Abbr="11 p." DocPartId="2707f7c4b4ef4ceb80c671f3060fb996" PartId="85003369725d4508aa95d7e5e7f06b5a"/>
          <Part Type="strPunktas" Nr="12" Abbr="12 p." DocPartId="149b847b67ca48f59483549166d54725" PartId="4b35d472007e4253b302d05a13f6e291"/>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f387522bd51445d08fada7b3ab91f7f7">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86277d0e528948db812604393bfcefd3"/>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9E86BFA-AA72-4EDC-A7DB-EF53F5CC103A}">
  <ds:schemaRefs>
    <ds:schemaRef ds:uri="http://lrs.lt/TAIS/DocParts"/>
  </ds:schemaRefs>
</ds:datastoreItem>
</file>

<file path=customXml/itemProps3.xml><?xml version="1.0" encoding="utf-8"?>
<ds:datastoreItem xmlns:ds="http://schemas.openxmlformats.org/officeDocument/2006/customXml" ds:itemID="{2B472252-1094-454B-B65C-2BC6802DD9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26</Pages>
  <Words>63856</Words>
  <Characters>36399</Characters>
  <Application>Microsoft Office Word</Application>
  <DocSecurity>0</DocSecurity>
  <Lines>303</Lines>
  <Paragraphs>200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100055</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GUMBYTĖ Danguolė</lastModifiedBy>
  <dcterms:modified xsi:type="dcterms:W3CDTF">2016-11-18T11:03:00Z</dcterms:modified>
  <revision>19</revision>
  <dc:title>Neoficialus ?statymo tekstas</dc:title>
</coreProperties>
</file>