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2022-07-22 iki 2022-11-09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6"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20"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22"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7223cb3603134b649076de5449c062f3"/>
                <w:lock w:val="sdtLocked"/>
                <w:richText/>
              </w:sdtPr>
              <w:sdtContent>
                <w:p>
                  <w:pPr>
                    <w:ind w:firstLine="720"/>
                    <w:jc w:val="both"/>
                    <w:rPr>
                      <w:b/>
                      <w:bCs/>
                      <w:sz w:val="22"/>
                    </w:rPr>
                  </w:pPr>
                  <w:sdt>
                    <w:sdtPr>
                      <w:alias w:val="Numeris"/>
                      <w:tag w:val="nr_7223cb3603134b649076de5449c062f3"/>
                      <w:lock w:val="sdtLocked"/>
                      <w:richText/>
                    </w:sdtPr>
                    <w:sdtContent>
                      <w:r>
                        <w:rPr>
                          <w:b/>
                          <w:bCs/>
                          <w:sz w:val="22"/>
                        </w:rPr>
                        <w:t>6</w:t>
                      </w:r>
                    </w:sdtContent>
                  </w:sdt>
                  <w:r>
                    <w:rPr>
                      <w:b/>
                      <w:bCs/>
                      <w:sz w:val="22"/>
                    </w:rPr>
                    <w:t xml:space="preserve"> straipsnis. </w:t>
                  </w:r>
                  <w:sdt>
                    <w:sdtPr>
                      <w:alias w:val="Pavadinimas"/>
                      <w:tag w:val="title_7223cb3603134b649076de5449c062f3"/>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5"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6"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9"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8 str. 2 d. 2 p."/>
                        <w:tag w:val="part_3d348fd3ec4540b4a78d28a4348377e1"/>
                        <w:lock w:val="sdtLocked"/>
                        <w:richText/>
                      </w:sdtPr>
                      <w:sdtContent>
                        <w:p>
                          <w:pPr>
                            <w:ind w:firstLine="720"/>
                            <w:jc w:val="both"/>
                            <w:rPr>
                              <w:bCs/>
                              <w:sz w:val="22"/>
                              <w:szCs w:val="22"/>
                              <w:lang w:eastAsia="lt-LT"/>
                            </w:rPr>
                          </w:pPr>
                          <w:sdt>
                            <w:sdtPr>
                              <w:alias w:val="Numeris"/>
                              <w:tag w:val="nr_3d348fd3ec4540b4a78d28a4348377e1"/>
                              <w:lock w:val="sdtLocked"/>
                              <w:richText/>
                            </w:sdtPr>
                            <w:sdtContent>
                              <w:r>
                                <w:rPr>
                                  <w:rFonts w:eastAsia="Calibri"/>
                                  <w:bCs/>
                                  <w:sz w:val="22"/>
                                  <w:szCs w:val="22"/>
                                </w:rPr>
                                <w:t>2</w:t>
                              </w:r>
                            </w:sdtContent>
                          </w:sdt>
                          <w:r>
                            <w:rPr>
                              <w:rFonts w:eastAsia="Calibri"/>
                              <w:bCs/>
                              <w:sz w:val="22"/>
                              <w:szCs w:val="22"/>
                            </w:rPr>
                            <w:t>) atlieka finansų rinkos priežiūrą, išskyrus atvejus, kai pagal 2013 m. spalio 15 d. Tarybos reglamento (ES) Nr. 1024/2013, kuriuo Europos Centriniam Bankui pavedami specialūs uždaviniai, susiję su rizikos ribojimu pagrįstos kredito įstaigų priežiūros politika,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4708a0756a11eabee4a336e7e6fdab">
                            <w:r w:rsidRPr="00532B9F">
                              <w:rPr>
                                <w:rFonts w:ascii="Times New Roman" w:eastAsia="MS Mincho" w:hAnsi="Times New Roman"/>
                                <w:sz w:val="20"/>
                                <w:i/>
                                <w:iCs/>
                                <w:color w:val="0000FF" w:themeColor="hyperlink"/>
                                <w:u w:val="single"/>
                              </w:rPr>
                              <w:t>XIII-2836</w:t>
                            </w:r>
                          </w:fldSimple>
                          <w:r>
                            <w:rPr>
                              <w:rFonts w:ascii="Times New Roman" w:eastAsia="MS Mincho" w:hAnsi="Times New Roman"/>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str. 2 d. 8 p."/>
                        <w:tag w:val="part_28e8069e9ff24f49b69c85b6a11ea26d"/>
                        <w:lock w:val="sdtLocked"/>
                        <w:richText/>
                      </w:sdtPr>
                      <w:sdtContent>
                        <w:p>
                          <w:pPr>
                            <w:ind w:firstLine="720"/>
                            <w:jc w:val="both"/>
                            <w:rPr>
                              <w:bCs/>
                              <w:sz w:val="22"/>
                              <w:szCs w:val="22"/>
                              <w:lang w:eastAsia="lt-LT"/>
                            </w:rPr>
                          </w:pPr>
                          <w:sdt>
                            <w:sdtPr>
                              <w:alias w:val="Numeris"/>
                              <w:tag w:val="nr_28e8069e9ff24f49b69c85b6a11ea26d"/>
                              <w:lock w:val="sdtLocked"/>
                              <w:richText/>
                            </w:sdtPr>
                            <w:sdtContent>
                              <w:r>
                                <w:rPr>
                                  <w:rFonts w:eastAsia="Calibri"/>
                                  <w:bCs/>
                                  <w:sz w:val="22"/>
                                  <w:szCs w:val="22"/>
                                </w:rPr>
                                <w:t>8</w:t>
                              </w:r>
                            </w:sdtContent>
                          </w:sdt>
                          <w:r>
                            <w:rPr>
                              <w:rFonts w:eastAsia="Calibri"/>
                              <w:bCs/>
                              <w:sz w:val="22"/>
                              <w:szCs w:val="22"/>
                            </w:rPr>
                            <w:t>) 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30"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3"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34"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35"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7"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40"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41"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8"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9"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7d914594e97041f69109d57bfe7dcea8"/>
                <w:lock w:val="sdtLocked"/>
                <w:richText/>
              </w:sdtPr>
              <w:sdtContent>
                <w:p>
                  <w:pPr>
                    <w:ind w:firstLine="720"/>
                    <w:jc w:val="both"/>
                    <w:rPr>
                      <w:b/>
                      <w:sz w:val="22"/>
                    </w:rPr>
                  </w:pPr>
                  <w:sdt>
                    <w:sdtPr>
                      <w:alias w:val="Numeris"/>
                      <w:tag w:val="nr_7d914594e97041f69109d57bfe7dcea8"/>
                      <w:lock w:val="sdtLocked"/>
                      <w:richText/>
                    </w:sdtPr>
                    <w:sdtContent>
                      <w:r>
                        <w:rPr>
                          <w:b/>
                          <w:sz w:val="22"/>
                        </w:rPr>
                        <w:t>11</w:t>
                      </w:r>
                    </w:sdtContent>
                  </w:sdt>
                  <w:r>
                    <w:rPr>
                      <w:b/>
                      <w:sz w:val="22"/>
                    </w:rPr>
                    <w:t xml:space="preserve"> straipsnis. </w:t>
                  </w:r>
                  <w:sdt>
                    <w:sdtPr>
                      <w:alias w:val="Pavadinimas"/>
                      <w:tag w:val="title_7d914594e97041f69109d57bfe7dcea8"/>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14 p."/>
                        <w:tag w:val="part_fb56c73ba1ea49829cce1759a294c0aa"/>
                        <w:lock w:val="sdtLocked"/>
                        <w:richText/>
                      </w:sdtPr>
                      <w:sdtContent>
                        <w:p>
                          <w:pPr>
                            <w:ind w:firstLine="720"/>
                            <w:jc w:val="both"/>
                            <w:rPr>
                              <w:sz w:val="22"/>
                              <w:szCs w:val="22"/>
                            </w:rPr>
                          </w:pPr>
                          <w:sdt>
                            <w:sdtPr>
                              <w:alias w:val="Numeris"/>
                              <w:tag w:val="nr_fb56c73ba1ea49829cce1759a294c0aa"/>
                              <w:lock w:val="sdtLocked"/>
                              <w:richText/>
                            </w:sdtPr>
                            <w:sdtContent>
                              <w:r>
                                <w:rPr>
                                  <w:rFonts w:eastAsia="Calibri"/>
                                  <w:bCs/>
                                  <w:sz w:val="22"/>
                                  <w:szCs w:val="22"/>
                                </w:rPr>
                                <w:t>14</w:t>
                              </w:r>
                            </w:sdtContent>
                          </w:sdt>
                          <w:r>
                            <w:rPr>
                              <w:rFonts w:eastAsia="Calibri"/>
                              <w:bCs/>
                              <w:sz w:val="22"/>
                              <w:szCs w:val="22"/>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a6f2c0cb752b4af58314d4ff25ebbc90"/>
                        <w:lock w:val="sdtLocked"/>
                        <w:richText/>
                      </w:sdtPr>
                      <w:sdtContent>
                        <w:p>
                          <w:pPr>
                            <w:tabs>
                              <w:tab w:val="left" w:pos="993"/>
                            </w:tabs>
                            <w:ind w:firstLine="720"/>
                            <w:jc w:val="both"/>
                            <w:rPr>
                              <w:sz w:val="22"/>
                              <w:szCs w:val="22"/>
                            </w:rPr>
                          </w:pPr>
                          <w:sdt>
                            <w:sdtPr>
                              <w:alias w:val="Numeris"/>
                              <w:tag w:val="nr_a6f2c0cb752b4af58314d4ff25ebbc90"/>
                              <w:lock w:val="sdtLocked"/>
                              <w:richText/>
                            </w:sdtPr>
                            <w:sdtContent>
                              <w:r>
                                <w:rPr>
                                  <w:sz w:val="22"/>
                                  <w:szCs w:val="22"/>
                                </w:rPr>
                                <w:t>18</w:t>
                              </w:r>
                            </w:sdtContent>
                          </w:sdt>
                          <w:r>
                            <w:rPr>
                              <w:sz w:val="22"/>
                              <w:szCs w:val="22"/>
                            </w:rPr>
                            <w:t xml:space="preserve">) sprendžia klausimus dėl finansų rinką reglamentuojančiuose įstatymuose </w:t>
                          </w:r>
                          <w:r>
                            <w:rPr>
                              <w:bCs/>
                              <w:sz w:val="22"/>
                              <w:szCs w:val="22"/>
                            </w:rPr>
                            <w:t>ir Europos Sąjungos teisės aktuose</w:t>
                          </w:r>
                          <w:r>
                            <w:rPr>
                              <w:sz w:val="22"/>
                              <w:szCs w:val="22"/>
                            </w:rPr>
                            <w:t xml:space="preserve"> nustatytų licencijų, leidimų, sutikimų, pritarimų, neprieštaravimų išdavimo, jų galiojimo sustabdymo, galiojimo sustabdymo panaikinimo ir atšaukimo (galiojimo panaikinimo);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2"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43"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5"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6"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7"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8"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50"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51"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4"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004030c27211ea9815f635b9c0dcef">
                    <w:r w:rsidRPr="00532B9F">
                      <w:rPr>
                        <w:rFonts w:ascii="Times New Roman" w:eastAsia="MS Mincho" w:hAnsi="Times New Roman"/>
                        <w:sz w:val="20"/>
                        <w:i/>
                        <w:iCs/>
                        <w:color w:val="0000FF" w:themeColor="hyperlink"/>
                        <w:u w:val="single"/>
                      </w:rPr>
                      <w:t>XIII-3189</w:t>
                    </w:r>
                  </w:fldSimple>
                  <w:r>
                    <w:rPr>
                      <w:rFonts w:ascii="Times New Roman" w:eastAsia="MS Mincho" w:hAnsi="Times New Roman"/>
                      <w:sz w:val="20"/>
                      <w:i/>
                      <w:iCs/>
                    </w:rPr>
                    <w:t>,
2020-06-26,
paskelbta TAR 2020-07-10, i. k. 2020-15512            </w:t>
                  </w:r>
                </w:p>
                <w:p/>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9"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7"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8"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63"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4"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1"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62"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e11e3d00bd1e43529fdbfa857be62b0d"/>
                <w:lock w:val="sdtLocked"/>
                <w:richText/>
              </w:sdtPr>
              <w:sdtContent>
                <w:p>
                  <w:pPr>
                    <w:ind w:firstLine="720"/>
                    <w:jc w:val="both"/>
                    <w:rPr>
                      <w:sz w:val="22"/>
                    </w:rPr>
                  </w:pPr>
                  <w:sdt>
                    <w:sdtPr>
                      <w:alias w:val="Numeris"/>
                      <w:tag w:val="nr_e11e3d00bd1e43529fdbfa857be62b0d"/>
                      <w:lock w:val="sdtLocked"/>
                      <w:richText/>
                    </w:sdtPr>
                    <w:sdtContent>
                      <w:r>
                        <w:rPr>
                          <w:b/>
                          <w:sz w:val="22"/>
                        </w:rPr>
                        <w:t>19</w:t>
                      </w:r>
                    </w:sdtContent>
                  </w:sdt>
                  <w:r>
                    <w:rPr>
                      <w:b/>
                      <w:sz w:val="22"/>
                    </w:rPr>
                    <w:t xml:space="preserve"> straipsnis. </w:t>
                  </w:r>
                  <w:sdt>
                    <w:sdtPr>
                      <w:alias w:val="Pavadinimas"/>
                      <w:tag w:val="title_e11e3d00bd1e43529fdbfa857be62b0d"/>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854fc62711864b259101a77402f1ee35"/>
                <w:lock w:val="sdtLocked"/>
                <w:richText/>
              </w:sdtPr>
              <w:sdtContent>
                <w:p>
                  <w:pPr>
                    <w:ind w:firstLine="720"/>
                    <w:jc w:val="both"/>
                    <w:rPr>
                      <w:b/>
                      <w:sz w:val="22"/>
                    </w:rPr>
                  </w:pPr>
                  <w:sdt>
                    <w:sdtPr>
                      <w:alias w:val="Numeris"/>
                      <w:tag w:val="nr_854fc62711864b259101a77402f1ee35"/>
                      <w:lock w:val="sdtLocked"/>
                      <w:richText/>
                    </w:sdtPr>
                    <w:sdtContent>
                      <w:r>
                        <w:rPr>
                          <w:b/>
                          <w:sz w:val="22"/>
                        </w:rPr>
                        <w:t>20</w:t>
                      </w:r>
                    </w:sdtContent>
                  </w:sdt>
                  <w:r>
                    <w:rPr>
                      <w:b/>
                      <w:sz w:val="22"/>
                    </w:rPr>
                    <w:t xml:space="preserve"> straipsnis. </w:t>
                  </w:r>
                  <w:sdt>
                    <w:sdtPr>
                      <w:alias w:val="Pavadinimas"/>
                      <w:tag w:val="title_854fc62711864b259101a77402f1ee35"/>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2"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73"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7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75"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6"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7"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0"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7"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90"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91"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9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70"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7"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2b6315c626b24fc4b86ca70d5b0bddc1"/>
                    <w:lock w:val="sdtLocked"/>
                    <w:richText/>
                  </w:sdtPr>
                  <w:sdtContent>
                    <w:p>
                      <w:pPr>
                        <w:tabs>
                          <w:tab w:val="left" w:pos="993"/>
                        </w:tabs>
                        <w:ind w:firstLine="720"/>
                        <w:jc w:val="both"/>
                        <w:rPr>
                          <w:bCs/>
                          <w:sz w:val="22"/>
                          <w:szCs w:val="22"/>
                        </w:rPr>
                      </w:pPr>
                      <w:sdt>
                        <w:sdtPr>
                          <w:alias w:val="Numeris"/>
                          <w:tag w:val="nr_2b6315c626b24fc4b86ca70d5b0bddc1"/>
                          <w:lock w:val="sdtLocked"/>
                          <w:richText/>
                        </w:sdtPr>
                        <w:sdtContent>
                          <w:r>
                            <w:rPr>
                              <w:color w:val="000000"/>
                              <w:sz w:val="22"/>
                              <w:szCs w:val="22"/>
                            </w:rPr>
                            <w:t>1</w:t>
                          </w:r>
                        </w:sdtContent>
                      </w:sdt>
                      <w:r>
                        <w:rPr>
                          <w:color w:val="000000"/>
                          <w:sz w:val="22"/>
                          <w:szCs w:val="22"/>
                        </w:rPr>
                        <w:t xml:space="preserve">. </w:t>
                      </w:r>
                      <w:r>
                        <w:rPr>
                          <w:sz w:val="22"/>
                          <w:szCs w:val="22"/>
                        </w:rPr>
                        <w:t>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profesinių pensijų asociacijos (toliau – pensijų asociacijos), kontroliuojančiosios investicinės bendrovės, investicinės kontroliuojančiosios bendrovės, mišrią veiklą vykdančios kontroliuojančiosios bendrovės ir emitentai, mokėjimo įstaigos ir mokėjimo įstaigų tarpininkai, vartojimo kredito davėjai, vartojimo kredito tarpininkai, kredito davėjai, tarpusavio skolinimo platformos operatoriai ir kredito tarpininkai, sutelktinio finansavimo platformų operatoriai, sutelktinio finansavimo paslaugų teikėjai, mokėjimo ir vertybinių popierių atsiskaitymo sistemų operatoriai, nacionalinės plėtros įstaigos, valiutos keityklų operatoriai, mišrios veiklos finansų kontroliuojančiosios įmonės, įsteigtos Lietuvos Respublikoje, finansų kontroliuojančiosios bendrovės, įsteigtos Lietuvos Respublikoje</w:t>
                      </w:r>
                      <w:r>
                        <w:rPr>
                          <w:color w:val="000000"/>
                          <w:sz w:val="22"/>
                          <w:szCs w:val="22"/>
                        </w:rPr>
                        <w:t xml:space="preserve">, padengtųjų obligacijų bendrovės, pakeitimo vertybiniais popieriais bendrovės, pakeitimo vertybiniais popieriais iniciatoriai, </w:t>
                      </w:r>
                      <w:r>
                        <w:rPr>
                          <w:sz w:val="22"/>
                          <w:szCs w:val="22"/>
                        </w:rPr>
                        <w:t>pakeitimo vertybiniais popieriais rėmėjai, pirminiai skolintojai</w:t>
                      </w:r>
                      <w:r>
                        <w:rPr>
                          <w:color w:val="000000"/>
                          <w:sz w:val="22"/>
                          <w:szCs w:val="22"/>
                        </w:rPr>
                        <w:t xml:space="preserve"> ir trečiosios šalys, tikrinančios pakeitimo vertybiniais popieriais atitiktį paprastiems, skaidriems ir standartizuotiems kriterijams (toliau – PSS kriterijai).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8c64eb7dc2924a93bfbdac7ed255776a"/>
                        <w:lock w:val="sdtLocked"/>
                        <w:richText/>
                      </w:sdtPr>
                      <w:sdtContent>
                        <w:p>
                          <w:pPr>
                            <w:ind w:firstLine="720"/>
                            <w:jc w:val="both"/>
                            <w:rPr>
                              <w:bCs/>
                              <w:sz w:val="22"/>
                              <w:szCs w:val="22"/>
                            </w:rPr>
                          </w:pPr>
                          <w:sdt>
                            <w:sdtPr>
                              <w:alias w:val="Numeris"/>
                              <w:tag w:val="nr_8c64eb7dc2924a93bfbdac7ed255776a"/>
                              <w:lock w:val="sdtLocked"/>
                              <w:richText/>
                            </w:sdtPr>
                            <w:sdtContent>
                              <w:r>
                                <w:rPr>
                                  <w:bCs/>
                                  <w:sz w:val="22"/>
                                  <w:szCs w:val="22"/>
                                </w:rPr>
                                <w:t>1</w:t>
                              </w:r>
                            </w:sdtContent>
                          </w:sdt>
                          <w:r>
                            <w:rPr>
                              <w:bCs/>
                              <w:sz w:val="22"/>
                              <w:szCs w:val="22"/>
                            </w:rPr>
                            <w:t>) atlieka bankų, užsienio valstybių bankų filialų, įsteigtų Lietuvos Respublikoje, centrinių kredito unijų, kredito unijų priežiūrą ir kitas Lietuvos Respublikos bankų įstatymo, Lietuvos Respublikos centrinių kredito unijų įstatymo ir Lietuvos Respublikos kredito unijų įstatymo Lietuvos bankui priskirtas funkcijas;</w:t>
                          </w:r>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571199fe782484c84fdc82e8ef87ee5"/>
                        <w:lock w:val="sdtLocked"/>
                        <w:richText/>
                      </w:sdtPr>
                      <w:sdtContent>
                        <w:p>
                          <w:pPr>
                            <w:ind w:firstLine="720"/>
                            <w:jc w:val="both"/>
                            <w:rPr>
                              <w:bCs/>
                              <w:sz w:val="22"/>
                              <w:szCs w:val="22"/>
                            </w:rPr>
                          </w:pPr>
                          <w:sdt>
                            <w:sdtPr>
                              <w:alias w:val="Numeris"/>
                              <w:tag w:val="nr_3571199fe782484c84fdc82e8ef87ee5"/>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2b5b554ebb964916bfca1520eef08dae"/>
                        <w:lock w:val="sdtLocked"/>
                        <w:richText/>
                      </w:sdtPr>
                      <w:sdtContent>
                        <w:p>
                          <w:pPr>
                            <w:tabs>
                              <w:tab w:val="left" w:pos="993"/>
                            </w:tabs>
                            <w:ind w:firstLine="720"/>
                            <w:jc w:val="both"/>
                            <w:rPr>
                              <w:bCs/>
                              <w:sz w:val="22"/>
                              <w:szCs w:val="22"/>
                            </w:rPr>
                          </w:pPr>
                          <w:sdt>
                            <w:sdtPr>
                              <w:alias w:val="Numeris"/>
                              <w:tag w:val="nr_2b5b554ebb964916bfca1520eef08dae"/>
                              <w:lock w:val="sdtLocked"/>
                              <w:richText/>
                            </w:sdtPr>
                            <w:sdtContent>
                              <w:r>
                                <w:rPr>
                                  <w:bCs/>
                                  <w:sz w:val="22"/>
                                  <w:szCs w:val="22"/>
                                </w:rPr>
                                <w:t>4</w:t>
                              </w:r>
                            </w:sdtContent>
                          </w:sdt>
                          <w:r>
                            <w:rPr>
                              <w:bCs/>
                              <w:sz w:val="22"/>
                              <w:szCs w:val="22"/>
                            </w:rPr>
                            <w:t>) 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ccff1aa9e8a14ef0832337cb8013a308"/>
                        <w:lock w:val="sdtLocked"/>
                        <w:richText/>
                      </w:sdtPr>
                      <w:sdtContent>
                        <w:p>
                          <w:pPr>
                            <w:ind w:firstLine="720"/>
                            <w:jc w:val="both"/>
                            <w:rPr>
                              <w:bCs/>
                              <w:sz w:val="22"/>
                              <w:szCs w:val="22"/>
                            </w:rPr>
                          </w:pPr>
                          <w:sdt>
                            <w:sdtPr>
                              <w:alias w:val="Numeris"/>
                              <w:tag w:val="nr_ccff1aa9e8a14ef0832337cb8013a308"/>
                              <w:lock w:val="sdtLocked"/>
                              <w:richText/>
                            </w:sdtPr>
                            <w:sdtContent>
                              <w:r>
                                <w:rPr>
                                  <w:rFonts w:eastAsia="Calibri"/>
                                  <w:bCs/>
                                  <w:sz w:val="22"/>
                                  <w:szCs w:val="22"/>
                                </w:rPr>
                                <w:t>6</w:t>
                              </w:r>
                            </w:sdtContent>
                          </w:sdt>
                          <w:r>
                            <w:rPr>
                              <w:rFonts w:eastAsia="Calibri"/>
                              <w:bCs/>
                              <w:sz w:val="22"/>
                              <w:szCs w:val="22"/>
                            </w:rPr>
                            <w:t xml:space="preserve">) </w:t>
                          </w:r>
                          <w:r>
                            <w:rPr>
                              <w:rFonts w:eastAsia="Calibri"/>
                              <w:sz w:val="22"/>
                              <w:szCs w:val="22"/>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3d66123bcf5e473cbffb2d6ee9df658b"/>
                        <w:lock w:val="sdtLocked"/>
                        <w:richText/>
                      </w:sdtPr>
                      <w:sdtContent>
                        <w:p>
                          <w:pPr>
                            <w:ind w:firstLine="720"/>
                            <w:jc w:val="both"/>
                            <w:rPr>
                              <w:bCs/>
                              <w:sz w:val="22"/>
                              <w:szCs w:val="22"/>
                            </w:rPr>
                          </w:pPr>
                          <w:sdt>
                            <w:sdtPr>
                              <w:alias w:val="Numeris"/>
                              <w:tag w:val="nr_3d66123bcf5e473cbffb2d6ee9df658b"/>
                              <w:lock w:val="sdtLocked"/>
                              <w:richText/>
                            </w:sdtPr>
                            <w:sdtContent>
                              <w:r>
                                <w:rPr>
                                  <w:color w:val="000000"/>
                                  <w:sz w:val="22"/>
                                  <w:szCs w:val="22"/>
                                </w:rPr>
                                <w:t>10</w:t>
                              </w:r>
                            </w:sdtContent>
                          </w:sdt>
                          <w:r>
                            <w:rPr>
                              <w:color w:val="000000"/>
                              <w:sz w:val="22"/>
                              <w:szCs w:val="22"/>
                            </w:rPr>
                            <w:t xml:space="preserve">) atlieka Reglamento (EB) Nr. 1060/2009, Reglamento (ES) Nr. 1286/2014, Reglamento (ES) 2017/1131, Reglamento </w:t>
                          </w:r>
                          <w:r>
                            <w:rPr>
                              <w:color w:val="000000"/>
                              <w:sz w:val="22"/>
                              <w:szCs w:val="22"/>
                              <w:lang w:eastAsia="lt-LT"/>
                            </w:rPr>
                            <w:t>(ES) 2017/2394</w:t>
                          </w:r>
                          <w:r>
                            <w:rPr>
                              <w:rFonts w:ascii="Tahoma" w:hAnsi="Tahoma" w:cs="Tahoma"/>
                              <w:color w:val="000000"/>
                              <w:sz w:val="22"/>
                              <w:szCs w:val="22"/>
                              <w:lang w:eastAsia="lt-LT"/>
                            </w:rPr>
                            <w:t xml:space="preserve"> </w:t>
                          </w:r>
                          <w:r>
                            <w:rPr>
                              <w:color w:val="000000"/>
                              <w:sz w:val="22"/>
                              <w:szCs w:val="22"/>
                            </w:rPr>
                            <w:t>kompetentingai institucijai priskirtas funkcijas, kiek tai susiję su Lietuvos banko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sdtContent>
                    </w:sdt>
                    <w:sdt>
                      <w:sdtPr>
                        <w:alias w:val="42 str. 2 d. 11 p."/>
                        <w:tag w:val="part_8f53e3f54cb1455a9ebbc6698371dacf"/>
                        <w:lock w:val="sdtLocked"/>
                        <w:richText/>
                      </w:sdtPr>
                      <w:sdtContent>
                        <w:p>
                          <w:pPr>
                            <w:tabs>
                              <w:tab w:val="left" w:pos="993"/>
                            </w:tabs>
                            <w:ind w:firstLine="720"/>
                            <w:jc w:val="both"/>
                            <w:rPr>
                              <w:bCs/>
                              <w:sz w:val="22"/>
                              <w:szCs w:val="22"/>
                            </w:rPr>
                          </w:pPr>
                          <w:sdt>
                            <w:sdtPr>
                              <w:alias w:val="Numeris"/>
                              <w:tag w:val="nr_8f53e3f54cb1455a9ebbc6698371dacf"/>
                              <w:lock w:val="sdtLocked"/>
                              <w:richText/>
                            </w:sdtPr>
                            <w:sdtContent>
                              <w:r>
                                <w:rPr>
                                  <w:sz w:val="22"/>
                                  <w:szCs w:val="22"/>
                                </w:rPr>
                                <w:t>11</w:t>
                              </w:r>
                            </w:sdtContent>
                          </w:sdt>
                          <w:r>
                            <w:rPr>
                              <w:sz w:val="22"/>
                              <w:szCs w:val="22"/>
                            </w:rPr>
                            <w:t xml:space="preserve">) atlieka sutelktinio finansavimo platformos operatorių priežiūrą ir kitas Lietuvos Respublikos sutelktinio finansavimo įstatymo Lietuvos bankui priskirtas funkcijas, taip pat atlieka sutelktinio finansavimo paslaugų teikėjų priežiūrą ir kitas Reglamento </w:t>
                          </w:r>
                          <w:r>
                            <w:rPr>
                              <w:bCs/>
                              <w:sz w:val="22"/>
                              <w:szCs w:val="22"/>
                            </w:rPr>
                            <w:t>(ES) 2020/1503</w:t>
                          </w:r>
                          <w:r>
                            <w:rPr>
                              <w:sz w:val="22"/>
                              <w:szCs w:val="22"/>
                            </w:rPr>
                            <w:t xml:space="preserve">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42635e529bb84a2eb87d568b6899a343"/>
                        <w:lock w:val="sdtLocked"/>
                        <w:richText/>
                      </w:sdtPr>
                      <w:sdtContent>
                        <w:p>
                          <w:pPr>
                            <w:ind w:firstLine="720"/>
                            <w:jc w:val="both"/>
                          </w:pPr>
                          <w:sdt>
                            <w:sdtPr>
                              <w:alias w:val="Numeris"/>
                              <w:tag w:val="nr_42635e529bb84a2eb87d568b6899a343"/>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15 p."/>
                        <w:tag w:val="part_1759d1d63f3b4a58be751181c688b3c1"/>
                        <w:lock w:val="sdtLocked"/>
                        <w:richText/>
                      </w:sdtPr>
                      <w:sdtContent>
                        <w:p>
                          <w:pPr>
                            <w:ind w:firstLine="720"/>
                            <w:jc w:val="both"/>
                          </w:pPr>
                          <w:sdt>
                            <w:sdtPr>
                              <w:alias w:val="Numeris"/>
                              <w:tag w:val="nr_1759d1d63f3b4a58be751181c688b3c1"/>
                              <w:lock w:val="sdtLocked"/>
                              <w:richText/>
                            </w:sdtPr>
                            <w:sdtContent>
                              <w:r>
                                <w:rPr>
                                  <w:rFonts w:eastAsia="Calibri"/>
                                  <w:bCs/>
                                  <w:sz w:val="22"/>
                                  <w:szCs w:val="22"/>
                                </w:rPr>
                                <w:t>15</w:t>
                              </w:r>
                            </w:sdtContent>
                          </w:sdt>
                          <w:r>
                            <w:rPr>
                              <w:rFonts w:eastAsia="Calibri"/>
                              <w:bCs/>
                              <w:sz w:val="22"/>
                              <w:szCs w:val="22"/>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6 p."/>
                        <w:tag w:val="part_05d3ad08bbd64ed4a57dd13f417bda4b"/>
                        <w:lock w:val="sdtLocked"/>
                        <w:richText/>
                      </w:sdtPr>
                      <w:sdtContent>
                        <w:p>
                          <w:pPr>
                            <w:tabs>
                              <w:tab w:val="left" w:pos="993"/>
                            </w:tabs>
                            <w:ind w:firstLine="720"/>
                            <w:jc w:val="both"/>
                            <w:rPr>
                              <w:sz w:val="22"/>
                              <w:szCs w:val="22"/>
                            </w:rPr>
                          </w:pPr>
                          <w:sdt>
                            <w:sdtPr>
                              <w:alias w:val="Numeris"/>
                              <w:tag w:val="nr_05d3ad08bbd64ed4a57dd13f417bda4b"/>
                              <w:lock w:val="sdtLocked"/>
                              <w:richText/>
                            </w:sdtPr>
                            <w:sdtContent>
                              <w:r>
                                <w:rPr>
                                  <w:color w:val="000000"/>
                                  <w:sz w:val="22"/>
                                  <w:szCs w:val="22"/>
                                </w:rPr>
                                <w:t>16</w:t>
                              </w:r>
                            </w:sdtContent>
                          </w:sdt>
                          <w:r>
                            <w:rPr>
                              <w:color w:val="000000"/>
                              <w:sz w:val="22"/>
                              <w:szCs w:val="22"/>
                            </w:rPr>
                            <w:t>) atlieka padengtųjų obligacijų bendrovių, pakeitimo vertybiniais popieriais bendrovių ir pakeitimo vertybiniais popieriais iniciatorių, pakeitimo vertybiniais popieriais rėmėjų, pirminių skolintojų ir trečiųjų šalių, tikrinančių pakeitimo vertybiniais popieriais atitiktį PSS kriterijams, priežiūrą ir kitas Lietuvos Respublikos pakeitimo vertybiniais popieriais ir padengtųjų obligacijų įstatyme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5c064b716e7e4345938c029362e2b516"/>
                        <w:lock w:val="sdtLocked"/>
                        <w:richText/>
                      </w:sdtPr>
                      <w:sdtContent>
                        <w:p>
                          <w:pPr>
                            <w:tabs>
                              <w:tab w:val="left" w:pos="993"/>
                            </w:tabs>
                            <w:ind w:firstLine="720"/>
                            <w:jc w:val="both"/>
                            <w:rPr>
                              <w:rFonts w:eastAsia="Calibri"/>
                              <w:sz w:val="22"/>
                              <w:szCs w:val="22"/>
                            </w:rPr>
                          </w:pPr>
                          <w:sdt>
                            <w:sdtPr>
                              <w:alias w:val="Numeris"/>
                              <w:tag w:val="nr_5c064b716e7e4345938c029362e2b516"/>
                              <w:lock w:val="sdtLocked"/>
                              <w:richText/>
                            </w:sdtPr>
                            <w:sdtContent>
                              <w:r>
                                <w:rPr>
                                  <w:sz w:val="22"/>
                                  <w:szCs w:val="22"/>
                                </w:rPr>
                                <w:t>5</w:t>
                              </w:r>
                            </w:sdtContent>
                          </w:sdt>
                          <w:r>
                            <w:rPr>
                              <w:sz w:val="22"/>
                              <w:szCs w:val="22"/>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6 p."/>
                        <w:tag w:val="part_90150f93cbad4422a4d79d027d063960"/>
                        <w:lock w:val="sdtLocked"/>
                        <w:richText/>
                      </w:sdtPr>
                      <w:sdtContent>
                        <w:p>
                          <w:pPr>
                            <w:tabs>
                              <w:tab w:val="left" w:pos="993"/>
                            </w:tabs>
                            <w:ind w:firstLine="720"/>
                            <w:jc w:val="both"/>
                            <w:rPr>
                              <w:rFonts w:eastAsia="Calibri"/>
                              <w:sz w:val="22"/>
                              <w:szCs w:val="22"/>
                            </w:rPr>
                          </w:pPr>
                          <w:sdt>
                            <w:sdtPr>
                              <w:alias w:val="Numeris"/>
                              <w:tag w:val="nr_90150f93cbad4422a4d79d027d063960"/>
                              <w:lock w:val="sdtLocked"/>
                              <w:richText/>
                            </w:sdtPr>
                            <w:sdtContent>
                              <w:r>
                                <w:rPr>
                                  <w:sz w:val="22"/>
                                  <w:szCs w:val="22"/>
                                </w:rPr>
                                <w:t>6</w:t>
                              </w:r>
                            </w:sdtContent>
                          </w:sdt>
                          <w:r>
                            <w:rPr>
                              <w:sz w:val="22"/>
                              <w:szCs w:val="22"/>
                            </w:rPr>
                            <w:t>) šiame ir kituose finansų rinką reglamentuojančiuose įstatymuose ir Europos Sąjungos teisės aktuose nustatytais atvejais ir tvarka duoti privalomus nurodymus prižiūrimiems finansų rinkos dalyviams ir kitiems asmenims;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da7156fde656450caf0449e13b8aca59"/>
                    <w:lock w:val="sdtLocked"/>
                    <w:richText/>
                  </w:sdtPr>
                  <w:sdtContent>
                    <w:p>
                      <w:pPr>
                        <w:ind w:firstLine="720"/>
                        <w:jc w:val="both"/>
                        <w:rPr>
                          <w:bCs/>
                          <w:sz w:val="22"/>
                          <w:szCs w:val="22"/>
                        </w:rPr>
                      </w:pPr>
                      <w:sdt>
                        <w:sdtPr>
                          <w:alias w:val="Numeris"/>
                          <w:tag w:val="nr_da7156fde656450caf0449e13b8aca59"/>
                          <w:lock w:val="sdtLocked"/>
                          <w:richText/>
                        </w:sdtPr>
                        <w:sdtContent>
                          <w:r>
                            <w:rPr>
                              <w:bCs/>
                              <w:sz w:val="22"/>
                              <w:szCs w:val="22"/>
                            </w:rPr>
                            <w:t>7</w:t>
                          </w:r>
                        </w:sdtContent>
                      </w:sdt>
                      <w:r>
                        <w:rPr>
                          <w:bCs/>
                          <w:sz w:val="22"/>
                          <w:szCs w:val="22"/>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w:t>
                      </w:r>
                    </w:p>
                    <w:sdt>
                      <w:sdtPr>
                        <w:alias w:val="42 str. 7 d. 1 p."/>
                        <w:tag w:val="part_c253aa68f4d84699b84621fca7f8c5af"/>
                        <w:lock w:val="sdtLocked"/>
                        <w:richText/>
                      </w:sdtPr>
                      <w:sdtContent>
                        <w:p>
                          <w:pPr>
                            <w:ind w:firstLine="720"/>
                            <w:jc w:val="both"/>
                            <w:rPr>
                              <w:bCs/>
                              <w:sz w:val="22"/>
                              <w:szCs w:val="22"/>
                            </w:rPr>
                          </w:pPr>
                          <w:sdt>
                            <w:sdtPr>
                              <w:alias w:val="Numeris"/>
                              <w:tag w:val="nr_c253aa68f4d84699b84621fca7f8c5af"/>
                              <w:lock w:val="sdtLocked"/>
                              <w:richText/>
                            </w:sdtPr>
                            <w:sdtContent>
                              <w:r>
                                <w:rPr>
                                  <w:bCs/>
                                  <w:sz w:val="22"/>
                                  <w:szCs w:val="22"/>
                                </w:rPr>
                                <w:t>1</w:t>
                              </w:r>
                            </w:sdtContent>
                          </w:sdt>
                          <w:r>
                            <w:rPr>
                              <w:bCs/>
                              <w:sz w:val="22"/>
                              <w:szCs w:val="22"/>
                            </w:rPr>
                            <w:t>) duoti privalomus nurodymus informacijos prieglobos paslaugų teikėjui skubiai pašalinti informacijos prieglobos paslaugų teikėjo saugomą informaciją, kuri naudojama siekiant nelegaliai siūlyti įsigyti arba pasirašyti finansinių priemonių, teikti draudimo ir (arba) finansines paslaugas;</w:t>
                          </w:r>
                        </w:p>
                      </w:sdtContent>
                    </w:sdt>
                    <w:sdt>
                      <w:sdtPr>
                        <w:alias w:val="42 str. 7 d. 2 p."/>
                        <w:tag w:val="part_444001d0e75545c3871617b38f647e63"/>
                        <w:lock w:val="sdtLocked"/>
                        <w:richText/>
                      </w:sdtPr>
                      <w:sdtContent>
                        <w:p>
                          <w:pPr>
                            <w:ind w:firstLine="720"/>
                            <w:jc w:val="both"/>
                            <w:rPr>
                              <w:bCs/>
                              <w:sz w:val="22"/>
                              <w:szCs w:val="22"/>
                            </w:rPr>
                          </w:pPr>
                          <w:sdt>
                            <w:sdtPr>
                              <w:alias w:val="Numeris"/>
                              <w:tag w:val="nr_444001d0e75545c3871617b38f647e63"/>
                              <w:lock w:val="sdtLocked"/>
                              <w:richText/>
                            </w:sdtPr>
                            <w:sdtContent>
                              <w:r>
                                <w:rPr>
                                  <w:bCs/>
                                  <w:sz w:val="22"/>
                                  <w:szCs w:val="22"/>
                                </w:rPr>
                                <w:t>2</w:t>
                              </w:r>
                            </w:sdtContent>
                          </w:sdt>
                          <w:r>
                            <w:rPr>
                              <w:bCs/>
                              <w:sz w:val="22"/>
                              <w:szCs w:val="22"/>
                            </w:rPr>
                            <w:t>) duoti privalomus nurodymus tinklo paslaugų teikėjui skubiai panaikinti galimybę pasiekti informaciją, kuri naudojama siekiant nelegaliai siūlyti įsigyti arba pasirašyti finansinių priemonių, teikti draudimo ir (arba) finansines paslaugas.</w:t>
                          </w:r>
                        </w:p>
                      </w:sdtContent>
                    </w:sdt>
                  </w:sdtContent>
                </w:sdt>
                <w:sdt>
                  <w:sdtPr>
                    <w:alias w:val="42 str. 8 d."/>
                    <w:tag w:val="part_180083a8a059400593cc3eae4d0c823e"/>
                    <w:lock w:val="sdtLocked"/>
                    <w:richText/>
                  </w:sdtPr>
                  <w:sdtContent>
                    <w:p>
                      <w:pPr>
                        <w:ind w:firstLine="720"/>
                        <w:jc w:val="both"/>
                        <w:rPr>
                          <w:bCs/>
                          <w:sz w:val="22"/>
                          <w:szCs w:val="22"/>
                        </w:rPr>
                      </w:pPr>
                      <w:sdt>
                        <w:sdtPr>
                          <w:alias w:val="Numeris"/>
                          <w:tag w:val="nr_180083a8a059400593cc3eae4d0c823e"/>
                          <w:lock w:val="sdtLocked"/>
                          <w:richText/>
                        </w:sdtPr>
                        <w:sdtContent>
                          <w:r>
                            <w:rPr>
                              <w:bCs/>
                              <w:sz w:val="22"/>
                              <w:szCs w:val="22"/>
                            </w:rPr>
                            <w:t>8</w:t>
                          </w:r>
                        </w:sdtContent>
                      </w:sdt>
                      <w:r>
                        <w:rPr>
                          <w:bCs/>
                          <w:sz w:val="22"/>
                          <w:szCs w:val="22"/>
                        </w:rPr>
                        <w:t>. Lietuvos bankas, siekdamas atlikti šio straipsnio 7 dalyje nurodytus veiksmus, privalo pateikti prašymą išduoti leidimą atlikti veiksmus Vilniaus apygardos administraciniam teismui. Prašyme turi būti nurodytas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Vilniaus apygardos administracinio teismo nutartimi atmesti prašymą, turi teisę per 7 dienas apskųsti šią nutartį Lietuvos vyriausiajam administraciniam teismui. Lietuvos vyriausiasis administracinis teismas turi išnagrinėti skundą dėl Vilniaus apygardos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529614497114b059a721a8b2c80f4bc"/>
                    <w:lock w:val="sdtLocked"/>
                    <w:richText/>
                  </w:sdtPr>
                  <w:sdtContent>
                    <w:p>
                      <w:pPr>
                        <w:ind w:firstLine="720"/>
                        <w:jc w:val="both"/>
                        <w:rPr>
                          <w:bCs/>
                          <w:sz w:val="22"/>
                          <w:szCs w:val="22"/>
                        </w:rPr>
                      </w:pPr>
                      <w:sdt>
                        <w:sdtPr>
                          <w:alias w:val="Numeris"/>
                          <w:tag w:val="nr_5529614497114b059a721a8b2c80f4bc"/>
                          <w:lock w:val="sdtLocked"/>
                          <w:richText/>
                        </w:sdtPr>
                        <w:sdtContent>
                          <w:r>
                            <w:rPr>
                              <w:bCs/>
                              <w:sz w:val="22"/>
                              <w:szCs w:val="22"/>
                            </w:rPr>
                            <w:t>10</w:t>
                          </w:r>
                        </w:sdtContent>
                      </w:sdt>
                      <w:r>
                        <w:rPr>
                          <w:bCs/>
                          <w:sz w:val="22"/>
                          <w:szCs w:val="22"/>
                        </w:rPr>
                        <w:t>. Galimybių pasiekti informaciją, kuri naudojama siekiant nelegaliai siūlyti įsigyti arba pasirašyti finansinių priemonių, teikti draudimo ir (arba) finansines paslaugas, panaikinimo užtikrinimo tvarką nustato Lietuvos bankas.</w:t>
                      </w:r>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4"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5" w:history="1">
                        <w:r>
                          <w:rPr>
                            <w:i/>
                            <w:color w:val="0000FF"/>
                            <w:sz w:val="20"/>
                            <w:u w:val="single"/>
                          </w:rPr>
                          <w:t>XI-1666</w:t>
                        </w:r>
                      </w:hyperlink>
                      <w:r>
                        <w:rPr>
                          <w:i/>
                          <w:sz w:val="20"/>
                        </w:rPr>
                        <w:t>, 2011-11-17, Žin., 2011, Nr. 145-6812 (2011-12-01)</w:t>
                      </w:r>
                    </w:p>
                    <w:p>
                      <w:pPr>
                        <w:jc w:val="both"/>
                      </w:pPr>
                      <w:r>
                        <w:rPr>
                          <w:i/>
                          <w:sz w:val="20"/>
                        </w:rPr>
                        <w:t xml:space="preserve">Nr. </w:t>
                      </w:r>
                      <w:hyperlink r:id="rId166"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96ad6d6f2ade42689ce4c794970a8d30"/>
                    <w:lock w:val="sdtLocked"/>
                    <w:richText/>
                  </w:sdtPr>
                  <w:sdtContent>
                    <w:p>
                      <w:pPr>
                        <w:tabs>
                          <w:tab w:val="left" w:pos="284"/>
                        </w:tabs>
                        <w:ind w:firstLine="720"/>
                        <w:jc w:val="both"/>
                        <w:rPr>
                          <w:rFonts w:eastAsia="Calibri"/>
                          <w:sz w:val="22"/>
                          <w:szCs w:val="22"/>
                        </w:rPr>
                      </w:pPr>
                      <w:sdt>
                        <w:sdtPr>
                          <w:alias w:val="Numeris"/>
                          <w:tag w:val="nr_96ad6d6f2ade42689ce4c794970a8d30"/>
                          <w:lock w:val="sdtLocked"/>
                          <w:richText/>
                        </w:sdtPr>
                        <w:sdtContent>
                          <w:r>
                            <w:rPr>
                              <w:rFonts w:eastAsia="Calibri"/>
                              <w:sz w:val="22"/>
                              <w:szCs w:val="22"/>
                            </w:rPr>
                            <w:t>8</w:t>
                          </w:r>
                        </w:sdtContent>
                      </w:sdt>
                      <w:r>
                        <w:rPr>
                          <w:rFonts w:eastAsia="Calibri"/>
                          <w:sz w:val="22"/>
                          <w:szCs w:val="22"/>
                        </w:rPr>
                        <w:t>. Jeigu Lietuvos bankas priima sprendimą dėl veiksmų, kuriems atlikti reikalingas teismo leidimas, prašymas leisti atlikti šiuos veiksmus pateikiamas Vilniaus apygardos administraciniam teismui. Prašyme turi būti nurodytas juridinio asmens pavadinimas, įtariamų finansų rinką reglamentuojančių teisės aktų pažeidimų pobūdis ir numatomi patikrinimo veiksmai. Prie prašymo turi būti pridėti įrodymai, kuriais patvirtinami įtariami pažeidimai,</w:t>
                      </w:r>
                      <w:r>
                        <w:rPr>
                          <w:rFonts w:ascii="TimesLT" w:hAnsi="TimesLT"/>
                          <w:sz w:val="22"/>
                          <w:szCs w:val="22"/>
                        </w:rPr>
                        <w:t xml:space="preserve"> </w:t>
                      </w:r>
                      <w:r>
                        <w:rPr>
                          <w:rFonts w:eastAsia="Calibri"/>
                          <w:sz w:val="22"/>
                          <w:szCs w:val="22"/>
                        </w:rPr>
                        <w:t>finansų rinkos dalyvių veiklos trūkumai arba grėsmė finansų sistemos stabilumui ar kitiems viešiesiems interesams. Prašymą išduoti teismo leidimą rašytinio proceso tvarka nagrinėja Vilniaus apygardos administracinis teismas. Prašymas turi būti išnagrinėtas ir nutartis priimta ne vėliau kaip per 72 valandas nuo prašymo pateikimo momento. Lietuvos bankas, nesutinkantis su Vilniaus apygardos administracinio teismo teisėjo sprendimu atmesti prašymą, turi teisę per 7 dienas apskųsti teismo nutartį Lietuvos vyriausiajam administraciniam teismui. Lietuvos vyriausiasis administracinis teismas turi išnagrinėti skundą dėl Vilniaus apygardos 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491cb0e8c59d4940a1d5e5a39bf26bac"/>
                    <w:lock w:val="sdtLocked"/>
                    <w:richText/>
                  </w:sdtPr>
                  <w:sdtContent>
                    <w:p>
                      <w:pPr>
                        <w:ind w:firstLine="720"/>
                        <w:jc w:val="both"/>
                        <w:rPr>
                          <w:rFonts w:eastAsia="Calibri"/>
                          <w:sz w:val="22"/>
                          <w:szCs w:val="22"/>
                        </w:rPr>
                      </w:pPr>
                      <w:sdt>
                        <w:sdtPr>
                          <w:alias w:val="Numeris"/>
                          <w:tag w:val="nr_491cb0e8c59d4940a1d5e5a39bf26bac"/>
                          <w:lock w:val="sdtLocked"/>
                          <w:richText/>
                        </w:sdtPr>
                        <w:sdtContent>
                          <w:r>
                            <w:rPr>
                              <w:rFonts w:eastAsia="Calibri"/>
                              <w:bCs/>
                              <w:sz w:val="22"/>
                              <w:szCs w:val="22"/>
                            </w:rPr>
                            <w:t>6</w:t>
                          </w:r>
                        </w:sdtContent>
                      </w:sdt>
                      <w:r>
                        <w:rPr>
                          <w:rFonts w:eastAsia="Calibri"/>
                          <w:bCs/>
                          <w:sz w:val="22"/>
                          <w:szCs w:val="22"/>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432fd19d7454350acb574c3c8dc00e7"/>
                        <w:lock w:val="sdtLocked"/>
                        <w:richText/>
                      </w:sdtPr>
                      <w:sdtContent>
                        <w:p>
                          <w:pPr>
                            <w:tabs>
                              <w:tab w:val="left" w:pos="993"/>
                            </w:tabs>
                            <w:ind w:firstLine="720"/>
                            <w:jc w:val="both"/>
                            <w:rPr>
                              <w:rFonts w:eastAsia="Calibri"/>
                              <w:sz w:val="22"/>
                              <w:szCs w:val="22"/>
                            </w:rPr>
                          </w:pPr>
                          <w:sdt>
                            <w:sdtPr>
                              <w:alias w:val="Numeris"/>
                              <w:tag w:val="nr_9432fd19d7454350acb574c3c8dc00e7"/>
                              <w:lock w:val="sdtLocked"/>
                              <w:richText/>
                            </w:sdtPr>
                            <w:sdtContent>
                              <w:r>
                                <w:rPr>
                                  <w:bCs/>
                                  <w:sz w:val="22"/>
                                  <w:szCs w:val="22"/>
                                </w:rPr>
                                <w:t>5</w:t>
                              </w:r>
                            </w:sdtContent>
                          </w:sdt>
                          <w:r>
                            <w:rPr>
                              <w:bCs/>
                              <w:sz w:val="22"/>
                              <w:szCs w:val="22"/>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6 p."/>
                        <w:tag w:val="part_894ef701bb6a4b7b99514da6d6a4d4a9"/>
                        <w:lock w:val="sdtLocked"/>
                        <w:richText/>
                      </w:sdtPr>
                      <w:sdtContent>
                        <w:p>
                          <w:pPr>
                            <w:tabs>
                              <w:tab w:val="left" w:pos="993"/>
                            </w:tabs>
                            <w:ind w:firstLine="720"/>
                            <w:jc w:val="both"/>
                            <w:rPr>
                              <w:rFonts w:eastAsia="Calibri"/>
                              <w:sz w:val="22"/>
                              <w:szCs w:val="22"/>
                            </w:rPr>
                          </w:pPr>
                          <w:sdt>
                            <w:sdtPr>
                              <w:alias w:val="Numeris"/>
                              <w:tag w:val="nr_894ef701bb6a4b7b99514da6d6a4d4a9"/>
                              <w:lock w:val="sdtLocked"/>
                              <w:richText/>
                            </w:sdtPr>
                            <w:sdtContent>
                              <w:r>
                                <w:rPr>
                                  <w:bCs/>
                                  <w:sz w:val="22"/>
                                  <w:szCs w:val="22"/>
                                </w:rPr>
                                <w:t>6</w:t>
                              </w:r>
                            </w:sdtContent>
                          </w:sdt>
                          <w:r>
                            <w:rPr>
                              <w:bCs/>
                              <w:sz w:val="22"/>
                              <w:szCs w:val="22"/>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25e904ae273749b5b621ae2ebfc7b85f"/>
                        <w:lock w:val="sdtLocked"/>
                        <w:richText/>
                      </w:sdtPr>
                      <w:sdtContent>
                        <w:p>
                          <w:pPr>
                            <w:ind w:firstLine="720"/>
                            <w:jc w:val="both"/>
                            <w:rPr>
                              <w:sz w:val="22"/>
                              <w:szCs w:val="22"/>
                            </w:rPr>
                          </w:pPr>
                          <w:sdt>
                            <w:sdtPr>
                              <w:alias w:val="Numeris"/>
                              <w:tag w:val="nr_25e904ae273749b5b621ae2ebfc7b85f"/>
                              <w:lock w:val="sdtLocked"/>
                              <w:richText/>
                            </w:sdtPr>
                            <w:sdtContent>
                              <w:r>
                                <w:rPr>
                                  <w:rFonts w:eastAsia="Calibri"/>
                                  <w:bCs/>
                                  <w:sz w:val="22"/>
                                  <w:szCs w:val="22"/>
                                </w:rPr>
                                <w:t>9</w:t>
                              </w:r>
                            </w:sdtContent>
                          </w:sdt>
                          <w:r>
                            <w:rPr>
                              <w:rFonts w:eastAsia="Calibri"/>
                              <w:bCs/>
                              <w:sz w:val="22"/>
                              <w:szCs w:val="22"/>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0 p."/>
                        <w:tag w:val="part_3299448453c941c1afa24fb3bdab3e6e"/>
                        <w:lock w:val="sdtLocked"/>
                        <w:richText/>
                      </w:sdtPr>
                      <w:sdtContent>
                        <w:p>
                          <w:pPr>
                            <w:ind w:firstLine="720"/>
                            <w:jc w:val="both"/>
                            <w:rPr>
                              <w:rFonts w:eastAsia="Calibri"/>
                              <w:sz w:val="22"/>
                              <w:szCs w:val="22"/>
                            </w:rPr>
                          </w:pPr>
                          <w:sdt>
                            <w:sdtPr>
                              <w:alias w:val="Numeris"/>
                              <w:tag w:val="nr_3299448453c941c1afa24fb3bdab3e6e"/>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 w:val="22"/>
                              <w:szCs w:val="22"/>
                            </w:rPr>
                            <w:t>su visais pakeitimais)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1 p."/>
                        <w:tag w:val="part_4e1edf069d2b4408a2beb74173d394a7"/>
                        <w:lock w:val="sdtLocked"/>
                        <w:richText/>
                      </w:sdtPr>
                      <w:sdtContent>
                        <w:p>
                          <w:pPr>
                            <w:ind w:firstLine="720"/>
                            <w:jc w:val="both"/>
                            <w:rPr>
                              <w:rFonts w:eastAsia="Calibri"/>
                              <w:sz w:val="22"/>
                              <w:szCs w:val="22"/>
                            </w:rPr>
                          </w:pPr>
                          <w:sdt>
                            <w:sdtPr>
                              <w:alias w:val="Numeris"/>
                              <w:tag w:val="nr_4e1edf069d2b4408a2beb74173d394a7"/>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 w:val="22"/>
                              <w:szCs w:val="22"/>
                            </w:rPr>
                            <w:t xml:space="preserve"> (su visais pakeitimais)</w:t>
                          </w:r>
                          <w:r>
                            <w:rPr>
                              <w:rFonts w:eastAsia="Calibri"/>
                              <w:sz w:val="22"/>
                              <w:szCs w:val="22"/>
                            </w:rPr>
                            <w:t>, atlikti, o kritinėmis situacijomis –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35ac06cfb47a406ca1b6131b224a9c9e"/>
                        <w:lock w:val="sdtLocked"/>
                        <w:richText/>
                      </w:sdtPr>
                      <w:sdtContent>
                        <w:p>
                          <w:pPr>
                            <w:ind w:firstLine="720"/>
                            <w:jc w:val="both"/>
                            <w:rPr>
                              <w:rFonts w:eastAsia="Calibri"/>
                              <w:sz w:val="22"/>
                              <w:szCs w:val="22"/>
                            </w:rPr>
                          </w:pPr>
                          <w:sdt>
                            <w:sdtPr>
                              <w:alias w:val="Numeris"/>
                              <w:tag w:val="nr_35ac06cfb47a406ca1b6131b224a9c9e"/>
                              <w:lock w:val="sdtLocked"/>
                              <w:richText/>
                            </w:sdtPr>
                            <w:sdtContent>
                              <w:r>
                                <w:rPr>
                                  <w:rFonts w:eastAsia="Calibri"/>
                                  <w:sz w:val="22"/>
                                  <w:szCs w:val="22"/>
                                </w:rPr>
                                <w:t>13</w:t>
                              </w:r>
                            </w:sdtContent>
                          </w:sdt>
                          <w:r>
                            <w:rPr>
                              <w:rFonts w:eastAsia="Calibri"/>
                              <w:sz w:val="22"/>
                              <w:szCs w:val="22"/>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 w:val="22"/>
                              <w:szCs w:val="22"/>
                            </w:rPr>
                            <w:t xml:space="preserve"> (su visais pakeitimais)</w:t>
                          </w:r>
                          <w:r>
                            <w:rPr>
                              <w:rFonts w:eastAsia="Calibri"/>
                              <w:sz w:val="22"/>
                              <w:szCs w:val="22"/>
                            </w:rPr>
                            <w:t xml:space="preserve"> 113 straipsnio 7 dalyje,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d8a807398a3e4730978bb8b2e4630742"/>
                        <w:lock w:val="sdtLocked"/>
                        <w:richText/>
                      </w:sdtPr>
                      <w:sdtContent>
                        <w:p>
                          <w:pPr>
                            <w:ind w:firstLine="720"/>
                            <w:jc w:val="both"/>
                            <w:rPr>
                              <w:rFonts w:eastAsia="Calibri"/>
                              <w:sz w:val="22"/>
                              <w:szCs w:val="22"/>
                            </w:rPr>
                          </w:pPr>
                          <w:sdt>
                            <w:sdtPr>
                              <w:alias w:val="Numeris"/>
                              <w:tag w:val="nr_d8a807398a3e4730978bb8b2e4630742"/>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10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 w:val="22"/>
                              <w:szCs w:val="22"/>
                            </w:rPr>
                            <w:t xml:space="preserve"> </w:t>
                          </w:r>
                          <w:r>
                            <w:rPr>
                              <w:rFonts w:eastAsia="Calibri"/>
                              <w:sz w:val="22"/>
                              <w:szCs w:val="22"/>
                            </w:rPr>
                            <w:t>kredito įstaigų, finansų įstaigų, investicines ir draudimo paslaugas teikiančių bendrovių priežiūra,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647bf12006c9411ea3113bf650f34387"/>
                        <w:lock w:val="sdtLocked"/>
                        <w:richText/>
                      </w:sdtPr>
                      <w:sdtContent>
                        <w:p>
                          <w:pPr>
                            <w:ind w:firstLine="720"/>
                            <w:jc w:val="both"/>
                          </w:pPr>
                          <w:sdt>
                            <w:sdtPr>
                              <w:alias w:val="Numeris"/>
                              <w:tag w:val="nr_647bf12006c9411ea3113bf650f34387"/>
                              <w:lock w:val="sdtLocked"/>
                              <w:richText/>
                            </w:sdtPr>
                            <w:sdtContent>
                              <w:r>
                                <w:rPr>
                                  <w:rFonts w:eastAsia="Calibri"/>
                                  <w:sz w:val="22"/>
                                  <w:szCs w:val="22"/>
                                </w:rPr>
                                <w:t>18</w:t>
                              </w:r>
                            </w:sdtContent>
                          </w:sdt>
                          <w:r>
                            <w:rPr>
                              <w:rFonts w:eastAsia="Calibri"/>
                              <w:sz w:val="22"/>
                              <w:szCs w:val="22"/>
                            </w:rPr>
                            <w:t>) kitoms valstybės institucijoms, jeigu ši informacija reikalinga jų funkcijoms atlikti ir jeigu tai būtina dėl finansų rinkos priežiūros, pažeidimų prevencijos arba prižiūrimų finansų rinkos dalyvių pertvarkymo;</w:t>
                          </w:r>
                        </w:p>
                      </w:sdtContent>
                    </w:sdt>
                    <w:sdt>
                      <w:sdtPr>
                        <w:alias w:val="19 p."/>
                        <w:tag w:val="part_64d499c34c7e4d0d9ae59520fff75d81"/>
                        <w:lock w:val="sdtLocked"/>
                        <w:richText/>
                      </w:sdtPr>
                      <w:sdtContent>
                        <w:p>
                          <w:pPr>
                            <w:ind w:firstLine="720"/>
                            <w:jc w:val="both"/>
                          </w:pPr>
                          <w:sdt>
                            <w:sdtPr>
                              <w:alias w:val="Numeris"/>
                              <w:tag w:val="nr_64d499c34c7e4d0d9ae59520fff75d81"/>
                              <w:lock w:val="sdtLocked"/>
                              <w:richText/>
                            </w:sdtPr>
                            <w:sdtContent>
                              <w:r>
                                <w:rPr>
                                  <w:rFonts w:eastAsia="Calibri"/>
                                  <w:bCs/>
                                  <w:sz w:val="22"/>
                                  <w:szCs w:val="22"/>
                                </w:rPr>
                                <w:t>19</w:t>
                              </w:r>
                            </w:sdtContent>
                          </w:sdt>
                          <w:r>
                            <w:rPr>
                              <w:rFonts w:eastAsia="Calibri"/>
                              <w:bCs/>
                              <w:sz w:val="22"/>
                              <w:szCs w:val="22"/>
                            </w:rPr>
                            <w:t>) Tarptautiniam valiutos fondui ir Pasaulio bankui, jeigu ji reikalinga konkrečioms jų funkcijoms, susijusioms su finansų sektoriaus vertinimo programai parengti atliekamais vertinimais,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0 p."/>
                        <w:tag w:val="part_a9d855bda1ea44f4a7e8b91aa0d8d36a"/>
                        <w:lock w:val="sdtLocked"/>
                        <w:richText/>
                      </w:sdtPr>
                      <w:sdtContent>
                        <w:p>
                          <w:pPr>
                            <w:ind w:firstLine="720"/>
                            <w:jc w:val="both"/>
                          </w:pPr>
                          <w:sdt>
                            <w:sdtPr>
                              <w:alias w:val="Numeris"/>
                              <w:tag w:val="nr_a9d855bda1ea44f4a7e8b91aa0d8d36a"/>
                              <w:lock w:val="sdtLocked"/>
                              <w:richText/>
                            </w:sdtPr>
                            <w:sdtContent>
                              <w:r>
                                <w:rPr>
                                  <w:rFonts w:eastAsia="Calibri"/>
                                  <w:bCs/>
                                  <w:sz w:val="22"/>
                                  <w:szCs w:val="22"/>
                                </w:rPr>
                                <w:t>20</w:t>
                              </w:r>
                            </w:sdtContent>
                          </w:sdt>
                          <w:r>
                            <w:rPr>
                              <w:rFonts w:eastAsia="Calibri"/>
                              <w:bCs/>
                              <w:sz w:val="22"/>
                              <w:szCs w:val="22"/>
                            </w:rPr>
                            <w:t>) Tarptautinių atsiskaitymų bankui, jeigu ji reikalinga konkrečioms jo funkcijoms, susijusioms su kiekybiniais poveikio tyrimais,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
                        <w:tag w:val="part_c01aa4878dcb4307af7d82ad0ed2d8d7"/>
                        <w:lock w:val="sdtLocked"/>
                        <w:richText/>
                      </w:sdtPr>
                      <w:sdtContent>
                        <w:p>
                          <w:pPr>
                            <w:ind w:firstLine="720"/>
                            <w:jc w:val="both"/>
                            <w:rPr>
                              <w:rFonts w:eastAsia="Calibri"/>
                              <w:sz w:val="22"/>
                              <w:szCs w:val="22"/>
                            </w:rPr>
                          </w:pPr>
                          <w:sdt>
                            <w:sdtPr>
                              <w:alias w:val="Numeris"/>
                              <w:tag w:val="nr_c01aa4878dcb4307af7d82ad0ed2d8d7"/>
                              <w:lock w:val="sdtLocked"/>
                              <w:richText/>
                            </w:sdtPr>
                            <w:sdtContent>
                              <w:r>
                                <w:rPr>
                                  <w:rFonts w:eastAsia="Calibri"/>
                                  <w:bCs/>
                                  <w:sz w:val="22"/>
                                  <w:szCs w:val="22"/>
                                </w:rPr>
                                <w:t>21</w:t>
                              </w:r>
                            </w:sdtContent>
                          </w:sdt>
                          <w:r>
                            <w:rPr>
                              <w:rFonts w:eastAsia="Calibri"/>
                              <w:bCs/>
                              <w:sz w:val="22"/>
                              <w:szCs w:val="22"/>
                            </w:rPr>
                            <w:t>) Finansinio stabilumo tarybai, jeigu ji reikalinga jos vykdomai priežiūrai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Content>
                </w:sdt>
                <w:sdt>
                  <w:sdtPr>
                    <w:alias w:val="43 str. 8 d."/>
                    <w:tag w:val="part_196e9a673d3c4558964ddedc060f2fd1"/>
                    <w:lock w:val="sdtLocked"/>
                    <w:richText/>
                  </w:sdtPr>
                  <w:sdtContent>
                    <w:p>
                      <w:pPr>
                        <w:ind w:firstLine="720"/>
                        <w:jc w:val="both"/>
                        <w:rPr>
                          <w:rFonts w:eastAsia="Calibri"/>
                          <w:sz w:val="22"/>
                          <w:szCs w:val="22"/>
                        </w:rPr>
                      </w:pPr>
                      <w:sdt>
                        <w:sdtPr>
                          <w:alias w:val="Numeris"/>
                          <w:tag w:val="nr_196e9a673d3c4558964ddedc060f2fd1"/>
                          <w:lock w:val="sdtLocked"/>
                          <w:richText/>
                        </w:sdtPr>
                        <w:sdtContent>
                          <w:r>
                            <w:rPr>
                              <w:rFonts w:eastAsia="Calibri"/>
                              <w:sz w:val="22"/>
                              <w:szCs w:val="22"/>
                            </w:rPr>
                            <w:t>8</w:t>
                          </w:r>
                        </w:sdtContent>
                      </w:sdt>
                      <w:r>
                        <w:rPr>
                          <w:rFonts w:eastAsia="Calibri"/>
                          <w:sz w:val="22"/>
                          <w:szCs w:val="22"/>
                        </w:rPr>
                        <w:t>. Šio straipsnio 7 dalies 3–7, 12, 14, 16</w:t>
                      </w:r>
                      <w:r>
                        <w:rPr>
                          <w:rFonts w:eastAsia="Calibri"/>
                          <w:bCs/>
                          <w:sz w:val="22"/>
                          <w:szCs w:val="22"/>
                        </w:rPr>
                        <w:t>–21</w:t>
                      </w:r>
                      <w:r>
                        <w:rPr>
                          <w:rFonts w:eastAsia="Calibri"/>
                          <w:sz w:val="22"/>
                          <w:szCs w:val="22"/>
                        </w:rPr>
                        <w:t xml:space="preserve"> punktuose nurodytoms institucijoms priežiūros tikslais gauta informacija gali būti perduodama, jeigu joms taikomi reikalavimai saugoti informaciją yra ne mažesni, negu nustatyta šiame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10 d."/>
                    <w:tag w:val="part_cd478a423b674d39aeb42cd66085b217"/>
                    <w:lock w:val="sdtLocked"/>
                    <w:richText/>
                  </w:sdtPr>
                  <w:sdtContent>
                    <w:p>
                      <w:pPr>
                        <w:ind w:firstLine="720"/>
                        <w:jc w:val="both"/>
                        <w:rPr>
                          <w:rFonts w:eastAsia="Calibri"/>
                          <w:sz w:val="22"/>
                          <w:szCs w:val="22"/>
                        </w:rPr>
                      </w:pPr>
                      <w:sdt>
                        <w:sdtPr>
                          <w:alias w:val="Numeris"/>
                          <w:tag w:val="nr_cd478a423b674d39aeb42cd66085b217"/>
                          <w:lock w:val="sdtLocked"/>
                          <w:richText/>
                        </w:sdtPr>
                        <w:sdtContent>
                          <w:r>
                            <w:rPr>
                              <w:rFonts w:eastAsia="Calibri"/>
                              <w:bCs/>
                              <w:sz w:val="22"/>
                              <w:szCs w:val="22"/>
                            </w:rPr>
                            <w:t>10</w:t>
                          </w:r>
                        </w:sdtContent>
                      </w:sdt>
                      <w:r>
                        <w:rPr>
                          <w:rFonts w:eastAsia="Calibri"/>
                          <w:bCs/>
                          <w:sz w:val="22"/>
                          <w:szCs w:val="22"/>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ir jos atskleidimo ar perdavimo būdas. Informacija perduodama tik prašymą pateikusios įstaigos nurodytiems asmenims, kurie atlieka su prašymą pateikusios įstaigos įgaliojimais tiesiogiai susijusias funkcijas. Informacija, iš kurios tiesiogiai ar netiesiogiai galima nustatyti konkrečių asmens duomenų, gali būti teikiama tik Lietuvos banko patalpose.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1 d."/>
                    <w:tag w:val="part_82c3dffeff12453ea9f04bbb42587502"/>
                    <w:lock w:val="sdtLocked"/>
                    <w:richText/>
                  </w:sdtPr>
                  <w:sdtContent>
                    <w:p>
                      <w:pPr>
                        <w:ind w:firstLine="720"/>
                        <w:jc w:val="both"/>
                        <w:rPr>
                          <w:rFonts w:eastAsia="Calibri"/>
                          <w:sz w:val="22"/>
                          <w:szCs w:val="22"/>
                        </w:rPr>
                      </w:pPr>
                      <w:sdt>
                        <w:sdtPr>
                          <w:alias w:val="Numeris"/>
                          <w:tag w:val="nr_82c3dffeff12453ea9f04bbb42587502"/>
                          <w:lock w:val="sdtLocked"/>
                          <w:richText/>
                        </w:sdtPr>
                        <w:sdtContent>
                          <w:r>
                            <w:rPr>
                              <w:rFonts w:eastAsia="Calibri"/>
                              <w:bCs/>
                              <w:sz w:val="22"/>
                              <w:szCs w:val="22"/>
                            </w:rPr>
                            <w:t>11</w:t>
                          </w:r>
                        </w:sdtContent>
                      </w:sdt>
                      <w:r>
                        <w:rPr>
                          <w:rFonts w:eastAsia="Calibri"/>
                          <w:bCs/>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2 d."/>
                    <w:tag w:val="part_960041c2c8a5458e89af9ab6bfdcda76"/>
                    <w:lock w:val="sdtLocked"/>
                    <w:richText/>
                  </w:sdtPr>
                  <w:sdtContent>
                    <w:p>
                      <w:pPr>
                        <w:ind w:firstLine="720"/>
                        <w:jc w:val="both"/>
                        <w:rPr>
                          <w:rFonts w:eastAsia="Calibri"/>
                          <w:sz w:val="22"/>
                          <w:szCs w:val="22"/>
                        </w:rPr>
                      </w:pPr>
                      <w:sdt>
                        <w:sdtPr>
                          <w:alias w:val="Numeris"/>
                          <w:tag w:val="nr_960041c2c8a5458e89af9ab6bfdcda76"/>
                          <w:lock w:val="sdtLocked"/>
                          <w:richText/>
                        </w:sdtPr>
                        <w:sdtContent>
                          <w:r>
                            <w:rPr>
                              <w:rFonts w:eastAsia="Calibri"/>
                              <w:sz w:val="22"/>
                              <w:szCs w:val="22"/>
                            </w:rPr>
                            <w:t>12</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3 d."/>
                    <w:tag w:val="part_664203525a774b3da1c5e0c28d854f29"/>
                    <w:lock w:val="sdtLocked"/>
                    <w:richText/>
                  </w:sdtPr>
                  <w:sdtContent>
                    <w:p>
                      <w:pPr>
                        <w:ind w:firstLine="720"/>
                        <w:jc w:val="both"/>
                        <w:rPr>
                          <w:rFonts w:eastAsia="Calibri"/>
                          <w:i/>
                          <w:color w:val="595959"/>
                          <w:sz w:val="22"/>
                          <w:szCs w:val="22"/>
                        </w:rPr>
                      </w:pPr>
                      <w:sdt>
                        <w:sdtPr>
                          <w:alias w:val="Numeris"/>
                          <w:tag w:val="nr_664203525a774b3da1c5e0c28d854f29"/>
                          <w:lock w:val="sdtLocked"/>
                          <w:richText/>
                        </w:sdtPr>
                        <w:sdtContent>
                          <w:r>
                            <w:rPr>
                              <w:rFonts w:eastAsia="Calibri"/>
                              <w:sz w:val="22"/>
                              <w:szCs w:val="22"/>
                            </w:rPr>
                            <w:t>13</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8" w:history="1">
                        <w:r>
                          <w:rPr>
                            <w:i/>
                            <w:color w:val="0000FF"/>
                            <w:sz w:val="20"/>
                            <w:u w:val="single"/>
                          </w:rPr>
                          <w:t>XI-557</w:t>
                        </w:r>
                      </w:hyperlink>
                      <w:r>
                        <w:rPr>
                          <w:i/>
                          <w:sz w:val="20"/>
                        </w:rPr>
                        <w:t>, 2009-12-10, Žin., 2009, Nr. 153-6895 (2009-12-28)</w:t>
                      </w:r>
                    </w:p>
                    <w:p>
                      <w:pPr>
                        <w:jc w:val="both"/>
                      </w:pPr>
                      <w:r>
                        <w:rPr>
                          <w:i/>
                          <w:sz w:val="20"/>
                        </w:rPr>
                        <w:t xml:space="preserve">Nr. </w:t>
                      </w:r>
                      <w:hyperlink r:id="rId169"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119580685823474bab378cbf5cc7a164"/>
                <w:lock w:val="sdtLocked"/>
                <w:richText/>
              </w:sdtPr>
              <w:sdtContent>
                <w:p>
                  <w:pPr>
                    <w:widowControl w:val="0"/>
                    <w:ind w:left="2552" w:hanging="1832"/>
                    <w:jc w:val="both"/>
                    <w:rPr>
                      <w:b/>
                      <w:sz w:val="22"/>
                      <w:szCs w:val="22"/>
                      <w:lang w:eastAsia="lt-LT"/>
                    </w:rPr>
                  </w:pPr>
                  <w:sdt>
                    <w:sdtPr>
                      <w:alias w:val="Numeris"/>
                      <w:tag w:val="nr_119580685823474bab378cbf5cc7a164"/>
                      <w:lock w:val="sdtLocked"/>
                      <w:richText/>
                    </w:sdtPr>
                    <w:sdtContent>
                      <w:r>
                        <w:rPr>
                          <w:b/>
                          <w:sz w:val="22"/>
                          <w:szCs w:val="22"/>
                          <w:lang w:eastAsia="lt-LT"/>
                        </w:rPr>
                        <w:t>43</w:t>
                      </w:r>
                      <w:r>
                        <w:rPr>
                          <w:b/>
                          <w:sz w:val="22"/>
                          <w:szCs w:val="22"/>
                          <w:vertAlign w:val="superscript"/>
                          <w:lang w:eastAsia="lt-LT"/>
                        </w:rPr>
                        <w:t>1</w:t>
                      </w:r>
                    </w:sdtContent>
                  </w:sdt>
                  <w:r>
                    <w:rPr>
                      <w:b/>
                      <w:sz w:val="22"/>
                      <w:szCs w:val="22"/>
                      <w:lang w:eastAsia="lt-LT"/>
                    </w:rPr>
                    <w:t xml:space="preserve"> straipsnis. </w:t>
                  </w:r>
                  <w:sdt>
                    <w:sdtPr>
                      <w:alias w:val="Pavadinimas"/>
                      <w:tag w:val="title_119580685823474bab378cbf5cc7a164"/>
                      <w:lock w:val="sdtLocked"/>
                      <w:richText/>
                    </w:sdtPr>
                    <w:sdtContent>
                      <w:r>
                        <w:rPr>
                          <w:b/>
                          <w:sz w:val="22"/>
                          <w:szCs w:val="22"/>
                          <w:lang w:eastAsia="lt-LT"/>
                        </w:rPr>
                        <w:t>Prašymų išduoti licenciją, leidimą, sutikimą arba atlikti kitus veiksmus nagrinėjimas ir Lietuvos banko sprendimai</w:t>
                      </w:r>
                    </w:sdtContent>
                  </w:sdt>
                </w:p>
                <w:sdt>
                  <w:sdtPr>
                    <w:alias w:val="43-1 str. 1 d."/>
                    <w:tag w:val="part_55b049e138d04af5bc6dfe4327cdde45"/>
                    <w:lock w:val="sdtLocked"/>
                    <w:richText/>
                  </w:sdtPr>
                  <w:sdtContent>
                    <w:p>
                      <w:pPr>
                        <w:widowControl w:val="0"/>
                        <w:tabs>
                          <w:tab w:val="left" w:pos="900"/>
                        </w:tabs>
                        <w:ind w:firstLine="720"/>
                        <w:jc w:val="both"/>
                        <w:rPr>
                          <w:sz w:val="22"/>
                          <w:szCs w:val="22"/>
                          <w:lang w:eastAsia="lt-LT"/>
                        </w:rPr>
                      </w:pPr>
                      <w:sdt>
                        <w:sdtPr>
                          <w:alias w:val="Numeris"/>
                          <w:tag w:val="nr_55b049e138d04af5bc6dfe4327cdde45"/>
                          <w:lock w:val="sdtLocked"/>
                          <w:richText/>
                        </w:sdtPr>
                        <w:sdtContent>
                          <w:r>
                            <w:rPr>
                              <w:sz w:val="22"/>
                              <w:szCs w:val="22"/>
                              <w:lang w:eastAsia="lt-LT"/>
                            </w:rPr>
                            <w:t>1</w:t>
                          </w:r>
                        </w:sdtContent>
                      </w:sdt>
                      <w:r>
                        <w:rPr>
                          <w:sz w:val="22"/>
                          <w:szCs w:val="22"/>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247a26486a34bedacdc4a59089e9395"/>
                    <w:lock w:val="sdtLocked"/>
                    <w:richText/>
                  </w:sdtPr>
                  <w:sdtContent>
                    <w:p>
                      <w:pPr>
                        <w:widowControl w:val="0"/>
                        <w:tabs>
                          <w:tab w:val="left" w:pos="900"/>
                        </w:tabs>
                        <w:ind w:firstLine="720"/>
                        <w:jc w:val="both"/>
                        <w:rPr>
                          <w:sz w:val="22"/>
                          <w:szCs w:val="22"/>
                          <w:lang w:eastAsia="lt-LT"/>
                        </w:rPr>
                      </w:pPr>
                      <w:sdt>
                        <w:sdtPr>
                          <w:alias w:val="Numeris"/>
                          <w:tag w:val="nr_1247a26486a34bedacdc4a59089e9395"/>
                          <w:lock w:val="sdtLocked"/>
                          <w:richText/>
                        </w:sdtPr>
                        <w:sdtContent>
                          <w:r>
                            <w:rPr>
                              <w:sz w:val="22"/>
                              <w:szCs w:val="22"/>
                              <w:lang w:eastAsia="lt-LT"/>
                            </w:rPr>
                            <w:t>2</w:t>
                          </w:r>
                        </w:sdtContent>
                      </w:sdt>
                      <w:r>
                        <w:rPr>
                          <w:sz w:val="22"/>
                          <w:szCs w:val="22"/>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e3a2560976dc45e6a00c7774709b68c8"/>
                    <w:lock w:val="sdtLocked"/>
                    <w:richText/>
                  </w:sdtPr>
                  <w:sdtContent>
                    <w:p>
                      <w:pPr>
                        <w:widowControl w:val="0"/>
                        <w:tabs>
                          <w:tab w:val="left" w:pos="900"/>
                        </w:tabs>
                        <w:ind w:firstLine="720"/>
                        <w:jc w:val="both"/>
                        <w:rPr>
                          <w:sz w:val="22"/>
                          <w:szCs w:val="22"/>
                          <w:lang w:eastAsia="lt-LT"/>
                        </w:rPr>
                      </w:pPr>
                      <w:sdt>
                        <w:sdtPr>
                          <w:alias w:val="Numeris"/>
                          <w:tag w:val="nr_e3a2560976dc45e6a00c7774709b68c8"/>
                          <w:lock w:val="sdtLocked"/>
                          <w:richText/>
                        </w:sdtPr>
                        <w:sdtContent>
                          <w:r>
                            <w:rPr>
                              <w:sz w:val="22"/>
                              <w:szCs w:val="22"/>
                              <w:lang w:eastAsia="lt-LT"/>
                            </w:rPr>
                            <w:t>3</w:t>
                          </w:r>
                        </w:sdtContent>
                      </w:sdt>
                      <w:r>
                        <w:rPr>
                          <w:sz w:val="22"/>
                          <w:szCs w:val="22"/>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689e975560734eae86abad0a9c253e75"/>
                    <w:lock w:val="sdtLocked"/>
                    <w:richText/>
                  </w:sdtPr>
                  <w:sdtContent>
                    <w:p>
                      <w:pPr>
                        <w:tabs>
                          <w:tab w:val="left" w:pos="993"/>
                        </w:tabs>
                        <w:ind w:firstLine="720"/>
                        <w:jc w:val="both"/>
                      </w:pPr>
                      <w:sdt>
                        <w:sdtPr>
                          <w:alias w:val="Numeris"/>
                          <w:tag w:val="nr_689e975560734eae86abad0a9c253e75"/>
                          <w:lock w:val="sdtLocked"/>
                          <w:richText/>
                        </w:sdtPr>
                        <w:sdtContent>
                          <w:r>
                            <w:rPr>
                              <w:sz w:val="22"/>
                              <w:szCs w:val="22"/>
                              <w:lang w:eastAsia="lt-LT"/>
                            </w:rPr>
                            <w:t>4</w:t>
                          </w:r>
                        </w:sdtContent>
                      </w:sdt>
                      <w:r>
                        <w:rPr>
                          <w:sz w:val="22"/>
                          <w:szCs w:val="22"/>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c2f02ae572b44741acdee4507365c022"/>
                    <w:lock w:val="sdtLocked"/>
                    <w:richText/>
                  </w:sdtPr>
                  <w:sdtContent>
                    <w:p>
                      <w:pPr>
                        <w:widowControl w:val="0"/>
                        <w:tabs>
                          <w:tab w:val="left" w:pos="900"/>
                        </w:tabs>
                        <w:ind w:firstLine="720"/>
                        <w:jc w:val="both"/>
                        <w:rPr>
                          <w:sz w:val="22"/>
                          <w:szCs w:val="22"/>
                        </w:rPr>
                      </w:pPr>
                      <w:sdt>
                        <w:sdtPr>
                          <w:alias w:val="Numeris"/>
                          <w:tag w:val="nr_c2f02ae572b44741acdee4507365c022"/>
                          <w:lock w:val="sdtLocked"/>
                          <w:richText/>
                        </w:sdtPr>
                        <w:sdtContent>
                          <w:r>
                            <w:rPr>
                              <w:bCs/>
                              <w:sz w:val="22"/>
                              <w:szCs w:val="22"/>
                              <w:lang w:eastAsia="lt-LT"/>
                            </w:rPr>
                            <w:t>1</w:t>
                          </w:r>
                        </w:sdtContent>
                      </w:sdt>
                      <w:r>
                        <w:rPr>
                          <w:bCs/>
                          <w:sz w:val="22"/>
                          <w:szCs w:val="22"/>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5 d."/>
                    <w:tag w:val="part_0cd99273aaa04f5eb3278eb6d6c2676b"/>
                    <w:lock w:val="sdtLocked"/>
                    <w:richText/>
                  </w:sdtPr>
                  <w:sdtContent>
                    <w:p>
                      <w:pPr>
                        <w:ind w:firstLine="720"/>
                        <w:jc w:val="both"/>
                        <w:rPr>
                          <w:sz w:val="22"/>
                          <w:szCs w:val="22"/>
                        </w:rPr>
                      </w:pPr>
                      <w:sdt>
                        <w:sdtPr>
                          <w:alias w:val="Numeris"/>
                          <w:tag w:val="nr_0cd99273aaa04f5eb3278eb6d6c2676b"/>
                          <w:lock w:val="sdtLocked"/>
                          <w:richText/>
                        </w:sdtPr>
                        <w:sdtContent>
                          <w:r>
                            <w:rPr>
                              <w:rFonts w:eastAsia="Calibri"/>
                              <w:bCs/>
                              <w:sz w:val="22"/>
                              <w:szCs w:val="22"/>
                            </w:rPr>
                            <w:t>5</w:t>
                          </w:r>
                        </w:sdtContent>
                      </w:sdt>
                      <w:r>
                        <w:rPr>
                          <w:rFonts w:eastAsia="Calibri"/>
                          <w:bCs/>
                          <w:sz w:val="22"/>
                          <w:szCs w:val="22"/>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6 d."/>
                    <w:tag w:val="part_ca0cada581794232bd424e539a3ecdd3"/>
                    <w:lock w:val="sdtLocked"/>
                    <w:richText/>
                  </w:sdtPr>
                  <w:sdtContent>
                    <w:p>
                      <w:pPr>
                        <w:tabs>
                          <w:tab w:val="left" w:pos="993"/>
                        </w:tabs>
                        <w:ind w:firstLine="720"/>
                        <w:jc w:val="both"/>
                        <w:rPr>
                          <w:sz w:val="22"/>
                          <w:szCs w:val="22"/>
                        </w:rPr>
                      </w:pPr>
                      <w:sdt>
                        <w:sdtPr>
                          <w:alias w:val="Numeris"/>
                          <w:tag w:val="nr_ca0cada581794232bd424e539a3ecdd3"/>
                          <w:lock w:val="sdtLocked"/>
                          <w:richText/>
                        </w:sdtPr>
                        <w:sdtContent>
                          <w:r>
                            <w:rPr>
                              <w:sz w:val="22"/>
                              <w:szCs w:val="22"/>
                            </w:rPr>
                            <w:t>6</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7 d."/>
                    <w:tag w:val="part_5acf2c4615be4fe3854f70199e84459f"/>
                    <w:lock w:val="sdtLocked"/>
                    <w:richText/>
                  </w:sdtPr>
                  <w:sdtContent>
                    <w:p>
                      <w:pPr>
                        <w:tabs>
                          <w:tab w:val="left" w:pos="993"/>
                        </w:tabs>
                        <w:ind w:firstLine="720"/>
                        <w:jc w:val="both"/>
                        <w:rPr>
                          <w:sz w:val="22"/>
                          <w:szCs w:val="22"/>
                        </w:rPr>
                      </w:pPr>
                      <w:sdt>
                        <w:sdtPr>
                          <w:alias w:val="Numeris"/>
                          <w:tag w:val="nr_5acf2c4615be4fe3854f70199e84459f"/>
                          <w:lock w:val="sdtLocked"/>
                          <w:richText/>
                        </w:sdtPr>
                        <w:sdtContent>
                          <w:r>
                            <w:rPr>
                              <w:sz w:val="22"/>
                              <w:szCs w:val="22"/>
                            </w:rPr>
                            <w:t>7</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8 d."/>
                    <w:tag w:val="part_a0873650ec5e4a8d9b4aa2d5bedb78be"/>
                    <w:lock w:val="sdtLocked"/>
                    <w:richText/>
                  </w:sdtPr>
                  <w:sdtContent>
                    <w:p>
                      <w:pPr>
                        <w:widowControl w:val="0"/>
                        <w:tabs>
                          <w:tab w:val="left" w:pos="900"/>
                        </w:tabs>
                        <w:ind w:firstLine="720"/>
                        <w:jc w:val="both"/>
                      </w:pPr>
                      <w:sdt>
                        <w:sdtPr>
                          <w:alias w:val="Numeris"/>
                          <w:tag w:val="nr_a0873650ec5e4a8d9b4aa2d5bedb78be"/>
                          <w:lock w:val="sdtLocked"/>
                          <w:richText/>
                        </w:sdtPr>
                        <w:sdtContent>
                          <w:r>
                            <w:rPr>
                              <w:bCs/>
                              <w:sz w:val="22"/>
                              <w:szCs w:val="22"/>
                              <w:lang w:eastAsia="lt-LT"/>
                            </w:rPr>
                            <w:t>8</w:t>
                          </w:r>
                        </w:sdtContent>
                      </w:sdt>
                      <w:r>
                        <w:rPr>
                          <w:bCs/>
                          <w:sz w:val="22"/>
                          <w:szCs w:val="22"/>
                          <w:lang w:eastAsia="lt-LT"/>
                        </w:rPr>
                        <w:t>. Privalomų nurodymų davimas neatima teisės Lietuvos bankui kartu taikyti ir finansų rinką reglamentuojančiuose įstatymuose ir Europos Sąjungos teisės aktuose nustatytų poveikio priemonių.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7f6da0f9ed434f89846ca9755f7cfc56"/>
                    <w:lock w:val="sdtLocked"/>
                    <w:richText/>
                  </w:sdtPr>
                  <w:sdtContent>
                    <w:p>
                      <w:pPr>
                        <w:tabs>
                          <w:tab w:val="left" w:pos="993"/>
                        </w:tabs>
                        <w:ind w:firstLine="720"/>
                        <w:jc w:val="both"/>
                        <w:rPr>
                          <w:rFonts w:eastAsia="Calibri"/>
                          <w:strike/>
                          <w:sz w:val="22"/>
                          <w:szCs w:val="22"/>
                        </w:rPr>
                      </w:pPr>
                      <w:sdt>
                        <w:sdtPr>
                          <w:alias w:val="Numeris"/>
                          <w:tag w:val="nr_7f6da0f9ed434f89846ca9755f7cfc56"/>
                          <w:lock w:val="sdtLocked"/>
                          <w:richText/>
                        </w:sdtPr>
                        <w:sdtContent>
                          <w:r>
                            <w:rPr>
                              <w:bCs/>
                              <w:sz w:val="22"/>
                              <w:szCs w:val="22"/>
                            </w:rPr>
                            <w:t>14</w:t>
                          </w:r>
                        </w:sdtContent>
                      </w:sdt>
                      <w:r>
                        <w:rPr>
                          <w:bCs/>
                          <w:sz w:val="22"/>
                          <w:szCs w:val="22"/>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3 str. 15 d."/>
                    <w:tag w:val="part_8c47a56f06b7459da119b4e209d0e193"/>
                    <w:lock w:val="sdtLocked"/>
                    <w:richText/>
                  </w:sdtPr>
                  <w:sdtContent>
                    <w:p>
                      <w:pPr>
                        <w:ind w:firstLine="720"/>
                        <w:jc w:val="both"/>
                        <w:rPr>
                          <w:rFonts w:eastAsia="Calibri"/>
                          <w:sz w:val="22"/>
                          <w:szCs w:val="22"/>
                        </w:rPr>
                      </w:pPr>
                      <w:sdt>
                        <w:sdtPr>
                          <w:alias w:val="Numeris"/>
                          <w:tag w:val="nr_8c47a56f06b7459da119b4e209d0e193"/>
                          <w:lock w:val="sdtLocked"/>
                          <w:richText/>
                        </w:sdtPr>
                        <w:sdtContent>
                          <w:r>
                            <w:rPr>
                              <w:rFonts w:eastAsia="Calibri"/>
                              <w:sz w:val="22"/>
                              <w:szCs w:val="22"/>
                            </w:rPr>
                            <w:t>15</w:t>
                          </w:r>
                        </w:sdtContent>
                      </w:sdt>
                      <w:r>
                        <w:rPr>
                          <w:rFonts w:eastAsia="Calibri"/>
                          <w:sz w:val="22"/>
                          <w:szCs w:val="22"/>
                        </w:rPr>
                        <w:t>. Siekiant užtikrinti finansų rinkos priežiūrą ir poveikio priemonių atgrasomąjį poveikį,</w:t>
                      </w:r>
                      <w:r>
                        <w:rPr>
                          <w:rFonts w:eastAsia="Calibri"/>
                          <w:b/>
                          <w:sz w:val="22"/>
                          <w:szCs w:val="22"/>
                        </w:rPr>
                        <w:t xml:space="preserve"> </w:t>
                      </w:r>
                      <w:r>
                        <w:rPr>
                          <w:rFonts w:eastAsia="Calibri"/>
                          <w:sz w:val="22"/>
                          <w:szCs w:val="22"/>
                        </w:rPr>
                        <w:t xml:space="preserve">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w:t>
                      </w:r>
                      <w:r>
                        <w:rPr>
                          <w:sz w:val="22"/>
                          <w:szCs w:val="22"/>
                        </w:rPr>
                        <w:t>arba jeigu nustatoma, kad informacijos skelbimas apie fiziniam asmeniui pritaikytą poveikio priemonę būtų neproporcingas</w:t>
                      </w:r>
                      <w:r>
                        <w:rPr>
                          <w:rFonts w:eastAsia="Calibri"/>
                          <w:sz w:val="22"/>
                          <w:szCs w:val="22"/>
                        </w:rPr>
                        <w:t>,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trumpiau kaip 5 metus nuo jos paskelbimo dienos. Paskelbtą informaciją sudarantys asmens duomenys Lietuvos banko interneto svetainėje skelbiami tik būtiną, ne trumpesnį kaip 5 metų ir ne ilgesnį kaip 10 metų, laikotarpį, nustatomą pagal Lietuvos banko tvirtinamas asmens duomenų apsaugos tvarkymo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14283280c6c944068385274c49917cc6"/>
                <w:lock w:val="sdtLocked"/>
                <w:richText/>
              </w:sdtPr>
              <w:sdtContent>
                <w:p>
                  <w:pPr>
                    <w:tabs>
                      <w:tab w:val="left" w:pos="993"/>
                    </w:tabs>
                    <w:ind w:firstLine="720"/>
                    <w:jc w:val="both"/>
                    <w:rPr>
                      <w:b/>
                      <w:bCs/>
                      <w:sz w:val="22"/>
                      <w:szCs w:val="22"/>
                    </w:rPr>
                  </w:pPr>
                  <w:sdt>
                    <w:sdtPr>
                      <w:alias w:val="Numeris"/>
                      <w:tag w:val="nr_14283280c6c944068385274c49917cc6"/>
                      <w:lock w:val="sdtLocked"/>
                      <w:richText/>
                    </w:sdtPr>
                    <w:sdtContent>
                      <w:r>
                        <w:rPr>
                          <w:b/>
                          <w:bCs/>
                          <w:sz w:val="22"/>
                          <w:szCs w:val="22"/>
                        </w:rPr>
                        <w:t>43</w:t>
                      </w:r>
                      <w:r>
                        <w:rPr>
                          <w:b/>
                          <w:bCs/>
                          <w:sz w:val="22"/>
                          <w:szCs w:val="22"/>
                          <w:vertAlign w:val="superscript"/>
                        </w:rPr>
                        <w:t>7</w:t>
                      </w:r>
                    </w:sdtContent>
                  </w:sdt>
                  <w:r>
                    <w:rPr>
                      <w:b/>
                      <w:bCs/>
                      <w:sz w:val="22"/>
                      <w:szCs w:val="22"/>
                    </w:rPr>
                    <w:t xml:space="preserve"> straipsnis.</w:t>
                  </w:r>
                  <w:r>
                    <w:rPr>
                      <w:b/>
                      <w:bCs/>
                      <w:sz w:val="22"/>
                      <w:szCs w:val="22"/>
                      <w:vertAlign w:val="superscript"/>
                    </w:rPr>
                    <w:t xml:space="preserve"> </w:t>
                  </w:r>
                  <w:sdt>
                    <w:sdtPr>
                      <w:alias w:val="Pavadinimas"/>
                      <w:tag w:val="title_14283280c6c944068385274c49917cc6"/>
                      <w:lock w:val="sdtLocked"/>
                      <w:richText/>
                    </w:sdtPr>
                    <w:sdtContent>
                      <w:r>
                        <w:rPr>
                          <w:b/>
                          <w:bCs/>
                          <w:sz w:val="22"/>
                          <w:szCs w:val="22"/>
                        </w:rPr>
                        <w:t>Pranešimas apie pažeidimus</w:t>
                      </w:r>
                    </w:sdtContent>
                  </w:sdt>
                </w:p>
                <w:sdt>
                  <w:sdtPr>
                    <w:alias w:val="43-7 str. 1 d."/>
                    <w:tag w:val="part_2c6e8db15e5347e2b7b12f6929dfb9e0"/>
                    <w:lock w:val="sdtLocked"/>
                    <w:richText/>
                  </w:sdtPr>
                  <w:sdtContent>
                    <w:p>
                      <w:pPr>
                        <w:tabs>
                          <w:tab w:val="left" w:pos="993"/>
                        </w:tabs>
                        <w:ind w:firstLine="720"/>
                        <w:jc w:val="both"/>
                        <w:rPr>
                          <w:bCs/>
                          <w:sz w:val="22"/>
                          <w:szCs w:val="22"/>
                        </w:rPr>
                      </w:pPr>
                      <w:r>
                        <w:rPr>
                          <w:bCs/>
                          <w:sz w:val="22"/>
                          <w:szCs w:val="22"/>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 Reglamentą (ES) 2017/1129, 2019 m. lapkričio 27 d. Europos Parlamento ir Tarybos Reglamentą (ES) 2019/2033 dėl riziką ribojančių reikalavimų investicinėms įmonėms, kuriuo iš dalies keičiami reglamentai (ES) Nr. 1093/2010, (ES) Nr. 575/2013, (ES) Nr. 600/2014 ir (ES) Nr. 806/2014, ar jų įgyvendinamuosius teisės aktus, nuostatų pažeidimą. Šios priemonės turi atitikti šiuos reikalavimus:</w:t>
                      </w:r>
                    </w:p>
                    <w:sdt>
                      <w:sdtPr>
                        <w:alias w:val="43-7 str. 1 d. 1 p."/>
                        <w:tag w:val="part_0686758ad3fd4b66b731e9a102f66062"/>
                        <w:lock w:val="sdtLocked"/>
                        <w:richText/>
                      </w:sdtPr>
                      <w:sdtContent>
                        <w:p>
                          <w:pPr>
                            <w:tabs>
                              <w:tab w:val="left" w:pos="993"/>
                            </w:tabs>
                            <w:ind w:firstLine="720"/>
                            <w:jc w:val="both"/>
                            <w:rPr>
                              <w:bCs/>
                              <w:sz w:val="22"/>
                              <w:szCs w:val="22"/>
                            </w:rPr>
                          </w:pPr>
                          <w:sdt>
                            <w:sdtPr>
                              <w:alias w:val="Numeris"/>
                              <w:tag w:val="nr_0686758ad3fd4b66b731e9a102f66062"/>
                              <w:lock w:val="sdtLocked"/>
                              <w:richText/>
                            </w:sdtPr>
                            <w:sdtContent>
                              <w:r>
                                <w:rPr>
                                  <w:bCs/>
                                  <w:sz w:val="22"/>
                                  <w:szCs w:val="22"/>
                                </w:rPr>
                                <w:t>1</w:t>
                              </w:r>
                            </w:sdtContent>
                          </w:sdt>
                          <w:r>
                            <w:rPr>
                              <w:bCs/>
                              <w:sz w:val="22"/>
                              <w:szCs w:val="22"/>
                            </w:rPr>
                            <w:t xml:space="preserve">) numatytos specialios pranešimo apie minėtus pažeidimus gavimo ir vertinimo procedūros; </w:t>
                          </w:r>
                        </w:p>
                      </w:sdtContent>
                    </w:sdt>
                    <w:sdt>
                      <w:sdtPr>
                        <w:alias w:val="43-7 str. 1 d. 2 p."/>
                        <w:tag w:val="part_205e754736a54b9a8a123ced8dcdd6f7"/>
                        <w:lock w:val="sdtLocked"/>
                        <w:richText/>
                      </w:sdtPr>
                      <w:sdtContent>
                        <w:p>
                          <w:pPr>
                            <w:tabs>
                              <w:tab w:val="left" w:pos="993"/>
                            </w:tabs>
                            <w:ind w:firstLine="720"/>
                            <w:jc w:val="both"/>
                            <w:rPr>
                              <w:bCs/>
                              <w:sz w:val="22"/>
                              <w:szCs w:val="22"/>
                            </w:rPr>
                          </w:pPr>
                          <w:sdt>
                            <w:sdtPr>
                              <w:alias w:val="Numeris"/>
                              <w:tag w:val="nr_205e754736a54b9a8a123ced8dcdd6f7"/>
                              <w:lock w:val="sdtLocked"/>
                              <w:richText/>
                            </w:sdtPr>
                            <w:sdtContent>
                              <w:r>
                                <w:rPr>
                                  <w:bCs/>
                                  <w:sz w:val="22"/>
                                  <w:szCs w:val="22"/>
                                </w:rPr>
                                <w:t>2</w:t>
                              </w:r>
                            </w:sdtContent>
                          </w:sdt>
                          <w:r>
                            <w:rPr>
                              <w:bCs/>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7a916f8a81084512811a00a32d77634c"/>
                        <w:lock w:val="sdtLocked"/>
                        <w:richText/>
                      </w:sdtPr>
                      <w:sdtContent>
                        <w:p>
                          <w:pPr>
                            <w:tabs>
                              <w:tab w:val="left" w:pos="993"/>
                            </w:tabs>
                            <w:ind w:firstLine="720"/>
                            <w:jc w:val="both"/>
                            <w:rPr>
                              <w:bCs/>
                              <w:sz w:val="22"/>
                              <w:szCs w:val="22"/>
                            </w:rPr>
                          </w:pPr>
                          <w:sdt>
                            <w:sdtPr>
                              <w:alias w:val="Numeris"/>
                              <w:tag w:val="nr_7a916f8a81084512811a00a32d77634c"/>
                              <w:lock w:val="sdtLocked"/>
                              <w:richText/>
                            </w:sdtPr>
                            <w:sdtContent>
                              <w:r>
                                <w:rPr>
                                  <w:bCs/>
                                  <w:sz w:val="22"/>
                                  <w:szCs w:val="22"/>
                                </w:rPr>
                                <w:t>3</w:t>
                              </w:r>
                            </w:sdtContent>
                          </w:sdt>
                          <w:r>
                            <w:rPr>
                              <w:bCs/>
                              <w:sz w:val="22"/>
                              <w:szCs w:val="22"/>
                            </w:rPr>
                            <w:t>) asmens duomenys tvarkomi asmens duomenų apsaugą reglamentuojančių teisės aktų nustatyta tvarka;</w:t>
                          </w:r>
                        </w:p>
                      </w:sdtContent>
                    </w:sdt>
                    <w:sdt>
                      <w:sdtPr>
                        <w:alias w:val="43-7 str. 1 d. 4 p."/>
                        <w:tag w:val="part_918f3b89096f497298b725e0af9bcf6e"/>
                        <w:lock w:val="sdtLocked"/>
                        <w:richText/>
                      </w:sdtPr>
                      <w:sdtContent>
                        <w:p>
                          <w:pPr>
                            <w:tabs>
                              <w:tab w:val="left" w:pos="993"/>
                            </w:tabs>
                            <w:ind w:firstLine="720"/>
                            <w:jc w:val="both"/>
                            <w:rPr>
                              <w:i/>
                              <w:sz w:val="20"/>
                            </w:rPr>
                          </w:pPr>
                          <w:sdt>
                            <w:sdtPr>
                              <w:alias w:val="Numeris"/>
                              <w:tag w:val="nr_918f3b89096f497298b725e0af9bcf6e"/>
                              <w:lock w:val="sdtLocked"/>
                              <w:richText/>
                            </w:sdtPr>
                            <w:sdtContent>
                              <w:r>
                                <w:rPr>
                                  <w:bCs/>
                                  <w:sz w:val="22"/>
                                  <w:szCs w:val="22"/>
                                </w:rPr>
                                <w:t>4</w:t>
                              </w:r>
                            </w:sdtContent>
                          </w:sdt>
                          <w:r>
                            <w:rPr>
                              <w:bCs/>
                              <w:sz w:val="22"/>
                              <w:szCs w:val="22"/>
                            </w:rPr>
                            <w:t>) užtikrinama tinkama finansų rinkos dalyvio darbuotojų, kurie praneša apie pažeidimus, apsauga nuo keršto, diskriminacijos ar kito neteisėto ar nesąžiningo elgesio.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8"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1"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2"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103"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04"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5"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6"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7"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36bb73cc92254f1aafb004b6fdd64fe5"/>
                <w:lock w:val="sdtLocked"/>
                <w:richText/>
              </w:sdtPr>
              <w:sdtContent>
                <w:p>
                  <w:pPr>
                    <w:ind w:left="2410" w:hanging="1690"/>
                    <w:jc w:val="both"/>
                    <w:rPr>
                      <w:sz w:val="22"/>
                      <w:szCs w:val="22"/>
                    </w:rPr>
                  </w:pPr>
                  <w:sdt>
                    <w:sdtPr>
                      <w:alias w:val="Numeris"/>
                      <w:tag w:val="nr_36bb73cc92254f1aafb004b6fdd64fe5"/>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36bb73cc92254f1aafb004b6fdd64fe5"/>
                      <w:lock w:val="sdtLocked"/>
                      <w:richText/>
                    </w:sdtPr>
                    <w:sdtContent>
                      <w:r>
                        <w:rPr>
                          <w:b/>
                          <w:sz w:val="22"/>
                          <w:szCs w:val="22"/>
                        </w:rPr>
                        <w:t>Vartotojų ir finansų rinkos dalyvių ginčų nagrinėjimas ne teismo tvarka</w:t>
                      </w:r>
                    </w:sdtContent>
                  </w:sdt>
                </w:p>
                <w:sdt>
                  <w:sdtPr>
                    <w:alias w:val="47 str. 1 d."/>
                    <w:tag w:val="part_e7b24beba19046f0a7776950a4b7ce6a"/>
                    <w:lock w:val="sdtLocked"/>
                    <w:richText/>
                  </w:sdtPr>
                  <w:sdtContent>
                    <w:p>
                      <w:pPr>
                        <w:ind w:firstLine="720"/>
                        <w:jc w:val="both"/>
                        <w:rPr>
                          <w:sz w:val="22"/>
                          <w:szCs w:val="22"/>
                        </w:rPr>
                      </w:pPr>
                      <w:sdt>
                        <w:sdtPr>
                          <w:alias w:val="Numeris"/>
                          <w:tag w:val="nr_e7b24beba19046f0a7776950a4b7ce6a"/>
                          <w:lock w:val="sdtLocked"/>
                          <w:richText/>
                        </w:sdtPr>
                        <w:sdtContent>
                          <w:r>
                            <w:rPr>
                              <w:color w:val="000000"/>
                              <w:sz w:val="22"/>
                              <w:szCs w:val="22"/>
                              <w:lang w:eastAsia="lt-LT"/>
                            </w:rPr>
                            <w:t>1</w:t>
                          </w:r>
                        </w:sdtContent>
                      </w:sdt>
                      <w:r>
                        <w:rPr>
                          <w:color w:val="000000"/>
                          <w:sz w:val="22"/>
                          <w:szCs w:val="22"/>
                          <w:lang w:eastAsia="lt-LT"/>
                        </w:rPr>
                        <w:t xml:space="preserve">. Lietuvos bankas nagrinėja šio straipsnio 2 dalyje nurodytų vartotojų (toliau – vartotojai) ginčus su šio įstatymo 42 straipsnyje nurodytais finansų rinkos dalyviais ir kitais juridiniais asmenimis, kylančius iš finansinių ir (arba) papildomų investicinių paslaugų teikimo, iš draudimo paslaugų sutarties ar susijusius su ja, jeigu tokiai sutarčiai yra taikytina Lietuvos Respublikos teisė, taip pat vartotojų ginčus su kitais ūkio subjektais, kylančius dėl Lietuvos Respublikos </w:t>
                      </w:r>
                      <w:r>
                        <w:rPr>
                          <w:sz w:val="22"/>
                          <w:szCs w:val="22"/>
                          <w:lang w:eastAsia="lt-LT"/>
                        </w:rPr>
                        <w:t xml:space="preserve">mokėjimų įstatyme </w:t>
                      </w:r>
                      <w:r>
                        <w:rPr>
                          <w:color w:val="000000"/>
                          <w:sz w:val="22"/>
                          <w:szCs w:val="22"/>
                          <w:lang w:eastAsia="lt-LT"/>
                        </w:rPr>
                        <w:t xml:space="preserve">nustatytų reikalavimų laikymosi, kai ginčo nagrinėjimas Lietuvos bankui priskirtas finansų rinką reglamentuojančiuose įstatymuose. Lietuvos bankas taip pat nagrinėja vartotojų – Lietuvoje įsteigtų kolektyvinio investavimo subjektų, pensijų fondų dalyvių ginčus su šių subjektų ar fondų valdytojais, kylančius iš dalyvavimo atitinkamame subjekte ar fonde santykių, </w:t>
                      </w:r>
                      <w:r>
                        <w:rPr>
                          <w:sz w:val="22"/>
                          <w:szCs w:val="22"/>
                          <w:lang w:eastAsia="lt-LT"/>
                        </w:rPr>
                        <w:t>pensijų anuitetų gavėjų</w:t>
                      </w:r>
                      <w:r>
                        <w:rPr>
                          <w:color w:val="000000"/>
                          <w:sz w:val="22"/>
                          <w:szCs w:val="22"/>
                          <w:lang w:eastAsia="lt-LT"/>
                        </w:rPr>
                        <w:t xml:space="preserve"> ginčus su pensijų anuitetų mokėtoju, kylančius iš pensijų anuitetų mokėjimo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3e0b7cdbdd9f40088e3fb815f016f609"/>
                        <w:lock w:val="sdtLocked"/>
                        <w:richText/>
                      </w:sdtPr>
                      <w:sdtContent>
                        <w:p>
                          <w:pPr>
                            <w:ind w:firstLine="720"/>
                            <w:jc w:val="both"/>
                            <w:rPr>
                              <w:sz w:val="22"/>
                              <w:szCs w:val="22"/>
                            </w:rPr>
                          </w:pPr>
                          <w:sdt>
                            <w:sdtPr>
                              <w:alias w:val="Numeris"/>
                              <w:tag w:val="nr_3e0b7cdbdd9f40088e3fb815f016f609"/>
                              <w:lock w:val="sdtLocked"/>
                              <w:richText/>
                            </w:sdtPr>
                            <w:sdtContent>
                              <w:r>
                                <w:rPr>
                                  <w:sz w:val="22"/>
                                  <w:szCs w:val="22"/>
                                </w:rPr>
                                <w:t>1</w:t>
                              </w:r>
                            </w:sdtContent>
                          </w:sdt>
                          <w:r>
                            <w:rPr>
                              <w:sz w:val="22"/>
                              <w:szCs w:val="22"/>
                            </w:rPr>
                            <w:t>) sudarantis su finansų rinkos dalyviu finansinių paslaugų sutartį, išskyrus profesionaliuosius klientus ir informuotuosius investuotojus, asmeniniams, šeimos ar namų ūkio poreikiams tenkinti;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87b5b3ca77dd440bac53e9beba42cc23"/>
                    <w:lock w:val="sdtLocked"/>
                    <w:richText/>
                  </w:sdtPr>
                  <w:sdtContent>
                    <w:p>
                      <w:pPr>
                        <w:ind w:firstLine="720"/>
                        <w:jc w:val="both"/>
                        <w:rPr>
                          <w:sz w:val="22"/>
                          <w:szCs w:val="22"/>
                        </w:rPr>
                      </w:pPr>
                      <w:r>
                        <w:rPr>
                          <w:sz w:val="22"/>
                          <w:szCs w:val="22"/>
                          <w:lang w:eastAsia="lt-LT"/>
                        </w:rPr>
                        <w:t>4.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nurodęs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2e66049e311e8ade598b2394a491d">
                        <w:r w:rsidRPr="00532B9F">
                          <w:rPr>
                            <w:rFonts w:ascii="Times New Roman" w:eastAsia="MS Mincho" w:hAnsi="Times New Roman"/>
                            <w:sz w:val="20"/>
                            <w:i/>
                            <w:iCs/>
                            <w:color w:val="0000FF" w:themeColor="hyperlink"/>
                            <w:u w:val="single"/>
                          </w:rPr>
                          <w:t>XIII-1095</w:t>
                        </w:r>
                      </w:fldSimple>
                      <w:r>
                        <w:rPr>
                          <w:rFonts w:ascii="Times New Roman" w:eastAsia="MS Mincho" w:hAnsi="Times New Roman"/>
                          <w:sz w:val="20"/>
                          <w:i/>
                          <w:iCs/>
                        </w:rPr>
                        <w:t>,
2018-04-17,
paskelbta TAR 2018-04-27, i. k. 2018-06731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6866907f7e11e8ae2bfd1913d66d57">
                        <w:r w:rsidRPr="00532B9F">
                          <w:rPr>
                            <w:rFonts w:ascii="Times New Roman" w:eastAsia="MS Mincho" w:hAnsi="Times New Roman"/>
                            <w:sz w:val="20"/>
                            <w:i/>
                            <w:iCs/>
                            <w:color w:val="0000FF" w:themeColor="hyperlink"/>
                            <w:u w:val="single"/>
                          </w:rPr>
                          <w:t>XIII-1304</w:t>
                        </w:r>
                      </w:fldSimple>
                      <w:r>
                        <w:rPr>
                          <w:rFonts w:ascii="Times New Roman" w:eastAsia="MS Mincho" w:hAnsi="Times New Roman"/>
                          <w:sz w:val="20"/>
                          <w:i/>
                          <w:iCs/>
                        </w:rPr>
                        <w:t>,
2018-06-27,
paskelbta TAR 2018-07-04, i. k. 2018-11309            </w:t>
                      </w:r>
                    </w:p>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0"/>
                    </w:rPr>
                    <w:t>TAR pastaba.</w:t>
                  </w:r>
                  <w:r>
                    <w:rPr>
                      <w:i/>
                      <w:sz w:val="20"/>
                    </w:rPr>
                    <w:t xml:space="preserve"> </w:t>
                  </w:r>
                  <w:r>
                    <w:rPr>
                      <w:i/>
                      <w:color w:val="000000"/>
                      <w:sz w:val="20"/>
                    </w:rPr>
                    <w:t xml:space="preserve">Iki </w:t>
                  </w:r>
                  <w:r>
                    <w:rPr>
                      <w:i/>
                      <w:sz w:val="20"/>
                    </w:rPr>
                    <w:t>2015 m. gruodžio 31 d.</w:t>
                  </w:r>
                  <w:r>
                    <w:rPr>
                      <w:i/>
                      <w:color w:val="000000"/>
                      <w:sz w:val="20"/>
                    </w:rPr>
                    <w:t xml:space="preserve"> pradėti nagrinėti vartotojų ir </w:t>
                  </w:r>
                  <w:r>
                    <w:rPr>
                      <w:i/>
                      <w:sz w:val="20"/>
                    </w:rPr>
                    <w:t xml:space="preserve">finansų rinkos dalyvių ginčai </w:t>
                  </w:r>
                  <w:r>
                    <w:rPr>
                      <w:i/>
                      <w:color w:val="000000"/>
                      <w:sz w:val="20"/>
                    </w:rPr>
                    <w:t xml:space="preserve">baigiami nagrinėti vadovaujantis iki </w:t>
                  </w:r>
                  <w:r>
                    <w:rPr>
                      <w:i/>
                      <w:sz w:val="20"/>
                    </w:rPr>
                    <w:t>2015 m. gruodžio 31 d.</w:t>
                  </w:r>
                  <w:r>
                    <w:rPr>
                      <w:i/>
                      <w:color w:val="000000"/>
                      <w:sz w:val="20"/>
                    </w:rPr>
                    <w:t xml:space="preserve"> galiojusių teisės aktų nuostatomis</w:t>
                  </w:r>
                  <w:r>
                    <w:rPr>
                      <w:i/>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83a3c1541e6f4b878d254e588640fad0"/>
                <w:lock w:val="sdtLocked"/>
                <w:richText/>
              </w:sdtPr>
              <w:sdtContent>
                <w:p>
                  <w:pPr>
                    <w:ind w:firstLine="720"/>
                    <w:jc w:val="both"/>
                    <w:rPr>
                      <w:sz w:val="22"/>
                      <w:szCs w:val="22"/>
                    </w:rPr>
                  </w:pPr>
                  <w:sdt>
                    <w:sdtPr>
                      <w:alias w:val="Numeris"/>
                      <w:tag w:val="nr_83a3c1541e6f4b878d254e588640fad0"/>
                      <w:lock w:val="sdtLocked"/>
                      <w:richText/>
                    </w:sdtPr>
                    <w:sdtContent>
                      <w:r>
                        <w:rPr>
                          <w:b/>
                          <w:sz w:val="22"/>
                          <w:szCs w:val="22"/>
                        </w:rPr>
                        <w:t>49</w:t>
                      </w:r>
                    </w:sdtContent>
                  </w:sdt>
                  <w:r>
                    <w:rPr>
                      <w:b/>
                      <w:sz w:val="22"/>
                      <w:szCs w:val="22"/>
                    </w:rPr>
                    <w:t xml:space="preserve"> straipsnis. </w:t>
                  </w:r>
                  <w:sdt>
                    <w:sdtPr>
                      <w:alias w:val="Pavadinimas"/>
                      <w:tag w:val="title_83a3c1541e6f4b878d254e588640fad0"/>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10"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1"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60"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6"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042ec70dfbbb4025877700aac4d9df1f"/>
                <w:lock w:val="sdtLocked"/>
                <w:richText/>
              </w:sdtPr>
              <w:sdtContent>
                <w:sdt>
                  <w:sdtPr>
                    <w:alias w:val="Pavadinimas"/>
                    <w:tag w:val="title_042ec70dfbbb4025877700aac4d9df1f"/>
                    <w:lock w:val="sdtLocked"/>
                    <w:richText/>
                  </w:sdtPr>
                  <w:sdtContent>
                    <w:p>
                      <w:pPr>
                        <w:ind w:left="2520" w:hanging="1800"/>
                        <w:jc w:val="both"/>
                        <w:rPr>
                          <w:b/>
                          <w:sz w:val="22"/>
                        </w:rPr>
                      </w:pPr>
                      <w:sdt>
                        <w:sdtPr>
                          <w:alias w:val="Numeris"/>
                          <w:tag w:val="nr_042ec70dfbbb4025877700aac4d9df1f"/>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7"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1"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2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6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62"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4"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eba2ba53d8e441e5a66f16e326d74b1b"/>
        <w:lock w:val="sdtLocked"/>
        <w:richText/>
      </w:sdtPr>
      <w:sdtContent>
        <w:p>
          <w:pPr>
            <w:ind w:firstLine="6480"/>
            <w:jc w:val="both"/>
            <w:sectPr>
              <w:headerReference w:type="even" r:id="rId125"/>
              <w:headerReference w:type="default" r:id="rId126"/>
              <w:footerReference w:type="even" r:id="rId127"/>
              <w:footerReference w:type="default" r:id="rId128"/>
              <w:headerReference w:type="first" r:id="rId129"/>
              <w:footerReference w:type="first" r:id="rId130"/>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eba2ba53d8e441e5a66f16e326d74b1b"/>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eba2ba53d8e441e5a66f16e326d74b1b"/>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platformos operatoriai arba sutelktinio finansavimo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bCs/>
                    <w:sz w:val="22"/>
                    <w:szCs w:val="22"/>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bCs/>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bCs/>
                    <w:sz w:val="22"/>
                    <w:szCs w:val="22"/>
                  </w:rPr>
                  <w:t>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Padengtųjų obligacijų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iniciatoriai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rėmėjai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Pirminiai skolintojai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rFonts w:ascii="TimesLT" w:hAnsi="TimesLT"/>
                    <w:color w:val="000000"/>
                    <w:sz w:val="22"/>
                    <w:szCs w:val="22"/>
                    <w:lang w:eastAsia="lt-LT"/>
                  </w:rPr>
                  <w:t xml:space="preserve">Trečiosios šalys, tikrinančios pakeitimo vertybiniais popieriais atitiktį </w:t>
                </w:r>
                <w:r>
                  <w:rPr>
                    <w:rFonts w:ascii="TimesLT" w:hAnsi="TimesLT"/>
                    <w:color w:val="000000"/>
                    <w:sz w:val="22"/>
                    <w:szCs w:val="22"/>
                  </w:rPr>
                  <w:t xml:space="preserve">paprastiems, skaidriems ir standartizuotiems </w:t>
                </w:r>
                <w:r>
                  <w:rPr>
                    <w:rFonts w:ascii="TimesLT" w:hAnsi="TimesLT"/>
                    <w:color w:val="000000"/>
                    <w:sz w:val="22"/>
                    <w:szCs w:val="22"/>
                    <w:lang w:eastAsia="lt-LT"/>
                  </w:rPr>
                  <w:t>kriterijams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1036706cce1f45538785f7006b7f7bdc"/>
        <w:lock w:val="sdtLocked"/>
        <w:richText/>
      </w:sdtPr>
      <w:sdtContent>
        <w:p>
          <w:pPr>
            <w:shd w:val="clear" w:color="000000" w:fill="auto"/>
            <w:ind w:right="-1" w:firstLine="6480"/>
            <w:jc w:val="both"/>
            <w:sectPr>
              <w:pgSz w:w="11907" w:h="16840" w:code="9"/>
              <w:pgMar w:top="1134" w:right="851" w:bottom="1134" w:left="1701" w:header="709" w:footer="709" w:gutter="0"/>
              <w:pgNumType w:start="1"/>
              <w:cols w:space="1296"/>
              <w:titlePg/>
            </w:sectPr>
          </w:pPr>
        </w:p>
        <w:p>
          <w:pPr>
            <w:shd w:val="clear" w:color="000000" w:fill="auto"/>
            <w:ind w:right="-1" w:firstLine="6480"/>
            <w:jc w:val="both"/>
            <w:rPr>
              <w:szCs w:val="24"/>
            </w:rPr>
          </w:pPr>
          <w:r>
            <w:rPr>
              <w:szCs w:val="24"/>
            </w:rPr>
            <w:t>Lietuvos Respublikos</w:t>
          </w:r>
        </w:p>
        <w:p>
          <w:pPr>
            <w:shd w:val="clear" w:color="000000" w:fill="auto"/>
            <w:ind w:right="-1" w:firstLine="6480"/>
            <w:jc w:val="both"/>
            <w:rPr>
              <w:szCs w:val="24"/>
            </w:rPr>
          </w:pPr>
          <w:r>
            <w:rPr>
              <w:szCs w:val="24"/>
            </w:rPr>
            <w:t>Lietuvos banko įstatymo</w:t>
          </w:r>
        </w:p>
        <w:p>
          <w:pPr>
            <w:shd w:val="clear" w:color="000000" w:fill="auto"/>
            <w:ind w:right="-1" w:firstLine="6480"/>
            <w:jc w:val="both"/>
            <w:rPr>
              <w:b/>
              <w:szCs w:val="24"/>
            </w:rPr>
          </w:pPr>
          <w:sdt>
            <w:sdtPr>
              <w:alias w:val="Numeris"/>
              <w:tag w:val="nr_1036706cce1f45538785f7006b7f7bdc"/>
              <w:lock w:val="sdtLocked"/>
              <w:richText/>
            </w:sdtPr>
            <w:sdtContent>
              <w:r>
                <w:rPr>
                  <w:szCs w:val="24"/>
                </w:rPr>
                <w:t>2</w:t>
              </w:r>
            </w:sdtContent>
          </w:sdt>
          <w:r>
            <w:rPr>
              <w:szCs w:val="24"/>
            </w:rPr>
            <w:t xml:space="preserve"> priedas</w:t>
          </w:r>
        </w:p>
        <w:p>
          <w:pPr>
            <w:shd w:val="clear" w:color="000000" w:fill="auto"/>
            <w:spacing w:line="360" w:lineRule="auto"/>
            <w:jc w:val="both"/>
            <w:rPr>
              <w:szCs w:val="24"/>
            </w:rPr>
          </w:pPr>
        </w:p>
        <w:p>
          <w:pPr>
            <w:shd w:val="clear" w:color="000000" w:fill="auto"/>
            <w:spacing w:line="360" w:lineRule="auto"/>
            <w:jc w:val="center"/>
            <w:rPr>
              <w:b/>
              <w:szCs w:val="24"/>
            </w:rPr>
          </w:pPr>
          <w:sdt>
            <w:sdtPr>
              <w:alias w:val="Pavadinimas"/>
              <w:tag w:val="title_1036706cce1f45538785f7006b7f7bdc"/>
              <w:lock w:val="sdtLocked"/>
              <w:richText/>
            </w:sdtPr>
            <w:sdtContent>
              <w:r>
                <w:rPr>
                  <w:b/>
                  <w:szCs w:val="24"/>
                </w:rPr>
                <w:t>FINANSŲ RINKOS DALYVIAI, MOKANTYS ĮMOKAS FINANSŲ SEKTORIAUS SUBJEKTŲ PERTVARKYMO INSTITUCIJOS IŠLAIDOMS PADENGTI, ĮMOKŲ BAZĖ IR MAKSIMALŪS ĮMOKŲ DYDŽIAI</w:t>
              </w:r>
            </w:sdtContent>
          </w:sdt>
        </w:p>
        <w:p>
          <w:pPr>
            <w:shd w:val="clear" w:color="000000" w:fill="auto"/>
            <w:ind w:firstLine="567"/>
            <w:jc w:val="both"/>
            <w:rPr>
              <w:b/>
              <w:szCs w:val="24"/>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8"/>
            <w:gridCol w:w="4540"/>
            <w:gridCol w:w="2740"/>
            <w:gridCol w:w="1397"/>
          </w:tblGrid>
          <w:tr>
            <w:tc>
              <w:tcPr>
                <w:tcW w:w="367"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Eil. Nr.</w:t>
                </w:r>
              </w:p>
            </w:tc>
            <w:tc>
              <w:tcPr>
                <w:tcW w:w="2424"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Rinkos dalyviai</w:t>
                </w:r>
              </w:p>
            </w:tc>
            <w:tc>
              <w:tcPr>
                <w:tcW w:w="1463"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Įmokų bazė</w:t>
                </w:r>
              </w:p>
            </w:tc>
            <w:tc>
              <w:tcPr>
                <w:tcW w:w="74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Maksimalus įmokų dydis</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0,0043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r>
                  <w:rPr>
                    <w:szCs w:val="24"/>
                  </w:rPr>
                  <w:t>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0,0014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 xml:space="preserve">Lietuvos Respublikoje licencijuotos finansų maklerio įmonės, kurioms taikomas Finansinių priemonių rinkų įstatymo </w:t>
                </w:r>
                <w:r>
                  <w:rPr>
                    <w:bCs/>
                    <w:szCs w:val="24"/>
                    <w:lang w:eastAsia="lt-LT"/>
                  </w:rPr>
                  <w:t>14 straipsnio 2 dalyje</w:t>
                </w:r>
                <w:r>
                  <w:rPr>
                    <w:szCs w:val="24"/>
                    <w:lang w:eastAsia="lt-LT"/>
                  </w:rPr>
                  <w:t xml:space="preserve"> nustatytas reikalavimas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0,075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4.</w:t>
                </w:r>
              </w:p>
            </w:tc>
            <w:tc>
              <w:tcPr>
                <w:tcW w:w="2424" w:type="pct"/>
                <w:tcBorders>
                  <w:top w:val="single" w:sz="4" w:space="0" w:color="auto"/>
                  <w:left w:val="single" w:sz="4" w:space="0" w:color="auto"/>
                  <w:bottom w:val="single" w:sz="4" w:space="0" w:color="auto"/>
                  <w:right w:val="single" w:sz="4" w:space="0" w:color="auto"/>
                </w:tcBorders>
                <w:hideMark/>
              </w:tcPr>
              <w:p>
                <w:pPr>
                  <w:shd w:val="clear" w:color="000000" w:fill="auto"/>
                  <w:ind w:left="159"/>
                  <w:rPr>
                    <w:szCs w:val="24"/>
                    <w:lang w:eastAsia="lt-LT"/>
                  </w:rPr>
                </w:pPr>
                <w:r>
                  <w:rPr>
                    <w:szCs w:val="24"/>
                    <w:lang w:eastAsia="lt-LT"/>
                  </w:rPr>
                  <w:t>Kitose valstybėse licencijuotų finansų maklerio įmonių filialai, įsteigti Lietuvos Respublikoje</w:t>
                </w:r>
              </w:p>
            </w:tc>
            <w:tc>
              <w:tcPr>
                <w:tcW w:w="1463" w:type="pct"/>
                <w:tcBorders>
                  <w:top w:val="single" w:sz="4" w:space="0" w:color="auto"/>
                  <w:left w:val="single" w:sz="4" w:space="0" w:color="auto"/>
                  <w:bottom w:val="single" w:sz="4" w:space="0" w:color="auto"/>
                  <w:right w:val="single" w:sz="4" w:space="0" w:color="auto"/>
                </w:tcBorders>
                <w:hideMark/>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0,038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 xml:space="preserve">5. </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Elektroninių pinigų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Neapmokėtų elektroninių pinigų metinis vidurkis ir 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0,0025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Mokėjimo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Valdomas kolektyvinio investavimo subjektų ir papildomo savanoriško pensijų kaupimo fondų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5.4.</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Finansų patarėjo įmonės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5.5.</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Valiutos keityklos operatoriai</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bl>
        <w:p>
          <w:pPr>
            <w:shd w:val="clear" w:color="000000" w:fill="auto"/>
            <w:spacing w:line="360" w:lineRule="auto"/>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3 pr."/>
        <w:tag w:val="part_55fc40a85bc3467f821af67c3027e100"/>
        <w:lock w:val="sdtLocked"/>
        <w:richText/>
      </w:sdtPr>
      <w:sdtContent>
        <w:p>
          <w:pPr>
            <w:ind w:firstLine="6804"/>
            <w:sectPr>
              <w:pgSz w:w="11907" w:h="16840" w:code="9"/>
              <w:pgMar w:top="1134" w:right="851" w:bottom="1134" w:left="1701" w:header="709" w:footer="709" w:gutter="0"/>
              <w:pgNumType w:start="1"/>
              <w:cols w:space="1296"/>
              <w:titlePg/>
            </w:sectPr>
          </w:pPr>
        </w:p>
        <w:p>
          <w:pPr>
            <w:ind w:firstLine="6804"/>
            <w:rPr>
              <w:rFonts w:eastAsia="Calibri"/>
              <w:bCs/>
              <w:sz w:val="22"/>
              <w:szCs w:val="22"/>
            </w:rPr>
          </w:pPr>
          <w:r>
            <w:rPr>
              <w:rFonts w:eastAsia="Calibri"/>
              <w:bCs/>
              <w:sz w:val="22"/>
              <w:szCs w:val="22"/>
            </w:rPr>
            <w:t>Lietuvos Respublikos</w:t>
          </w:r>
        </w:p>
        <w:p>
          <w:pPr>
            <w:ind w:firstLine="6804"/>
            <w:rPr>
              <w:rFonts w:eastAsia="Calibri"/>
              <w:bCs/>
              <w:sz w:val="22"/>
              <w:szCs w:val="22"/>
            </w:rPr>
          </w:pPr>
          <w:r>
            <w:rPr>
              <w:rFonts w:eastAsia="Calibri"/>
              <w:bCs/>
              <w:sz w:val="22"/>
              <w:szCs w:val="22"/>
            </w:rPr>
            <w:t>Lietuvos banko įstatymo</w:t>
          </w:r>
        </w:p>
        <w:p>
          <w:pPr>
            <w:ind w:firstLine="6804"/>
            <w:rPr>
              <w:rFonts w:eastAsia="Calibri"/>
              <w:bCs/>
              <w:sz w:val="22"/>
              <w:szCs w:val="22"/>
            </w:rPr>
          </w:pPr>
          <w:sdt>
            <w:sdtPr>
              <w:alias w:val="Numeris"/>
              <w:tag w:val="nr_55fc40a85bc3467f821af67c3027e100"/>
              <w:lock w:val="sdtLocked"/>
              <w:richText/>
            </w:sdtPr>
            <w:sdtContent>
              <w:r>
                <w:rPr>
                  <w:rFonts w:eastAsia="Calibri"/>
                  <w:bCs/>
                  <w:sz w:val="22"/>
                  <w:szCs w:val="22"/>
                </w:rPr>
                <w:t>3</w:t>
              </w:r>
            </w:sdtContent>
          </w:sdt>
          <w:r>
            <w:rPr>
              <w:rFonts w:eastAsia="Calibri"/>
              <w:bCs/>
              <w:sz w:val="22"/>
              <w:szCs w:val="22"/>
            </w:rPr>
            <w:t xml:space="preserve"> priedas</w:t>
          </w:r>
        </w:p>
        <w:p>
          <w:pPr>
            <w:ind w:firstLine="720"/>
            <w:jc w:val="both"/>
            <w:rPr>
              <w:rFonts w:eastAsia="Calibri"/>
              <w:bCs/>
              <w:sz w:val="22"/>
              <w:szCs w:val="22"/>
            </w:rPr>
          </w:pPr>
        </w:p>
        <w:p>
          <w:pPr>
            <w:jc w:val="center"/>
            <w:rPr>
              <w:rFonts w:eastAsia="Calibri"/>
              <w:b/>
              <w:bCs/>
              <w:sz w:val="22"/>
              <w:szCs w:val="22"/>
            </w:rPr>
          </w:pPr>
          <w:sdt>
            <w:sdtPr>
              <w:alias w:val="Pavadinimas"/>
              <w:tag w:val="title_55fc40a85bc3467f821af67c3027e100"/>
              <w:lock w:val="sdtLocked"/>
              <w:richText/>
            </w:sdtPr>
            <w:sdtContent>
              <w:r>
                <w:rPr>
                  <w:rFonts w:eastAsia="Calibri"/>
                  <w:b/>
                  <w:bCs/>
                  <w:sz w:val="22"/>
                  <w:szCs w:val="22"/>
                </w:rPr>
                <w:t>ĮGYVENDINAMI EUROPOS SĄJUNGOS TEISĖS AKTAI</w:t>
              </w:r>
            </w:sdtContent>
          </w:sdt>
        </w:p>
        <w:p>
          <w:pPr>
            <w:ind w:firstLine="720"/>
            <w:jc w:val="both"/>
            <w:rPr>
              <w:rFonts w:eastAsia="Calibri"/>
              <w:bCs/>
              <w:sz w:val="22"/>
              <w:szCs w:val="22"/>
            </w:rPr>
          </w:pPr>
        </w:p>
        <w:sdt>
          <w:sdtPr>
            <w:alias w:val="3 pr. 1 p."/>
            <w:tag w:val="part_70987c694c624ee9ac94c9ccd66fcbf9"/>
            <w:lock w:val="sdtLocked"/>
            <w:richText/>
          </w:sdtPr>
          <w:sdtContent>
            <w:p>
              <w:pPr>
                <w:ind w:firstLine="720"/>
                <w:jc w:val="both"/>
                <w:rPr>
                  <w:rFonts w:eastAsia="Calibri"/>
                  <w:sz w:val="22"/>
                  <w:szCs w:val="22"/>
                </w:rPr>
              </w:pPr>
              <w:sdt>
                <w:sdtPr>
                  <w:alias w:val="Numeris"/>
                  <w:tag w:val="nr_70987c694c624ee9ac94c9ccd66fcbf9"/>
                  <w:lock w:val="sdtLocked"/>
                  <w:richText/>
                </w:sdtPr>
                <w:sdtContent>
                  <w:r>
                    <w:rPr>
                      <w:rFonts w:eastAsia="Calibri"/>
                      <w:sz w:val="22"/>
                      <w:szCs w:val="22"/>
                    </w:rPr>
                    <w:t>1</w:t>
                  </w:r>
                </w:sdtContent>
              </w:sdt>
              <w:r>
                <w:rPr>
                  <w:rFonts w:eastAsia="Calibri"/>
                  <w:sz w:val="22"/>
                  <w:szCs w:val="22"/>
                </w:rPr>
                <w:t>. 1957 m. kovo 25 d. Europos Bendrijos steigimo sutartis su paskutiniais pakeitimais, padarytais 2007 m. gruodžio 17 d. Lisabonos sutartimi.</w:t>
              </w:r>
            </w:p>
          </w:sdtContent>
        </w:sdt>
        <w:sdt>
          <w:sdtPr>
            <w:alias w:val="3 pr. 2 p."/>
            <w:tag w:val="part_36d3702d224045e282a731450f64c30c"/>
            <w:lock w:val="sdtLocked"/>
            <w:richText/>
          </w:sdtPr>
          <w:sdtContent>
            <w:p>
              <w:pPr>
                <w:ind w:firstLine="720"/>
                <w:jc w:val="both"/>
                <w:rPr>
                  <w:rFonts w:eastAsia="Calibri"/>
                  <w:sz w:val="22"/>
                  <w:szCs w:val="22"/>
                </w:rPr>
              </w:pPr>
              <w:sdt>
                <w:sdtPr>
                  <w:alias w:val="Numeris"/>
                  <w:tag w:val="nr_36d3702d224045e282a731450f64c30c"/>
                  <w:lock w:val="sdtLocked"/>
                  <w:richText/>
                </w:sdtPr>
                <w:sdtContent>
                  <w:r>
                    <w:rPr>
                      <w:rFonts w:eastAsia="Calibri"/>
                      <w:sz w:val="22"/>
                      <w:szCs w:val="22"/>
                    </w:rPr>
                    <w:t>2</w:t>
                  </w:r>
                </w:sdtContent>
              </w:sdt>
              <w:r>
                <w:rPr>
                  <w:rFonts w:eastAsia="Calibri"/>
                  <w:sz w:val="22"/>
                  <w:szCs w:val="22"/>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5b3f11652adc4e4989c84502ec4d182d"/>
            <w:lock w:val="sdtLocked"/>
            <w:richText/>
          </w:sdtPr>
          <w:sdtContent>
            <w:p>
              <w:pPr>
                <w:ind w:firstLine="720"/>
                <w:jc w:val="both"/>
                <w:rPr>
                  <w:rFonts w:eastAsia="Calibri"/>
                  <w:sz w:val="22"/>
                  <w:szCs w:val="22"/>
                </w:rPr>
              </w:pPr>
              <w:sdt>
                <w:sdtPr>
                  <w:alias w:val="Numeris"/>
                  <w:tag w:val="nr_5b3f11652adc4e4989c84502ec4d182d"/>
                  <w:lock w:val="sdtLocked"/>
                  <w:richText/>
                </w:sdtPr>
                <w:sdtContent>
                  <w:r>
                    <w:rPr>
                      <w:rFonts w:eastAsia="Calibri"/>
                      <w:sz w:val="22"/>
                      <w:szCs w:val="22"/>
                    </w:rPr>
                    <w:t>3</w:t>
                  </w:r>
                </w:sdtContent>
              </w:sdt>
              <w:r>
                <w:rPr>
                  <w:rFonts w:eastAsia="Calibri"/>
                  <w:sz w:val="22"/>
                  <w:szCs w:val="22"/>
                </w:rPr>
                <w:t>. 1993 m. gruodžio 13 d. Tarybos reglamentas (EB) Nr. 3603/93, nustatantis apibrėžimus, susijusius su Sutarties 104 ir 104b (1) straipsniuose numatytų uždraudimų taikymu.</w:t>
              </w:r>
            </w:p>
          </w:sdtContent>
        </w:sdt>
        <w:sdt>
          <w:sdtPr>
            <w:alias w:val="3 pr. 4 p."/>
            <w:tag w:val="part_0818cc62e5e74edab29d17f422ecb8ce"/>
            <w:lock w:val="sdtLocked"/>
            <w:richText/>
          </w:sdtPr>
          <w:sdtContent>
            <w:p>
              <w:pPr>
                <w:ind w:firstLine="720"/>
                <w:jc w:val="both"/>
                <w:rPr>
                  <w:rFonts w:eastAsia="Calibri"/>
                  <w:sz w:val="22"/>
                  <w:szCs w:val="22"/>
                </w:rPr>
              </w:pPr>
              <w:sdt>
                <w:sdtPr>
                  <w:alias w:val="Numeris"/>
                  <w:tag w:val="nr_0818cc62e5e74edab29d17f422ecb8ce"/>
                  <w:lock w:val="sdtLocked"/>
                  <w:richText/>
                </w:sdtPr>
                <w:sdtContent>
                  <w:r>
                    <w:rPr>
                      <w:rFonts w:eastAsia="Calibri"/>
                      <w:sz w:val="22"/>
                      <w:szCs w:val="22"/>
                    </w:rPr>
                    <w:t>4</w:t>
                  </w:r>
                </w:sdtContent>
              </w:sdt>
              <w:r>
                <w:rPr>
                  <w:rFonts w:eastAsia="Calibri"/>
                  <w:sz w:val="22"/>
                  <w:szCs w:val="22"/>
                </w:rPr>
                <w:t>. 1993 m. gruodžio 13 d. Tarybos reglamentas (EB) Nr. 3604/93, nustatantis apibrėžimus, susijusius su Sutarties 104a straipsnyje numatytos privilegijos naudotis finansų įstaigomis uždraudimo taikymu.</w:t>
              </w:r>
            </w:p>
          </w:sdtContent>
        </w:sdt>
        <w:sdt>
          <w:sdtPr>
            <w:alias w:val="3 pr. 5 p."/>
            <w:tag w:val="part_2ab6f2508efc46b191e69921ff6dc348"/>
            <w:lock w:val="sdtLocked"/>
            <w:richText/>
          </w:sdtPr>
          <w:sdtContent>
            <w:p>
              <w:pPr>
                <w:ind w:firstLine="720"/>
                <w:jc w:val="both"/>
                <w:rPr>
                  <w:rFonts w:eastAsia="Calibri"/>
                  <w:sz w:val="22"/>
                  <w:szCs w:val="22"/>
                </w:rPr>
              </w:pPr>
              <w:sdt>
                <w:sdtPr>
                  <w:alias w:val="Numeris"/>
                  <w:tag w:val="nr_2ab6f2508efc46b191e69921ff6dc348"/>
                  <w:lock w:val="sdtLocked"/>
                  <w:richText/>
                </w:sdtPr>
                <w:sdtContent>
                  <w:r>
                    <w:rPr>
                      <w:rFonts w:eastAsia="Calibri"/>
                      <w:sz w:val="22"/>
                      <w:szCs w:val="22"/>
                    </w:rPr>
                    <w:t>5</w:t>
                  </w:r>
                </w:sdtContent>
              </w:sdt>
              <w:r>
                <w:rPr>
                  <w:rFonts w:eastAsia="Calibri"/>
                  <w:sz w:val="22"/>
                  <w:szCs w:val="22"/>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37bae73f121f4b2c99b9e985bd6bb963"/>
            <w:lock w:val="sdtLocked"/>
            <w:richText/>
          </w:sdtPr>
          <w:sdtContent>
            <w:p>
              <w:pPr>
                <w:ind w:firstLine="720"/>
                <w:jc w:val="both"/>
                <w:rPr>
                  <w:rFonts w:eastAsia="Calibri"/>
                  <w:sz w:val="22"/>
                  <w:szCs w:val="22"/>
                </w:rPr>
              </w:pPr>
              <w:sdt>
                <w:sdtPr>
                  <w:alias w:val="Numeris"/>
                  <w:tag w:val="nr_37bae73f121f4b2c99b9e985bd6bb963"/>
                  <w:lock w:val="sdtLocked"/>
                  <w:richText/>
                </w:sdtPr>
                <w:sdtContent>
                  <w:r>
                    <w:rPr>
                      <w:rFonts w:eastAsia="Calibri"/>
                      <w:sz w:val="22"/>
                      <w:szCs w:val="22"/>
                    </w:rPr>
                    <w:t>6</w:t>
                  </w:r>
                </w:sdtContent>
              </w:sdt>
              <w:r>
                <w:rPr>
                  <w:rFonts w:eastAsia="Calibri"/>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c65b95d7ce40424095d9a3fb21027861"/>
            <w:lock w:val="sdtLocked"/>
            <w:richText/>
          </w:sdtPr>
          <w:sdtContent>
            <w:p>
              <w:pPr>
                <w:ind w:firstLine="720"/>
                <w:jc w:val="both"/>
                <w:rPr>
                  <w:rFonts w:eastAsia="Calibri"/>
                  <w:sz w:val="22"/>
                  <w:szCs w:val="22"/>
                </w:rPr>
              </w:pPr>
              <w:sdt>
                <w:sdtPr>
                  <w:alias w:val="Numeris"/>
                  <w:tag w:val="nr_c65b95d7ce40424095d9a3fb21027861"/>
                  <w:lock w:val="sdtLocked"/>
                  <w:richText/>
                </w:sdtPr>
                <w:sdtContent>
                  <w:r>
                    <w:rPr>
                      <w:rFonts w:eastAsia="Calibri"/>
                      <w:sz w:val="22"/>
                      <w:szCs w:val="22"/>
                    </w:rPr>
                    <w:t>7</w:t>
                  </w:r>
                </w:sdtContent>
              </w:sdt>
              <w:r>
                <w:rPr>
                  <w:rFonts w:eastAsia="Calibri"/>
                  <w:sz w:val="22"/>
                  <w:szCs w:val="22"/>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fd88f81f375a495d8f7b92cbe943dbc1"/>
            <w:lock w:val="sdtLocked"/>
            <w:richText/>
          </w:sdtPr>
          <w:sdtContent>
            <w:p>
              <w:pPr>
                <w:ind w:firstLine="720"/>
                <w:jc w:val="both"/>
                <w:rPr>
                  <w:rFonts w:eastAsia="Calibri"/>
                  <w:sz w:val="22"/>
                  <w:szCs w:val="22"/>
                </w:rPr>
              </w:pPr>
              <w:sdt>
                <w:sdtPr>
                  <w:alias w:val="Numeris"/>
                  <w:tag w:val="nr_fd88f81f375a495d8f7b92cbe943dbc1"/>
                  <w:lock w:val="sdtLocked"/>
                  <w:richText/>
                </w:sdtPr>
                <w:sdtContent>
                  <w:r>
                    <w:rPr>
                      <w:rFonts w:eastAsia="Calibri"/>
                      <w:sz w:val="22"/>
                      <w:szCs w:val="22"/>
                    </w:rPr>
                    <w:t>8</w:t>
                  </w:r>
                </w:sdtContent>
              </w:sdt>
              <w:r>
                <w:rPr>
                  <w:rFonts w:eastAsia="Calibri"/>
                  <w:sz w:val="22"/>
                  <w:szCs w:val="22"/>
                </w:rPr>
                <w:t xml:space="preserve">. 2009 m. rugsėjo 16 d. Europos Parlamento ir Tarybos reglamentas (EB) Nr. 1060/2009 dėl kredito reitingų agentūrų su paskutiniais pakeitimais, padarytais 2017 m. gruodžio 12 d. Europos Parlamento ir Tarybos reglamentu (ES) 2017/2402. </w:t>
              </w:r>
            </w:p>
          </w:sdtContent>
        </w:sdt>
        <w:sdt>
          <w:sdtPr>
            <w:alias w:val="3 pr. 9 p."/>
            <w:tag w:val="part_3fbb60b8d4e64e5f9171a94e00c00f88"/>
            <w:lock w:val="sdtLocked"/>
            <w:richText/>
          </w:sdtPr>
          <w:sdtContent>
            <w:p>
              <w:pPr>
                <w:ind w:firstLine="720"/>
                <w:jc w:val="both"/>
                <w:rPr>
                  <w:rFonts w:eastAsia="Calibri"/>
                  <w:sz w:val="22"/>
                  <w:szCs w:val="22"/>
                </w:rPr>
              </w:pPr>
              <w:sdt>
                <w:sdtPr>
                  <w:alias w:val="Numeris"/>
                  <w:tag w:val="nr_3fbb60b8d4e64e5f9171a94e00c00f88"/>
                  <w:lock w:val="sdtLocked"/>
                  <w:richText/>
                </w:sdtPr>
                <w:sdtContent>
                  <w:r>
                    <w:rPr>
                      <w:rFonts w:eastAsia="Calibri"/>
                      <w:sz w:val="22"/>
                      <w:szCs w:val="22"/>
                    </w:rPr>
                    <w:t>9</w:t>
                  </w:r>
                </w:sdtContent>
              </w:sdt>
              <w:r>
                <w:rPr>
                  <w:rFonts w:eastAsia="Calibri"/>
                  <w:sz w:val="22"/>
                  <w:szCs w:val="22"/>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1c827cd8db7a4be785f2cdf127e0b6de"/>
            <w:lock w:val="sdtLocked"/>
            <w:richText/>
          </w:sdtPr>
          <w:sdtContent>
            <w:p>
              <w:pPr>
                <w:ind w:firstLine="720"/>
                <w:jc w:val="both"/>
                <w:rPr>
                  <w:rFonts w:eastAsia="Calibri"/>
                  <w:sz w:val="22"/>
                  <w:szCs w:val="22"/>
                </w:rPr>
              </w:pPr>
              <w:sdt>
                <w:sdtPr>
                  <w:alias w:val="Numeris"/>
                  <w:tag w:val="nr_1c827cd8db7a4be785f2cdf127e0b6de"/>
                  <w:lock w:val="sdtLocked"/>
                  <w:richText/>
                </w:sdtPr>
                <w:sdtContent>
                  <w:r>
                    <w:rPr>
                      <w:rFonts w:eastAsia="Calibri"/>
                      <w:sz w:val="22"/>
                      <w:szCs w:val="22"/>
                    </w:rPr>
                    <w:t>10</w:t>
                  </w:r>
                </w:sdtContent>
              </w:sdt>
              <w:r>
                <w:rPr>
                  <w:rFonts w:eastAsia="Calibri"/>
                  <w:sz w:val="22"/>
                  <w:szCs w:val="22"/>
                </w:rPr>
                <w:t>. 2010 m. gruodžio 15 d. Europos Parlamento ir Tarybos reglamentas (ES) Nr. 1210/2010 dėl euro monetų autentiškumo tikrinimo ir apyvartai netinkamų euro monetų tvarkymo.</w:t>
              </w:r>
            </w:p>
          </w:sdtContent>
        </w:sdt>
        <w:sdt>
          <w:sdtPr>
            <w:alias w:val="3 pr. 11 p."/>
            <w:tag w:val="part_ce03f78e8037424485d0da48b93f89bf"/>
            <w:lock w:val="sdtLocked"/>
            <w:richText/>
          </w:sdtPr>
          <w:sdtContent>
            <w:p>
              <w:pPr>
                <w:ind w:firstLine="720"/>
                <w:jc w:val="both"/>
                <w:rPr>
                  <w:rFonts w:eastAsia="Calibri"/>
                  <w:sz w:val="22"/>
                  <w:szCs w:val="22"/>
                </w:rPr>
              </w:pPr>
              <w:sdt>
                <w:sdtPr>
                  <w:alias w:val="Numeris"/>
                  <w:tag w:val="nr_ce03f78e8037424485d0da48b93f89bf"/>
                  <w:lock w:val="sdtLocked"/>
                  <w:richText/>
                </w:sdtPr>
                <w:sdtContent>
                  <w:r>
                    <w:rPr>
                      <w:rFonts w:eastAsia="Calibri"/>
                      <w:sz w:val="22"/>
                      <w:szCs w:val="22"/>
                    </w:rPr>
                    <w:t>11</w:t>
                  </w:r>
                </w:sdtContent>
              </w:sdt>
              <w:r>
                <w:rPr>
                  <w:rFonts w:eastAsia="Calibri"/>
                  <w:sz w:val="22"/>
                  <w:szCs w:val="22"/>
                </w:rPr>
                <w:t xml:space="preserve">. 2011 m. gruodžio 22 d. Europos sisteminės rizikos valdybos rekomendacija ESRV/2011/3 dėl nacionalinių institucijų įgaliojimų makrolygio rizikos ribojimo srityje. </w:t>
              </w:r>
            </w:p>
          </w:sdtContent>
        </w:sdt>
        <w:sdt>
          <w:sdtPr>
            <w:alias w:val="3 pr. 12 p."/>
            <w:tag w:val="part_aeef0531157f4c3e9d8d8e4016f2e700"/>
            <w:lock w:val="sdtLocked"/>
            <w:richText/>
          </w:sdtPr>
          <w:sdtContent>
            <w:p>
              <w:pPr>
                <w:ind w:firstLine="720"/>
                <w:jc w:val="both"/>
                <w:rPr>
                  <w:rFonts w:eastAsia="Calibri"/>
                  <w:sz w:val="22"/>
                  <w:szCs w:val="22"/>
                </w:rPr>
              </w:pPr>
              <w:sdt>
                <w:sdtPr>
                  <w:alias w:val="Numeris"/>
                  <w:tag w:val="nr_aeef0531157f4c3e9d8d8e4016f2e700"/>
                  <w:lock w:val="sdtLocked"/>
                  <w:richText/>
                </w:sdtPr>
                <w:sdtContent>
                  <w:r>
                    <w:rPr>
                      <w:rFonts w:eastAsia="Calibri"/>
                      <w:sz w:val="22"/>
                      <w:szCs w:val="22"/>
                    </w:rPr>
                    <w:t>12</w:t>
                  </w:r>
                </w:sdtContent>
              </w:sdt>
              <w:r>
                <w:rPr>
                  <w:rFonts w:eastAsia="Calibri"/>
                  <w:sz w:val="22"/>
                  <w:szCs w:val="22"/>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su paskutiniais pakeitimais, padarytais 2019 m. gegužės 20 d. Europos Parlamento ir Tarybos direktyva (ES) 2019/878.</w:t>
              </w:r>
            </w:p>
          </w:sdtContent>
        </w:sdt>
        <w:sdt>
          <w:sdtPr>
            <w:alias w:val="3 pr. 13 p."/>
            <w:tag w:val="part_594f0486d22e4695b90cbfa18f4ad5c3"/>
            <w:lock w:val="sdtLocked"/>
            <w:richText/>
          </w:sdtPr>
          <w:sdtContent>
            <w:p>
              <w:pPr>
                <w:ind w:firstLine="720"/>
                <w:jc w:val="both"/>
                <w:rPr>
                  <w:rFonts w:eastAsia="Calibri"/>
                  <w:sz w:val="22"/>
                  <w:szCs w:val="22"/>
                </w:rPr>
              </w:pPr>
              <w:sdt>
                <w:sdtPr>
                  <w:alias w:val="Numeris"/>
                  <w:tag w:val="nr_594f0486d22e4695b90cbfa18f4ad5c3"/>
                  <w:lock w:val="sdtLocked"/>
                  <w:richText/>
                </w:sdtPr>
                <w:sdtContent>
                  <w:r>
                    <w:rPr>
                      <w:rFonts w:eastAsia="Calibri"/>
                      <w:sz w:val="22"/>
                      <w:szCs w:val="22"/>
                    </w:rPr>
                    <w:t>1</w:t>
                  </w:r>
                  <w:r>
                    <w:rPr>
                      <w:rFonts w:eastAsia="Calibri"/>
                      <w:bCs/>
                      <w:sz w:val="22"/>
                      <w:szCs w:val="22"/>
                    </w:rPr>
                    <w:t>3</w:t>
                  </w:r>
                </w:sdtContent>
              </w:sdt>
              <w:r>
                <w:rPr>
                  <w:rFonts w:eastAsia="Calibri"/>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7091d0a9a5e34355b887b6a0c39d13b2"/>
            <w:lock w:val="sdtLocked"/>
            <w:richText/>
          </w:sdtPr>
          <w:sdtContent>
            <w:p>
              <w:pPr>
                <w:ind w:firstLine="720"/>
                <w:jc w:val="both"/>
                <w:rPr>
                  <w:rFonts w:eastAsia="Calibri"/>
                  <w:sz w:val="22"/>
                  <w:szCs w:val="22"/>
                </w:rPr>
              </w:pPr>
              <w:sdt>
                <w:sdtPr>
                  <w:alias w:val="Numeris"/>
                  <w:tag w:val="nr_7091d0a9a5e34355b887b6a0c39d13b2"/>
                  <w:lock w:val="sdtLocked"/>
                  <w:richText/>
                </w:sdtPr>
                <w:sdtContent>
                  <w:r>
                    <w:rPr>
                      <w:rFonts w:eastAsia="Calibri"/>
                      <w:sz w:val="22"/>
                      <w:szCs w:val="22"/>
                    </w:rPr>
                    <w:t>1</w:t>
                  </w:r>
                  <w:r>
                    <w:rPr>
                      <w:rFonts w:eastAsia="Calibri"/>
                      <w:bCs/>
                      <w:sz w:val="22"/>
                      <w:szCs w:val="22"/>
                    </w:rPr>
                    <w:t>4</w:t>
                  </w:r>
                </w:sdtContent>
              </w:sdt>
              <w:r>
                <w:rPr>
                  <w:rFonts w:eastAsia="Calibri"/>
                  <w:sz w:val="22"/>
                  <w:szCs w:val="22"/>
                </w:rPr>
                <w:t>. 2014 m. lapkričio 26 d. Europos Parlamento ir Tarybos reglamentas (ES) Nr. 1286/2014 dėl mažmeninių investicinių produktų paketų ir draudimo principu pagrįstų investicinių produktų (MIPP ir DIP) pagrindinės informacijos dokumentų su paskutiniais pakeitimais, padarytais 2019 m. birželio 20 d. Europos Parlamento ir Tarybos reglamentu (ES) 2019/1156.</w:t>
              </w:r>
            </w:p>
          </w:sdtContent>
        </w:sdt>
        <w:sdt>
          <w:sdtPr>
            <w:alias w:val="3 pr. 15 p."/>
            <w:tag w:val="part_754abe21ccb8446da646986875408689"/>
            <w:lock w:val="sdtLocked"/>
            <w:richText/>
          </w:sdtPr>
          <w:sdtContent>
            <w:p>
              <w:pPr>
                <w:ind w:firstLine="720"/>
                <w:jc w:val="both"/>
                <w:rPr>
                  <w:rFonts w:eastAsia="Calibri"/>
                  <w:sz w:val="22"/>
                  <w:szCs w:val="22"/>
                </w:rPr>
              </w:pPr>
              <w:sdt>
                <w:sdtPr>
                  <w:alias w:val="Numeris"/>
                  <w:tag w:val="nr_754abe21ccb8446da646986875408689"/>
                  <w:lock w:val="sdtLocked"/>
                  <w:richText/>
                </w:sdtPr>
                <w:sdtContent>
                  <w:r>
                    <w:rPr>
                      <w:rFonts w:eastAsia="Calibri"/>
                      <w:sz w:val="22"/>
                      <w:szCs w:val="22"/>
                    </w:rPr>
                    <w:t>1</w:t>
                  </w:r>
                  <w:r>
                    <w:rPr>
                      <w:rFonts w:eastAsia="Calibri"/>
                      <w:bCs/>
                      <w:sz w:val="22"/>
                      <w:szCs w:val="22"/>
                    </w:rPr>
                    <w:t>5</w:t>
                  </w:r>
                </w:sdtContent>
              </w:sdt>
              <w:r>
                <w:rPr>
                  <w:rFonts w:eastAsia="Calibri"/>
                  <w:sz w:val="22"/>
                  <w:szCs w:val="22"/>
                </w:rPr>
                <w:t>. 2017 m. birželio 14 d. Europos Parlamento ir Tarybos reglamentas (ES) 2017/1129 dėl prospekto, kuris turi būti skelbiamas, kai vertybiniai popieriai siūlomi viešai arba įtraukiami į prekybos reguliuojamoje rinkoje sąrašą, ir kuriuo panaikinama Direktyva 2003/71/EB, su paskutiniais pakeitimais, padarytais 2021 m. vasario 16 d. Europos Parlamento ir Tarybos reglamentu (ES) 2021/337.</w:t>
              </w:r>
            </w:p>
          </w:sdtContent>
        </w:sdt>
        <w:sdt>
          <w:sdtPr>
            <w:alias w:val="3 pr. 16 p."/>
            <w:tag w:val="part_467b34dc44bf438d87ea0e13f1c61779"/>
            <w:lock w:val="sdtLocked"/>
            <w:richText/>
          </w:sdtPr>
          <w:sdtContent>
            <w:p>
              <w:pPr>
                <w:ind w:firstLine="720"/>
                <w:jc w:val="both"/>
                <w:rPr>
                  <w:rFonts w:eastAsia="Calibri"/>
                  <w:sz w:val="22"/>
                  <w:szCs w:val="22"/>
                </w:rPr>
              </w:pPr>
              <w:sdt>
                <w:sdtPr>
                  <w:alias w:val="Numeris"/>
                  <w:tag w:val="nr_467b34dc44bf438d87ea0e13f1c61779"/>
                  <w:lock w:val="sdtLocked"/>
                  <w:richText/>
                </w:sdtPr>
                <w:sdtContent>
                  <w:r>
                    <w:rPr>
                      <w:rFonts w:eastAsia="Calibri"/>
                      <w:sz w:val="22"/>
                      <w:szCs w:val="22"/>
                    </w:rPr>
                    <w:t>1</w:t>
                  </w:r>
                  <w:r>
                    <w:rPr>
                      <w:rFonts w:eastAsia="Calibri"/>
                      <w:bCs/>
                      <w:sz w:val="22"/>
                      <w:szCs w:val="22"/>
                    </w:rPr>
                    <w:t>6</w:t>
                  </w:r>
                </w:sdtContent>
              </w:sdt>
              <w:r>
                <w:rPr>
                  <w:rFonts w:eastAsia="Calibri"/>
                  <w:sz w:val="22"/>
                  <w:szCs w:val="22"/>
                </w:rPr>
                <w:t>. 2017 m. birželio 14 d. Europos Parlamento ir Tarybos reglamentas (ES) 2017/1131 dėl pinigų rinkos fondų.</w:t>
              </w:r>
            </w:p>
          </w:sdtContent>
        </w:sdt>
        <w:sdt>
          <w:sdtPr>
            <w:alias w:val="3 pr. 17 p."/>
            <w:tag w:val="part_e9ac311220264c669a630f2b67de19aa"/>
            <w:lock w:val="sdtLocked"/>
            <w:richText/>
          </w:sdtPr>
          <w:sdtContent>
            <w:p>
              <w:pPr>
                <w:ind w:firstLine="720"/>
                <w:jc w:val="both"/>
                <w:rPr>
                  <w:rFonts w:eastAsia="Calibri"/>
                  <w:sz w:val="22"/>
                  <w:szCs w:val="22"/>
                </w:rPr>
              </w:pPr>
              <w:sdt>
                <w:sdtPr>
                  <w:alias w:val="Numeris"/>
                  <w:tag w:val="nr_e9ac311220264c669a630f2b67de19aa"/>
                  <w:lock w:val="sdtLocked"/>
                  <w:richText/>
                </w:sdtPr>
                <w:sdtContent>
                  <w:r>
                    <w:rPr>
                      <w:rFonts w:eastAsia="Calibri"/>
                      <w:sz w:val="22"/>
                      <w:szCs w:val="22"/>
                    </w:rPr>
                    <w:t>17</w:t>
                  </w:r>
                </w:sdtContent>
              </w:sdt>
              <w:r>
                <w:rPr>
                  <w:rFonts w:eastAsia="Calibri"/>
                  <w:sz w:val="22"/>
                  <w:szCs w:val="22"/>
                </w:rPr>
                <w:t xml:space="preserve">. 2017 m. gruodžio 12 d. Europos Parlamento ir Tarybos reglamentas (ES) 2017/2394 dėl nacionalinių institucijų, atsakingų už vartotojų apsaugos teisės aktų vykdymo užtikrinimą, bendradarbiavimo, kuriuo panaikinamas Reglamentas (EB) Nr. 2006/2004, su paskutiniais pakeitimais, padarytais 2019 m. gegužės 20 d. Europos Parlamento ir Tarybos direktyva (ES) 2019/771. </w:t>
              </w:r>
            </w:p>
          </w:sdtContent>
        </w:sdt>
        <w:sdt>
          <w:sdtPr>
            <w:alias w:val="18 p."/>
            <w:tag w:val="part_e6dfc9f996ed4ef4b652787820f364d2"/>
            <w:lock w:val="sdtLocked"/>
            <w:richText/>
          </w:sdtPr>
          <w:sdtContent>
            <w:p>
              <w:pPr>
                <w:ind w:firstLine="720"/>
                <w:jc w:val="both"/>
                <w:rPr>
                  <w:rFonts w:eastAsia="Calibri"/>
                  <w:sz w:val="22"/>
                  <w:szCs w:val="22"/>
                </w:rPr>
              </w:pPr>
              <w:sdt>
                <w:sdtPr>
                  <w:alias w:val="Numeris"/>
                  <w:tag w:val="nr_e6dfc9f996ed4ef4b652787820f364d2"/>
                  <w:lock w:val="sdtLocked"/>
                  <w:richText/>
                </w:sdtPr>
                <w:sdtContent>
                  <w:r>
                    <w:rPr>
                      <w:bCs/>
                      <w:sz w:val="22"/>
                      <w:szCs w:val="22"/>
                    </w:rPr>
                    <w:t>18</w:t>
                  </w:r>
                </w:sdtContent>
              </w:sdt>
              <w:r>
                <w:rPr>
                  <w:bCs/>
                  <w:sz w:val="22"/>
                  <w:szCs w:val="22"/>
                </w:rPr>
                <w:t>.</w:t>
              </w:r>
              <w:r>
                <w:rPr>
                  <w:sz w:val="22"/>
                  <w:szCs w:val="22"/>
                </w:rPr>
                <w:t xml:space="preserve"> 2017 m. gruodžio 12 d. Europos Parlamento ir Tarybos reglamentas (ES) 2017/2402, kuriuo nustatoma bendroji pakeitimo vertybiniais popieriais sistema ir sukuriama specialioji paprasto, skaidraus ir standartizuoto pakeitimo vertybiniais popieriais sistema ir iš dalies keičiamos direktyvos 2009/65/EB, 2009/138/EB ir 2011/61/ES bei reglamentai (EB) Nr. 1060/2009 ir (ES) Nr. 648/2012, </w:t>
              </w:r>
              <w:r>
                <w:rPr>
                  <w:bCs/>
                  <w:sz w:val="22"/>
                  <w:szCs w:val="22"/>
                </w:rPr>
                <w:t>su paskutiniais pakeitimais, padarytais 2021 m. kovo 21 d. Europos Parlamento ir Tarybos reglamentu (ES) 2021/557.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19 p."/>
            <w:tag w:val="part_33a7abc0a5f04f29bf5cd1b1cd97d4a6"/>
            <w:lock w:val="sdtLocked"/>
            <w:richText/>
          </w:sdtPr>
          <w:sdtContent>
            <w:p>
              <w:pPr>
                <w:ind w:firstLine="720"/>
                <w:jc w:val="both"/>
                <w:rPr>
                  <w:i/>
                  <w:sz w:val="22"/>
                  <w:szCs w:val="22"/>
                </w:rPr>
              </w:pPr>
              <w:sdt>
                <w:sdtPr>
                  <w:alias w:val="Numeris"/>
                  <w:tag w:val="nr_33a7abc0a5f04f29bf5cd1b1cd97d4a6"/>
                  <w:lock w:val="sdtLocked"/>
                  <w:richText/>
                </w:sdtPr>
                <w:sdtContent>
                  <w:r>
                    <w:rPr>
                      <w:rFonts w:eastAsia="Calibri"/>
                      <w:sz w:val="22"/>
                      <w:szCs w:val="22"/>
                    </w:rPr>
                    <w:t>19</w:t>
                  </w:r>
                </w:sdtContent>
              </w:sdt>
              <w:r>
                <w:rPr>
                  <w:rFonts w:eastAsia="Calibri"/>
                  <w:sz w:val="22"/>
                  <w:szCs w:val="22"/>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20 p."/>
            <w:tag w:val="part_efed230da1254b2fa88586623ea850db"/>
            <w:lock w:val="sdtLocked"/>
            <w:richText/>
          </w:sdtPr>
          <w:sdtContent>
            <w:p>
              <w:pPr>
                <w:widowControl w:val="0"/>
                <w:tabs>
                  <w:tab w:val="left" w:pos="900"/>
                </w:tabs>
                <w:ind w:firstLine="720"/>
                <w:jc w:val="both"/>
                <w:rPr>
                  <w:i/>
                  <w:sz w:val="22"/>
                  <w:szCs w:val="22"/>
                </w:rPr>
              </w:pPr>
              <w:sdt>
                <w:sdtPr>
                  <w:alias w:val="Numeris"/>
                  <w:tag w:val="nr_efed230da1254b2fa88586623ea850db"/>
                  <w:lock w:val="sdtLocked"/>
                  <w:richText/>
                </w:sdtPr>
                <w:sdtContent>
                  <w:r>
                    <w:rPr>
                      <w:bCs/>
                      <w:sz w:val="22"/>
                      <w:szCs w:val="22"/>
                      <w:lang w:eastAsia="lt-LT"/>
                    </w:rPr>
                    <w:t>20</w:t>
                  </w:r>
                </w:sdtContent>
              </w:sdt>
              <w:r>
                <w:rPr>
                  <w:bCs/>
                  <w:sz w:val="22"/>
                  <w:szCs w:val="22"/>
                  <w:lang w:eastAsia="lt-LT"/>
                </w:rPr>
                <w:t xml:space="preserve">. </w:t>
              </w:r>
              <w:r>
                <w:rPr>
                  <w:sz w:val="22"/>
                  <w:szCs w:val="22"/>
                  <w:lang w:eastAsia="lt-LT"/>
                </w:rPr>
                <w:t xml:space="preserve">2020 m. spalio 7 d. Europos Parlamento ir Tarybos reglamentas </w:t>
              </w:r>
              <w:r>
                <w:rPr>
                  <w:bCs/>
                  <w:sz w:val="22"/>
                  <w:szCs w:val="22"/>
                  <w:lang w:eastAsia="lt-LT"/>
                </w:rPr>
                <w:t>(ES) 2020/1503</w:t>
              </w:r>
              <w:r>
                <w:rPr>
                  <w:sz w:val="22"/>
                  <w:szCs w:val="22"/>
                  <w:lang w:eastAsia="lt-LT"/>
                </w:rPr>
                <w:t xml:space="preserve"> dėl Europos sutelktinio finansavimo paslaugų verslui teikėjų, kuriuo iš dalies keičiamas Reglamentas (ES) 2017/1129 ir Direktyva (ES) 2019/1937.</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1"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2"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3"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4"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5"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6"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7" w:history="1">
            <w:r>
              <w:rPr>
                <w:rStyle w:val="Hipersaitas"/>
                <w:sz w:val="20"/>
              </w:rPr>
              <w:t>89-2741</w:t>
            </w:r>
          </w:hyperlink>
          <w:r>
            <w:rPr>
              <w:sz w:val="20"/>
            </w:rPr>
            <w:t xml:space="preserve">) ir Lietuvos Respublikos baudžiamojo proceso kodeksu (Žin., 2002, Nr. </w:t>
          </w:r>
          <w:hyperlink r:id="rId138"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9"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0"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41"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2"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3"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4"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5"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6"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7"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8"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9"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0"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1"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2"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3"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5"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6"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7"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8"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9"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4708a0756a11eabee4a336e7e6fdab">
            <w:r w:rsidRPr="00532B9F">
              <w:rPr>
                <w:rFonts w:ascii="Times New Roman" w:eastAsia="MS Mincho" w:hAnsi="Times New Roman"/>
                <w:sz w:val="20"/>
                <w:iCs/>
                <w:color w:val="0000FF" w:themeColor="hyperlink"/>
                <w:u w:val="single"/>
              </w:rPr>
              <w:t>XIII-2836</w:t>
            </w:r>
          </w:fldSimple>
          <w:r>
            <w:rPr>
              <w:rFonts w:ascii="Times New Roman" w:eastAsia="MS Mincho" w:hAnsi="Times New Roman"/>
              <w:sz w:val="20"/>
              <w:iCs/>
            </w:rPr>
            <w:t>,
2020-03-31,
paskelbta TAR 2020-04-03, i. k. 2020-06995                </w:t>
          </w:r>
        </w:p>
        <w:p>
          <w:pPr>
            <w:jc w:val="both"/>
            <w:rPr>
              <w:rFonts w:ascii="Times New Roman" w:hAnsi="Times New Roman"/>
            </w:rPr>
          </w:pPr>
          <w:r>
            <w:rPr>
              <w:rFonts w:ascii="Times New Roman" w:hAnsi="Times New Roman"/>
              <w:sz w:val="20"/>
            </w:rPr>
            <w:t>Lietuvos Respublikos Lietuvos banko įstatymo Nr. I-678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4d27f089d611eab005936df725feed">
            <w:r w:rsidRPr="00532B9F">
              <w:rPr>
                <w:rFonts w:ascii="Times New Roman" w:eastAsia="MS Mincho" w:hAnsi="Times New Roman"/>
                <w:sz w:val="20"/>
                <w:iCs/>
                <w:color w:val="0000FF" w:themeColor="hyperlink"/>
                <w:u w:val="single"/>
              </w:rPr>
              <w:t>XIII-2852</w:t>
            </w:r>
          </w:fldSimple>
          <w:r>
            <w:rPr>
              <w:rFonts w:ascii="Times New Roman" w:eastAsia="MS Mincho" w:hAnsi="Times New Roman"/>
              <w:sz w:val="20"/>
              <w:iCs/>
            </w:rPr>
            <w:t>,
2020-04-21,
paskelbta TAR 2020-04-29, i. k. 2020-08966                </w:t>
          </w:r>
        </w:p>
        <w:p>
          <w:pPr>
            <w:jc w:val="both"/>
            <w:rPr>
              <w:rFonts w:ascii="Times New Roman" w:hAnsi="Times New Roman"/>
            </w:rPr>
          </w:pPr>
          <w:r>
            <w:rPr>
              <w:rFonts w:ascii="Times New Roman" w:hAnsi="Times New Roman"/>
              <w:sz w:val="20"/>
            </w:rPr>
            <w:t>Lietuvos Respublikos Lietuvos banko įstatymo Nr. I-678 42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004030c27211ea9815f635b9c0dcef">
            <w:r w:rsidRPr="00532B9F">
              <w:rPr>
                <w:rFonts w:ascii="Times New Roman" w:eastAsia="MS Mincho" w:hAnsi="Times New Roman"/>
                <w:sz w:val="20"/>
                <w:iCs/>
                <w:color w:val="0000FF" w:themeColor="hyperlink"/>
                <w:u w:val="single"/>
              </w:rPr>
              <w:t>XIII-3189</w:t>
            </w:r>
          </w:fldSimple>
          <w:r>
            <w:rPr>
              <w:rFonts w:ascii="Times New Roman" w:eastAsia="MS Mincho" w:hAnsi="Times New Roman"/>
              <w:sz w:val="20"/>
              <w:iCs/>
            </w:rPr>
            <w:t>,
2020-06-26,
paskelbta TAR 2020-07-10, i. k. 2020-15512                </w:t>
          </w:r>
        </w:p>
        <w:p>
          <w:pPr>
            <w:jc w:val="both"/>
            <w:rPr>
              <w:rFonts w:ascii="Times New Roman" w:hAnsi="Times New Roman"/>
            </w:rPr>
          </w:pPr>
          <w:r>
            <w:rPr>
              <w:rFonts w:ascii="Times New Roman" w:hAnsi="Times New Roman"/>
              <w:sz w:val="20"/>
            </w:rPr>
            <w:t>Lietuvos Respublikos Lietuvos banko įstatymo Nr. I-678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a76ab049e411eb8d9fe110e148c770">
            <w:r w:rsidRPr="00532B9F">
              <w:rPr>
                <w:rFonts w:ascii="Times New Roman" w:eastAsia="MS Mincho" w:hAnsi="Times New Roman"/>
                <w:sz w:val="20"/>
                <w:iCs/>
                <w:color w:val="0000FF" w:themeColor="hyperlink"/>
                <w:u w:val="single"/>
              </w:rPr>
              <w:t>XIV-111</w:t>
            </w:r>
          </w:fldSimple>
          <w:r>
            <w:rPr>
              <w:rFonts w:ascii="Times New Roman" w:eastAsia="MS Mincho" w:hAnsi="Times New Roman"/>
              <w:sz w:val="20"/>
              <w:iCs/>
            </w:rPr>
            <w:t>,
2020-12-22,
paskelbta TAR 2020-12-29, i. k. 2020-28967                </w:t>
          </w:r>
        </w:p>
        <w:p>
          <w:pPr>
            <w:jc w:val="both"/>
            <w:rPr>
              <w:rFonts w:ascii="Times New Roman" w:hAnsi="Times New Roman"/>
            </w:rPr>
          </w:pPr>
          <w:r>
            <w:rPr>
              <w:rFonts w:ascii="Times New Roman" w:hAnsi="Times New Roman"/>
              <w:sz w:val="20"/>
            </w:rPr>
            <w:t>Lietuvos Respublikos Lietuvos banko įstatymo Nr. I-678 8, 38 straipsnių ir šeštojo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41b4e0640411eca9ac839120d251c4">
            <w:r w:rsidRPr="00532B9F">
              <w:rPr>
                <w:rFonts w:ascii="Times New Roman" w:eastAsia="MS Mincho" w:hAnsi="Times New Roman"/>
                <w:sz w:val="20"/>
                <w:iCs/>
                <w:color w:val="0000FF" w:themeColor="hyperlink"/>
                <w:u w:val="single"/>
              </w:rPr>
              <w:t>XIV-771</w:t>
            </w:r>
          </w:fldSimple>
          <w:r>
            <w:rPr>
              <w:rFonts w:ascii="Times New Roman" w:eastAsia="MS Mincho" w:hAnsi="Times New Roman"/>
              <w:sz w:val="20"/>
              <w:iCs/>
            </w:rPr>
            <w:t>,
2021-12-14,
paskelbta TAR 2021-12-23, i. k. 2021-26900                </w:t>
          </w:r>
        </w:p>
        <w:p>
          <w:pPr>
            <w:jc w:val="both"/>
            <w:rPr>
              <w:rFonts w:ascii="Times New Roman" w:hAnsi="Times New Roman"/>
            </w:rPr>
          </w:pPr>
          <w:r>
            <w:rPr>
              <w:rFonts w:ascii="Times New Roman" w:hAnsi="Times New Roman"/>
              <w:sz w:val="20"/>
            </w:rPr>
            <w:t>Lietuvos Respublikos Lietuvos banko įstatymo Nr. I-678 8, 11, 42, 43, 43-2 straipsnių ir 1, 2,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47e240696e11eca9ac839120d251c4">
            <w:r w:rsidRPr="00532B9F">
              <w:rPr>
                <w:rFonts w:ascii="Times New Roman" w:eastAsia="MS Mincho" w:hAnsi="Times New Roman"/>
                <w:sz w:val="20"/>
                <w:iCs/>
                <w:color w:val="0000FF" w:themeColor="hyperlink"/>
                <w:u w:val="single"/>
              </w:rPr>
              <w:t>XIV-822</w:t>
            </w:r>
          </w:fldSimple>
          <w:r>
            <w:rPr>
              <w:rFonts w:ascii="Times New Roman" w:eastAsia="MS Mincho" w:hAnsi="Times New Roman"/>
              <w:sz w:val="20"/>
              <w:iCs/>
            </w:rPr>
            <w:t>,
2021-12-23,
paskelbta TAR 2021-12-30, i. k. 2021-27713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7a131002b111edb32c9f9d8ba206f8">
            <w:r w:rsidRPr="00532B9F">
              <w:rPr>
                <w:rFonts w:ascii="Times New Roman" w:eastAsia="MS Mincho" w:hAnsi="Times New Roman"/>
                <w:sz w:val="20"/>
                <w:iCs/>
                <w:color w:val="0000FF" w:themeColor="hyperlink"/>
                <w:u w:val="single"/>
              </w:rPr>
              <w:t>XIV-1337</w:t>
            </w:r>
          </w:fldSimple>
          <w:r>
            <w:rPr>
              <w:rFonts w:ascii="Times New Roman" w:eastAsia="MS Mincho" w:hAnsi="Times New Roman"/>
              <w:sz w:val="20"/>
              <w:iCs/>
            </w:rPr>
            <w:t>,
2022-06-30,
paskelbta TAR 2022-07-13, i. k. 2022-15402                </w:t>
          </w:r>
        </w:p>
        <w:p>
          <w:pPr>
            <w:jc w:val="both"/>
            <w:rPr>
              <w:rFonts w:ascii="Times New Roman" w:hAnsi="Times New Roman"/>
            </w:rPr>
          </w:pPr>
          <w:r>
            <w:rPr>
              <w:rFonts w:ascii="Times New Roman" w:hAnsi="Times New Roman"/>
              <w:sz w:val="20"/>
            </w:rPr>
            <w:t>Lietuvos Respublikos Lietuvos banko įstatymo Nr. I-678 42, 43-3 straipsnių ir 1, 3 priedų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2EF04A"/>
  <w15:docId w15:val="{6D80CECD-B552-413D-B09B-0DED8E6B39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00" Type="http://schemas.openxmlformats.org/officeDocument/2006/relationships/hyperlink" TargetMode="External" Target="http://www3.lrs.lt/cgi-bin/preps2?a=412373&amp;b="/>
  <Relationship Id="rId101" Type="http://schemas.openxmlformats.org/officeDocument/2006/relationships/hyperlink" TargetMode="External" Target="http://www3.lrs.lt/cgi-bin/preps2?a=230454&amp;b="/>
  <Relationship Id="rId102" Type="http://schemas.openxmlformats.org/officeDocument/2006/relationships/hyperlink" TargetMode="External" Target="http://www3.lrs.lt/cgi-bin/preps2?a=361206&amp;b="/>
  <Relationship Id="rId103" Type="http://schemas.openxmlformats.org/officeDocument/2006/relationships/hyperlink" TargetMode="External" Target="http://www3.lrs.lt/cgi-bin/preps2?a=412373&amp;b="/>
  <Relationship Id="rId104" Type="http://schemas.openxmlformats.org/officeDocument/2006/relationships/hyperlink" TargetMode="External" Target="http://www3.lrs.lt/cgi-bin/preps2?a=227304&amp;b="/>
  <Relationship Id="rId105" Type="http://schemas.openxmlformats.org/officeDocument/2006/relationships/hyperlink" TargetMode="External" Target="http://www3.lrs.lt/cgi-bin/preps2?a=361206&amp;b="/>
  <Relationship Id="rId106" Type="http://schemas.openxmlformats.org/officeDocument/2006/relationships/hyperlink" TargetMode="External" Target="http://www3.lrs.lt/cgi-bin/preps2?a=412373&amp;b="/>
  <Relationship Id="rId107" Type="http://schemas.openxmlformats.org/officeDocument/2006/relationships/hyperlink" TargetMode="External" Target="http://www3.lrs.lt/cgi-bin/preps2?a=412373&amp;b="/>
  <Relationship Id="rId108" Type="http://schemas.openxmlformats.org/officeDocument/2006/relationships/hyperlink" TargetMode="External" Target="http://www3.lrs.lt/cgi-bin/preps2?a=227304&amp;b="/>
  <Relationship Id="rId109" Type="http://schemas.openxmlformats.org/officeDocument/2006/relationships/hyperlink" TargetMode="External" Target="http://www3.lrs.lt/cgi-bin/preps2?a=274804&amp;b="/>
  <Relationship Id="rId11" Type="http://schemas.microsoft.com/office/2011/relationships/people" Target="people.xml"/>
  <Relationship Id="rId110" Type="http://schemas.openxmlformats.org/officeDocument/2006/relationships/hyperlink" TargetMode="External" Target="http://www3.lrs.lt/cgi-bin/preps2?a=396599&amp;b="/>
  <Relationship Id="rId111" Type="http://schemas.openxmlformats.org/officeDocument/2006/relationships/hyperlink" TargetMode="External" Target="http://www3.lrs.lt/cgi-bin/preps2?a=396597&amp;b="/>
  <Relationship Id="rId112" Type="http://schemas.openxmlformats.org/officeDocument/2006/relationships/hyperlink" TargetMode="External" Target="http://www3.lrs.lt/cgi-bin/preps2?a=227304&amp;b="/>
  <Relationship Id="rId113" Type="http://schemas.openxmlformats.org/officeDocument/2006/relationships/hyperlink" TargetMode="External" Target="http://www3.lrs.lt/cgi-bin/preps2?a=274804&amp;b="/>
  <Relationship Id="rId114" Type="http://schemas.openxmlformats.org/officeDocument/2006/relationships/hyperlink" TargetMode="External" Target="http://www3.lrs.lt/cgi-bin/preps2?a=396599&amp;b="/>
  <Relationship Id="rId115" Type="http://schemas.openxmlformats.org/officeDocument/2006/relationships/hyperlink" TargetMode="External" Target="http://www3.lrs.lt/cgi-bin/preps2?a=396597&amp;b="/>
  <Relationship Id="rId116" Type="http://schemas.openxmlformats.org/officeDocument/2006/relationships/hyperlink" TargetMode="External" Target="http://www3.lrs.lt/cgi-bin/preps2?a=412373&amp;b="/>
  <Relationship Id="rId117" Type="http://schemas.openxmlformats.org/officeDocument/2006/relationships/hyperlink" TargetMode="External" Target="http://www3.lrs.lt/cgi-bin/preps2?a=213881&amp;b="/>
  <Relationship Id="rId118" Type="http://schemas.openxmlformats.org/officeDocument/2006/relationships/hyperlink" TargetMode="External" Target="http://www3.lrs.lt/cgi-bin/preps2?a=231828&amp;b="/>
  <Relationship Id="rId119" Type="http://schemas.openxmlformats.org/officeDocument/2006/relationships/hyperlink" TargetMode="External" Target="http://www3.lrs.lt/cgi-bin/preps2?a=274804&amp;b="/>
  <Relationship Id="rId12" Type="http://schemas.openxmlformats.org/officeDocument/2006/relationships/settings" Target="settings.xml"/>
  <Relationship Id="rId120" Type="http://schemas.openxmlformats.org/officeDocument/2006/relationships/hyperlink" TargetMode="External" Target="http://www3.lrs.lt/cgi-bin/preps2?a=274804&amp;b="/>
  <Relationship Id="rId121" Type="http://schemas.openxmlformats.org/officeDocument/2006/relationships/hyperlink" TargetMode="External" Target="http://www3.lrs.lt/cgi-bin/preps2?a=469641&amp;b="/>
  <Relationship Id="rId122" Type="http://schemas.openxmlformats.org/officeDocument/2006/relationships/hyperlink" TargetMode="External" Target="http://www3.lrs.lt/cgi-bin/preps2?a=227304&amp;b="/>
  <Relationship Id="rId123" Type="http://schemas.openxmlformats.org/officeDocument/2006/relationships/hyperlink" TargetMode="External" Target="http://www3.lrs.lt/cgi-bin/preps2?a=274804&amp;b="/>
  <Relationship Id="rId124" Type="http://schemas.openxmlformats.org/officeDocument/2006/relationships/hyperlink" TargetMode="External" Target="http://www3.lrs.lt/cgi-bin/preps2?a=231829&amp;b="/>
  <Relationship Id="rId125" Type="http://schemas.openxmlformats.org/officeDocument/2006/relationships/header" Target="header25.xml"/>
  <Relationship Id="rId126" Type="http://schemas.openxmlformats.org/officeDocument/2006/relationships/header" Target="header26.xml"/>
  <Relationship Id="rId127" Type="http://schemas.openxmlformats.org/officeDocument/2006/relationships/footer" Target="footer25.xml"/>
  <Relationship Id="rId128" Type="http://schemas.openxmlformats.org/officeDocument/2006/relationships/footer" Target="footer26.xml"/>
  <Relationship Id="rId129" Type="http://schemas.openxmlformats.org/officeDocument/2006/relationships/header" Target="header27.xml"/>
  <Relationship Id="rId13" Type="http://schemas.openxmlformats.org/officeDocument/2006/relationships/styles" Target="styles.xml"/>
  <Relationship Id="rId130" Type="http://schemas.openxmlformats.org/officeDocument/2006/relationships/footer" Target="footer27.xml"/>
  <Relationship Id="rId131" Type="http://schemas.openxmlformats.org/officeDocument/2006/relationships/hyperlink" TargetMode="External" Target="http://www3.lrs.lt/cgi-bin/preps2?Condition1=26025&amp;Condition2="/>
  <Relationship Id="rId132" Type="http://schemas.openxmlformats.org/officeDocument/2006/relationships/hyperlink" TargetMode="External" Target="http://www3.lrs.lt/cgi-bin/preps2?Condition1=37819&amp;Condition2="/>
  <Relationship Id="rId133" Type="http://schemas.openxmlformats.org/officeDocument/2006/relationships/hyperlink" TargetMode="External" Target="http://www3.lrs.lt/cgi-bin/preps2?Condition1=41676&amp;Condition2="/>
  <Relationship Id="rId134" Type="http://schemas.openxmlformats.org/officeDocument/2006/relationships/hyperlink" TargetMode="External" Target="http://www3.lrs.lt/cgi-bin/preps2?Condition1=128873&amp;Condition2="/>
  <Relationship Id="rId135" Type="http://schemas.openxmlformats.org/officeDocument/2006/relationships/hyperlink" TargetMode="External" Target="http://www3.lrs.lt/cgi-bin/preps2?a=206757&amp;b="/>
  <Relationship Id="rId136" Type="http://schemas.openxmlformats.org/officeDocument/2006/relationships/hyperlink" TargetMode="External" Target="http://www3.lrs.lt/cgi-bin/preps2?a=209663&amp;b="/>
  <Relationship Id="rId137" Type="http://schemas.openxmlformats.org/officeDocument/2006/relationships/hyperlink" TargetMode="External" Target="http://www3.lrs.lt/cgi-bin/preps2?a=111555&amp;b="/>
  <Relationship Id="rId138" Type="http://schemas.openxmlformats.org/officeDocument/2006/relationships/hyperlink" TargetMode="External" Target="http://www3.lrs.lt/cgi-bin/preps2?a=163482&amp;b="/>
  <Relationship Id="rId139" Type="http://schemas.openxmlformats.org/officeDocument/2006/relationships/hyperlink" TargetMode="External" Target="http://www3.lrs.lt/cgi-bin/preps2?a=213881&amp;b="/>
  <Relationship Id="rId14" Type="http://schemas.openxmlformats.org/officeDocument/2006/relationships/theme" Target="theme/theme1.xml"/>
  <Relationship Id="rId140" Type="http://schemas.openxmlformats.org/officeDocument/2006/relationships/hyperlink" TargetMode="External" Target="http://www3.lrs.lt/cgi-bin/preps2?a=227304&amp;b="/>
  <Relationship Id="rId141" Type="http://schemas.openxmlformats.org/officeDocument/2006/relationships/hyperlink" TargetMode="External" Target="http://www3.lrs.lt/cgi-bin/preps2?a=230454&amp;b="/>
  <Relationship Id="rId142" Type="http://schemas.openxmlformats.org/officeDocument/2006/relationships/hyperlink" TargetMode="External" Target="http://www3.lrs.lt/cgi-bin/preps2?a=231828&amp;b="/>
  <Relationship Id="rId143" Type="http://schemas.openxmlformats.org/officeDocument/2006/relationships/hyperlink" TargetMode="External" Target="http://www3.lrs.lt/cgi-bin/preps2?a=231829&amp;b="/>
  <Relationship Id="rId144" Type="http://schemas.openxmlformats.org/officeDocument/2006/relationships/hyperlink" TargetMode="External" Target="http://www3.lrs.lt/cgi-bin/preps2?a=274804&amp;b="/>
  <Relationship Id="rId145" Type="http://schemas.openxmlformats.org/officeDocument/2006/relationships/hyperlink" TargetMode="External" Target="http://www3.lrs.lt/cgi-bin/preps2?a=361205&amp;b="/>
  <Relationship Id="rId146" Type="http://schemas.openxmlformats.org/officeDocument/2006/relationships/hyperlink" TargetMode="External" Target="http://www3.lrs.lt/cgi-bin/preps2?a=396599&amp;b="/>
  <Relationship Id="rId147" Type="http://schemas.openxmlformats.org/officeDocument/2006/relationships/hyperlink" TargetMode="External" Target="http://www3.lrs.lt/cgi-bin/preps2?a=412356&amp;b="/>
  <Relationship Id="rId148" Type="http://schemas.openxmlformats.org/officeDocument/2006/relationships/hyperlink" TargetMode="External" Target="http://www3.lrs.lt/cgi-bin/preps2?a=464959&amp;b="/>
  <Relationship Id="rId149" Type="http://schemas.openxmlformats.org/officeDocument/2006/relationships/hyperlink" TargetMode="External" Target="http://www3.lrs.lt/cgi-bin/preps2?a=469641&amp;b="/>
  <Relationship Id="rId15" Type="http://schemas.openxmlformats.org/officeDocument/2006/relationships/webSettings" Target="webSettings.xml"/>
  <Relationship Id="rId150" Type="http://schemas.openxmlformats.org/officeDocument/2006/relationships/hyperlink" TargetMode="External" Target="http://www3.lrs.lt/cgi-bin/preps2?a=478702&amp;b="/>
  <Relationship Id="rId151" Type="http://schemas.openxmlformats.org/officeDocument/2006/relationships/hyperlink" TargetMode="External" Target="http://www3.lrs.lt/cgi-bin/preps2?a=340369&amp;b="/>
  <Relationship Id="rId152" Type="http://schemas.openxmlformats.org/officeDocument/2006/relationships/hyperlink" TargetMode="External" Target="http://www3.lrs.lt/cgi-bin/preps2?a=359889&amp;b="/>
  <Relationship Id="rId153" Type="http://schemas.openxmlformats.org/officeDocument/2006/relationships/hyperlink" TargetMode="External" Target="http://www3.lrs.lt/cgi-bin/preps2?a=361206&amp;b="/>
  <Relationship Id="rId154" Type="http://schemas.openxmlformats.org/officeDocument/2006/relationships/hyperlink" TargetMode="External" Target="http://www3.lrs.lt/cgi-bin/preps2?a=386459&amp;b="/>
  <Relationship Id="rId155" Type="http://schemas.openxmlformats.org/officeDocument/2006/relationships/hyperlink" TargetMode="External" Target="http://www3.lrs.lt/cgi-bin/preps2?a=396597&amp;b="/>
  <Relationship Id="rId156" Type="http://schemas.openxmlformats.org/officeDocument/2006/relationships/hyperlink" TargetMode="External" Target="http://www3.lrs.lt/cgi-bin/preps2?a=412373&amp;b="/>
  <Relationship Id="rId157" Type="http://schemas.openxmlformats.org/officeDocument/2006/relationships/hyperlink" TargetMode="External" Target="http://www3.lrs.lt/cgi-bin/preps2?a=415118&amp;b="/>
  <Relationship Id="rId158" Type="http://schemas.openxmlformats.org/officeDocument/2006/relationships/hyperlink" TargetMode="External" Target="http://www3.lrs.lt/cgi-bin/preps2?a=464957&amp;b="/>
  <Relationship Id="rId159" Type="http://schemas.openxmlformats.org/officeDocument/2006/relationships/hyperlink" TargetMode="External" Target="http://www3.lrs.lt/cgi-bin/preps2?a=478691&amp;b="/>
  <Relationship Id="rId16" Type="http://schemas.openxmlformats.org/officeDocument/2006/relationships/hyperlink" TargetMode="External" Target="http://www3.lrs.lt/cgi-bin/preps2?Condition1=128873&amp;Condition2="/>
  <Relationship Id="rId160" Type="http://schemas.openxmlformats.org/officeDocument/2006/relationships/hyperlink" TargetMode="External" Target="http://www3.lrs.lt/cgi-bin/preps2?a=412373&amp;b="/>
  <Relationship Id="rId161" Type="http://schemas.openxmlformats.org/officeDocument/2006/relationships/hyperlink" TargetMode="External" Target="http://www3.lrs.lt/cgi-bin/preps2?a=274804&amp;b="/>
  <Relationship Id="rId162" Type="http://schemas.openxmlformats.org/officeDocument/2006/relationships/hyperlink" TargetMode="External" Target="http://www3.lrs.lt/cgi-bin/preps2?a=478702&amp;b="/>
  <Relationship Id="rId163" Type="http://schemas.openxmlformats.org/officeDocument/2006/relationships/hyperlink" TargetMode="External" Target="http://www3.lrs.lt/cgi-bin/preps2?a=230454&amp;b="/>
  <Relationship Id="rId164" Type="http://schemas.openxmlformats.org/officeDocument/2006/relationships/hyperlink" TargetMode="External" Target="http://www3.lrs.lt/cgi-bin/preps2?a=361206&amp;b="/>
  <Relationship Id="rId165" Type="http://schemas.openxmlformats.org/officeDocument/2006/relationships/hyperlink" TargetMode="External" Target="http://www3.lrs.lt/cgi-bin/preps2?a=412373&amp;b="/>
  <Relationship Id="rId166" Type="http://schemas.openxmlformats.org/officeDocument/2006/relationships/hyperlink" TargetMode="External" Target="http://www3.lrs.lt/cgi-bin/preps2?a=478691&amp;b="/>
  <Relationship Id="rId167" Type="http://schemas.openxmlformats.org/officeDocument/2006/relationships/hyperlink" TargetMode="External" Target="http://www3.lrs.lt/cgi-bin/preps2?a=230454&amp;b="/>
  <Relationship Id="rId168" Type="http://schemas.openxmlformats.org/officeDocument/2006/relationships/hyperlink" TargetMode="External" Target="http://www3.lrs.lt/cgi-bin/preps2?a=361206&amp;b="/>
  <Relationship Id="rId169" Type="http://schemas.openxmlformats.org/officeDocument/2006/relationships/hyperlink" TargetMode="External" Target="http://www3.lrs.lt/cgi-bin/preps2?a=412373&amp;b="/>
  <Relationship Id="rId17" Type="http://schemas.openxmlformats.org/officeDocument/2006/relationships/hyperlink" TargetMode="External" Target="http://www3.lrs.lt/cgi-bin/preps2?a=227304&amp;b="/>
  <Relationship Id="rId170" Type="http://schemas.openxmlformats.org/officeDocument/2006/relationships/hyperlink" TargetMode="External" Target="http://www3.lrs.lt/cgi-bin/preps2?a=274804&amp;b="/>
  <Relationship Id="rId171" Type="http://schemas.openxmlformats.org/officeDocument/2006/relationships/customXml" Target="../customXml/item1.xml"/>
  <Relationship Id="rId18" Type="http://schemas.openxmlformats.org/officeDocument/2006/relationships/hyperlink" TargetMode="External" Target="http://www3.lrs.lt/cgi-bin/preps2?a=274804&amp;b="/>
  <Relationship Id="rId19" Type="http://schemas.openxmlformats.org/officeDocument/2006/relationships/hyperlink" TargetMode="External" Target="http://www3.lrs.lt/cgi-bin/preps2?a=464959&amp;b="/>
  <Relationship Id="rId2" Type="http://schemas.openxmlformats.org/officeDocument/2006/relationships/endnotes" Target="endnotes.xml"/>
  <Relationship Id="rId20" Type="http://schemas.openxmlformats.org/officeDocument/2006/relationships/hyperlink" TargetMode="External" Target="http://www3.lrs.lt/cgi-bin/preps2?a=464957&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412373&amp;b="/>
  <Relationship Id="rId23" Type="http://schemas.openxmlformats.org/officeDocument/2006/relationships/hyperlink" TargetMode="External" Target="http://www3.lrs.lt/cgi-bin/preps2?a=227304&amp;b="/>
  <Relationship Id="rId24" Type="http://schemas.openxmlformats.org/officeDocument/2006/relationships/hyperlink" TargetMode="External" Target="http://www3.lrs.lt/cgi-bin/preps2?a=274804&amp;b="/>
  <Relationship Id="rId25" Type="http://schemas.openxmlformats.org/officeDocument/2006/relationships/hyperlink" TargetMode="External" Target="http://www3.lrs.lt/cgi-bin/preps2?a=412356&amp;b="/>
  <Relationship Id="rId26" Type="http://schemas.openxmlformats.org/officeDocument/2006/relationships/hyperlink" TargetMode="External" Target="http://www3.lrs.lt/cgi-bin/preps2?a=412373&amp;b="/>
  <Relationship Id="rId27" Type="http://schemas.openxmlformats.org/officeDocument/2006/relationships/hyperlink" TargetMode="External" Target="http://www3.lrs.lt/cgi-bin/preps2?a=227304&amp;b="/>
  <Relationship Id="rId28" Type="http://schemas.openxmlformats.org/officeDocument/2006/relationships/hyperlink" TargetMode="External" Target="http://www3.lrs.lt/cgi-bin/preps2?a=274804&amp;b="/>
  <Relationship Id="rId29" Type="http://schemas.openxmlformats.org/officeDocument/2006/relationships/hyperlink" TargetMode="External" Target="http://www3.lrs.lt/cgi-bin/preps2?a=412356&amp;b="/>
  <Relationship Id="rId3" Type="http://schemas.openxmlformats.org/officeDocument/2006/relationships/fontTable" Target="fontTable.xml"/>
  <Relationship Id="rId30" Type="http://schemas.openxmlformats.org/officeDocument/2006/relationships/hyperlink" TargetMode="External" Target="http://www3.lrs.lt/cgi-bin/preps2?a=213881&amp;b="/>
  <Relationship Id="rId31" Type="http://schemas.openxmlformats.org/officeDocument/2006/relationships/hyperlink" TargetMode="External" Target="http://www3.lrs.lt/cgi-bin/preps2?a=230454&amp;b="/>
  <Relationship Id="rId32" Type="http://schemas.openxmlformats.org/officeDocument/2006/relationships/hyperlink" TargetMode="External" Target="http://www3.lrs.lt/cgi-bin/preps2?a=274804&amp;b="/>
  <Relationship Id="rId33" Type="http://schemas.openxmlformats.org/officeDocument/2006/relationships/hyperlink" TargetMode="External" Target="http://www3.lrs.lt/cgi-bin/preps2?a=361205&amp;b="/>
  <Relationship Id="rId34" Type="http://schemas.openxmlformats.org/officeDocument/2006/relationships/hyperlink" TargetMode="External" Target="http://www3.lrs.lt/cgi-bin/preps2?a=412356&amp;b="/>
  <Relationship Id="rId35" Type="http://schemas.openxmlformats.org/officeDocument/2006/relationships/hyperlink" TargetMode="External" Target="http://www3.lrs.lt/cgi-bin/preps2?a=478702&amp;b="/>
  <Relationship Id="rId36" Type="http://schemas.openxmlformats.org/officeDocument/2006/relationships/hyperlink" TargetMode="External" Target="http://www3.lrs.lt/cgi-bin/preps2?a=361206&amp;b="/>
  <Relationship Id="rId37" Type="http://schemas.openxmlformats.org/officeDocument/2006/relationships/hyperlink" TargetMode="External" Target="http://www3.lrs.lt/cgi-bin/preps2?a=412373&amp;b="/>
  <Relationship Id="rId38" Type="http://schemas.openxmlformats.org/officeDocument/2006/relationships/hyperlink" TargetMode="External" Target="http://www3.lrs.lt/cgi-bin/preps2?a=227304&amp;b="/>
  <Relationship Id="rId39" Type="http://schemas.openxmlformats.org/officeDocument/2006/relationships/hyperlink" TargetMode="External" Target="http://www3.lrs.lt/cgi-bin/preps2?a=396597&amp;b="/>
  <Relationship Id="rId4" Type="http://schemas.openxmlformats.org/officeDocument/2006/relationships/footer" Target="footer1.xml"/>
  <Relationship Id="rId40" Type="http://schemas.openxmlformats.org/officeDocument/2006/relationships/hyperlink" TargetMode="External" Target="http://www3.lrs.lt/cgi-bin/preps2?a=396597&amp;b="/>
  <Relationship Id="rId41" Type="http://schemas.openxmlformats.org/officeDocument/2006/relationships/hyperlink" TargetMode="External" Target="http://www3.lrs.lt/cgi-bin/preps2?a=396597&amp;b="/>
  <Relationship Id="rId42" Type="http://schemas.openxmlformats.org/officeDocument/2006/relationships/hyperlink" TargetMode="External" Target="http://www3.lrs.lt/cgi-bin/preps2?a=227304&amp;b="/>
  <Relationship Id="rId43" Type="http://schemas.openxmlformats.org/officeDocument/2006/relationships/hyperlink" TargetMode="External" Target="http://www3.lrs.lt/cgi-bin/preps2?a=230454&amp;b="/>
  <Relationship Id="rId44" Type="http://schemas.openxmlformats.org/officeDocument/2006/relationships/hyperlink" TargetMode="External" Target="http://www3.lrs.lt/cgi-bin/preps2?a=274804&amp;b="/>
  <Relationship Id="rId45" Type="http://schemas.openxmlformats.org/officeDocument/2006/relationships/hyperlink" TargetMode="External" Target="http://www3.lrs.lt/cgi-bin/preps2?a=396599&amp;b="/>
  <Relationship Id="rId46" Type="http://schemas.openxmlformats.org/officeDocument/2006/relationships/hyperlink" TargetMode="External" Target="http://www3.lrs.lt/cgi-bin/preps2?a=412356&amp;b="/>
  <Relationship Id="rId47" Type="http://schemas.openxmlformats.org/officeDocument/2006/relationships/hyperlink" TargetMode="External" Target="http://www3.lrs.lt/cgi-bin/preps2?a=478702&amp;b="/>
  <Relationship Id="rId48" Type="http://schemas.openxmlformats.org/officeDocument/2006/relationships/hyperlink" TargetMode="External" Target="http://www3.lrs.lt/cgi-bin/preps2?a=340369&amp;b="/>
  <Relationship Id="rId49" Type="http://schemas.openxmlformats.org/officeDocument/2006/relationships/hyperlink" TargetMode="External" Target="http://www3.lrs.lt/cgi-bin/preps2?a=361206&amp;b="/>
  <Relationship Id="rId5" Type="http://schemas.openxmlformats.org/officeDocument/2006/relationships/footer" Target="footer2.xml"/>
  <Relationship Id="rId50" Type="http://schemas.openxmlformats.org/officeDocument/2006/relationships/hyperlink" TargetMode="External" Target="http://www3.lrs.lt/cgi-bin/preps2?a=396597&amp;b="/>
  <Relationship Id="rId51" Type="http://schemas.openxmlformats.org/officeDocument/2006/relationships/hyperlink" TargetMode="External" Target="http://www3.lrs.lt/cgi-bin/preps2?a=412373&amp;b="/>
  <Relationship Id="rId52" Type="http://schemas.openxmlformats.org/officeDocument/2006/relationships/hyperlink" TargetMode="External" Target="http://www3.lrs.lt/cgi-bin/preps2?a=227304&amp;b="/>
  <Relationship Id="rId53" Type="http://schemas.openxmlformats.org/officeDocument/2006/relationships/hyperlink" TargetMode="External" Target="http://www3.lrs.lt/cgi-bin/preps2?a=274804&amp;b="/>
  <Relationship Id="rId54" Type="http://schemas.openxmlformats.org/officeDocument/2006/relationships/hyperlink" TargetMode="External" Target="http://www3.lrs.lt/cgi-bin/preps2?a=412373&amp;b="/>
  <Relationship Id="rId55" Type="http://schemas.openxmlformats.org/officeDocument/2006/relationships/hyperlink" TargetMode="External" Target="http://www3.lrs.lt/cgi-bin/preps2?a=227304&amp;b="/>
  <Relationship Id="rId56" Type="http://schemas.openxmlformats.org/officeDocument/2006/relationships/hyperlink" TargetMode="External" Target="http://www3.lrs.lt/cgi-bin/preps2?a=274804&amp;b="/>
  <Relationship Id="rId57" Type="http://schemas.openxmlformats.org/officeDocument/2006/relationships/hyperlink" TargetMode="External" Target="http://www3.lrs.lt/cgi-bin/preps2?a=227304&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396597&amp;b="/>
  <Relationship Id="rId6" Type="http://schemas.openxmlformats.org/officeDocument/2006/relationships/footer" Target="footer3.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386459&amp;b="/>
  <Relationship Id="rId62" Type="http://schemas.openxmlformats.org/officeDocument/2006/relationships/hyperlink" TargetMode="External" Target="http://www3.lrs.lt/cgi-bin/preps2?a=396597&amp;b="/>
  <Relationship Id="rId63" Type="http://schemas.openxmlformats.org/officeDocument/2006/relationships/hyperlink" TargetMode="External" Target="http://www3.lrs.lt/cgi-bin/preps2?a=396597&amp;b="/>
  <Relationship Id="rId64" Type="http://schemas.openxmlformats.org/officeDocument/2006/relationships/hyperlink" TargetMode="External" Target="http://www3.lrs.lt/cgi-bin/preps2?a=396597&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274804&amp;b="/>
  <Relationship Id="rId69" Type="http://schemas.openxmlformats.org/officeDocument/2006/relationships/hyperlink" TargetMode="External" Target="http://www3.lrs.lt/cgi-bin/preps2?a=227304&amp;b="/>
  <Relationship Id="rId7" Type="http://schemas.openxmlformats.org/officeDocument/2006/relationships/footnotes" Target="footnotes.xml"/>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274804&amp;b="/>
  <Relationship Id="rId72" Type="http://schemas.openxmlformats.org/officeDocument/2006/relationships/hyperlink" TargetMode="External" Target="http://www3.lrs.lt/cgi-bin/preps2?a=227304&amp;b="/>
  <Relationship Id="rId73" Type="http://schemas.openxmlformats.org/officeDocument/2006/relationships/hyperlink" TargetMode="External" Target="http://www3.lrs.lt/cgi-bin/preps2?a=206757&amp;b="/>
  <Relationship Id="rId74" Type="http://schemas.openxmlformats.org/officeDocument/2006/relationships/hyperlink" TargetMode="External" Target="http://www3.lrs.lt/cgi-bin/preps2?a=227304&amp;b="/>
  <Relationship Id="rId75" Type="http://schemas.openxmlformats.org/officeDocument/2006/relationships/hyperlink" TargetMode="External" Target="http://www3.lrs.lt/cgi-bin/preps2?a=359889&amp;b="/>
  <Relationship Id="rId76" Type="http://schemas.openxmlformats.org/officeDocument/2006/relationships/hyperlink" TargetMode="External" Target="http://www3.lrs.lt/cgi-bin/preps2?a=415118&amp;b="/>
  <Relationship Id="rId77" Type="http://schemas.openxmlformats.org/officeDocument/2006/relationships/hyperlink" TargetMode="External" Target="http://www3.lrs.lt/cgi-bin/preps2?a=2273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header" Target="header1.xml"/>
  <Relationship Id="rId80" Type="http://schemas.openxmlformats.org/officeDocument/2006/relationships/hyperlink" TargetMode="External" Target="http://www3.lrs.lt/cgi-bin/preps2?a=412356&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274804&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412356&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header" Target="header2.xml"/>
  <Relationship Id="rId90" Type="http://schemas.openxmlformats.org/officeDocument/2006/relationships/hyperlink" TargetMode="External" Target="http://www3.lrs.lt/cgi-bin/preps2?a=396599&amp;b="/>
  <Relationship Id="rId91" Type="http://schemas.openxmlformats.org/officeDocument/2006/relationships/hyperlink" TargetMode="External" Target="http://www3.lrs.lt/cgi-bin/preps2?a=396597&amp;b="/>
  <Relationship Id="rId92" Type="http://schemas.openxmlformats.org/officeDocument/2006/relationships/hyperlink" TargetMode="External" Target="http://www3.lrs.lt/cgi-bin/preps2?a=274804&amp;b="/>
  <Relationship Id="rId93" Type="http://schemas.openxmlformats.org/officeDocument/2006/relationships/hyperlink" TargetMode="External" Target="http://www3.lrs.lt/cgi-bin/preps2?a=227304&amp;b="/>
  <Relationship Id="rId94" Type="http://schemas.openxmlformats.org/officeDocument/2006/relationships/hyperlink" TargetMode="External" Target="http://www3.lrs.lt/cgi-bin/preps2?a=274804&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361206&amp;b="/>
  <Relationship Id="rId97" Type="http://schemas.openxmlformats.org/officeDocument/2006/relationships/hyperlink" TargetMode="External" Target="http://www3.lrs.lt/cgi-bin/preps2?a=412373&amp;b="/>
  <Relationship Id="rId98" Type="http://schemas.openxmlformats.org/officeDocument/2006/relationships/hyperlink" TargetMode="External" Target="http://www3.lrs.lt/cgi-bin/preps2?a=230454&amp;b="/>
  <Relationship Id="rId99" Type="http://schemas.openxmlformats.org/officeDocument/2006/relationships/hyperlink" TargetMode="External" Target="http://www3.lrs.lt/cgi-bin/preps2?a=3612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7223cb3603134b649076de5449c062f3">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3d348fd3ec4540b4a78d28a4348377e1"/>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str. 2 d. 8 p." DocPartId="5eef174774064bdda7fb313d8253a46f" PartId="28e8069e9ff24f49b69c85b6a11ea26d"/>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7d914594e97041f69109d57bfe7dcea8">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fb56c73ba1ea49829cce1759a294c0aa"/>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a6f2c0cb752b4af58314d4ff25ebbc90"/>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e11e3d00bd1e43529fdbfa857be62b0d">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854fc62711864b259101a77402f1ee35">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2b6315c626b24fc4b86ca70d5b0bddc1"/>
        <Part Type="strDalis" Nr="2" Abbr="42 str. 2 d." DocPartId="c7009312ed4446af8963ebab66c916b0" PartId="31b1da8f8a8749419990128679c49e31">
          <Part Type="strPunktas" Nr="1" Abbr="42 str. 2 d. 1 p." DocPartId="95994358b18a4dc6a7ba4c7c9c75bf41" PartId="8c64eb7dc2924a93bfbdac7ed255776a"/>
          <Part Type="strPunktas" Nr="2" Abbr="42 str. 2 d. 2 p." DocPartId="878c57960cae40b2af0c8f5de9211732" PartId="80726d0f3b4e4792babf25bdaea0c8dd"/>
          <Part Type="strPunktas" Nr="3" Abbr="42 str. 2 d. 3 p." DocPartId="77ebd4ca67d64668814cd2cc2afd3e64" PartId="3571199fe782484c84fdc82e8ef87ee5"/>
          <Part Type="strPunktas" Nr="4" Abbr="42 str. 2 d. 4 p." DocPartId="a111604f6d2a4eda8d78998806798303" PartId="2b5b554ebb964916bfca1520eef08dae"/>
          <Part Type="strPunktas" Nr="5" Abbr="42 str. 2 d. 5 p." DocPartId="3e2e68e4cacf4fe9a7fe5cfa69369534" PartId="bac50210af524032a55123146f68646b"/>
          <Part Type="strPunktas" Nr="6" Abbr="42 str. 2 d. 6 p." DocPartId="a959a9b96b2c46faba7fc0446d32eba8" PartId="ccff1aa9e8a14ef0832337cb8013a308"/>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3d66123bcf5e473cbffb2d6ee9df658b"/>
          <Part Type="strPunktas" Nr="11" Abbr="42 str. 2 d. 11 p." DocPartId="4b9fae06d6c747b0ac5736aa002a0b33" PartId="8f53e3f54cb1455a9ebbc6698371dacf"/>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42635e529bb84a2eb87d568b6899a343"/>
          <Part Type="strPunktas" Nr="15" Abbr="15 p." DocPartId="e020fec210534a8f8bcf9db8cb739abd" PartId="1759d1d63f3b4a58be751181c688b3c1"/>
          <Part Type="strPunktas" Nr="16" Abbr="16 p." DocPartId="42f2fe54286b4ebb9d41e422aad4dbe7" PartId="05d3ad08bbd64ed4a57dd13f417bda4b"/>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5c064b716e7e4345938c029362e2b516"/>
          <Part Type="strPunktas" Nr="6" Abbr="42 str. 4 d. 6 p." DocPartId="a15b224313014767b76bc7b9926c984e" PartId="90150f93cbad4422a4d79d027d063960"/>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da7156fde656450caf0449e13b8aca59">
          <Part Type="strPunktas" Nr="1" Abbr="42 str. 7 d. 1 p." DocPartId="c716159c437a4125ac69c3c9fed481bd" PartId="c253aa68f4d84699b84621fca7f8c5af"/>
          <Part Type="strPunktas" Nr="2" Abbr="42 str. 7 d. 2 p." DocPartId="2e747e1a1e034fa2a34d2a649de7e729" PartId="444001d0e75545c3871617b38f647e63"/>
        </Part>
        <Part Type="strDalis" Nr="8" Abbr="42 str. 8 d." DocPartId="c9459246896145c7ac09dfdaff59c157" PartId="180083a8a059400593cc3eae4d0c823e"/>
        <Part Type="strDalis" Nr="9" Abbr="42 str. 9 d." DocPartId="8db5481a41414559b3321c813a5056e5" PartId="13ac469b5a5743bfae031b572a826cf1"/>
        <Part Type="strDalis" Nr="10" Abbr="42 str. 10 d." DocPartId="ee0a5d063daf41e59a1b80a2bbaf9eae" PartId="5529614497114b059a721a8b2c80f4bc"/>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96ad6d6f2ade42689ce4c794970a8d30"/>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491cb0e8c59d4940a1d5e5a39bf26ba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432fd19d7454350acb574c3c8dc00e7"/>
          <Part Type="strPunktas" Nr="6" Abbr="43 str. 7 d. 6 p." DocPartId="4eec2bad58404ec8bb496b31ee2aa97f" PartId="894ef701bb6a4b7b99514da6d6a4d4a9"/>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25e904ae273749b5b621ae2ebfc7b85f"/>
          <Part Type="strPunktas" Nr="10" Abbr="43 str. 7 d. 10 p." DocPartId="e5a7df614c5f4ad7a7d4452d01fae5fa" PartId="3299448453c941c1afa24fb3bdab3e6e"/>
          <Part Type="strPunktas" Nr="11" Abbr="43 str. 7 d. 11 p." DocPartId="e6caa3313f41400b99ae0edce4309e49" PartId="4e1edf069d2b4408a2beb74173d394a7"/>
          <Part Type="strPunktas" Nr="12" Abbr="43 str. 7 d. 12 p." DocPartId="3c86e1067adc4b958dc91f8d94f8a757" PartId="eb5c94032d244b2fa63ec4f1b7cbb0ea"/>
          <Part Type="strPunktas" Nr="13" Abbr="43 str. 7 d. 13 p." DocPartId="0467e3a3b13d45ac82ad2afa7d54e84b" PartId="35ac06cfb47a406ca1b6131b224a9c9e"/>
          <Part Type="strPunktas" Nr="14" Abbr="43 str. 7 d. 14 p." DocPartId="9554602f88124e92a2fb079400d78e31" PartId="cfbd6e0be2e14ee993e7bdd781c3a12b"/>
          <Part Type="strPunktas" Nr="15" Abbr="43 str. 7 d. 15 p." DocPartId="eb6d1d5cde0840f89eaf22f9a4655917" PartId="d8a807398a3e4730978bb8b2e463074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647bf12006c9411ea3113bf650f34387"/>
          <Part Type="strPunktas" Nr="19" Abbr="19 p." DocPartId="9afefd0dbea84b1aa1cc90faefb658d1" PartId="64d499c34c7e4d0d9ae59520fff75d81"/>
          <Part Type="strPunktas" Nr="20" Abbr="20 p." DocPartId="448bfa64e47c4868bcecf054d6b9aba7" PartId="a9d855bda1ea44f4a7e8b91aa0d8d36a"/>
          <Part Type="strPunktas" Nr="21" Abbr="21 p." DocPartId="f4daaf2273cc45c6b565e046baf76406" PartId="c01aa4878dcb4307af7d82ad0ed2d8d7"/>
        </Part>
        <Part Type="strDalis" Nr="8" Abbr="43 str. 8 d." DocPartId="b49dfc8b8acb4b5fb8bbeda6b997c168" PartId="196e9a673d3c4558964ddedc060f2fd1"/>
        <Part Type="strDalis" Nr="9" Abbr="43 str. 9 d." DocPartId="594c8bc9c773407e9b6872393ad83ebb" PartId="eab021f58a134b4fb931b34c3acd754f"/>
        <Part Type="strDalis" Nr="10" Abbr="10 d." DocPartId="fa887291729a4f16a41002535c1cbef1" PartId="cd478a423b674d39aeb42cd66085b217"/>
        <Part Type="strDalis" Nr="11" Abbr="43 str. 11 d." DocPartId="565ed592fc9841cda9ce54af3c0235ca" PartId="82c3dffeff12453ea9f04bbb42587502"/>
        <Part Type="strDalis" Nr="12" Abbr="43 str. 12 d." DocPartId="8155a234247a4fac98c0f6550d2203b9" PartId="960041c2c8a5458e89af9ab6bfdcda76"/>
        <Part Type="strDalis" Nr="13" Abbr="43 str. 13 d." DocPartId="4867d12541934e61a011bcdcf9b66f0a" PartId="664203525a774b3da1c5e0c28d854f29"/>
      </Part>
      <Part Type="straipsnis" Nr="43-1" Abbr="43-1 str." Title="Prašymų išduoti licenciją, leidimą, sutikimą arba atlikti kitus veiksmus nagrinėjimas ir Lietuvos banko sprendimai" DocPartId="4be1f2afb40a46a198913541c5c3e9e3" PartId="119580685823474bab378cbf5cc7a164">
        <Part Type="strDalis" Nr="1" Abbr="43-1 str. 1 d." DocPartId="1cca9380f370479583c7c9ae93d0436b" PartId="55b049e138d04af5bc6dfe4327cdde45"/>
        <Part Type="strDalis" Nr="2" Abbr="43-1 str. 2 d." DocPartId="70c862cda0a74701932c5652f3ec72a9" PartId="1247a26486a34bedacdc4a59089e9395"/>
        <Part Type="strDalis" Nr="3" Abbr="43-1 str. 3 d." DocPartId="a28186912527414bb43d873852d4d969" PartId="e3a2560976dc45e6a00c7774709b68c8"/>
        <Part Type="strDalis" Nr="4" Abbr="43-1 str. 4 d." DocPartId="e8e0e6faf1f04cbebd390df371e96867" PartId="689e975560734eae86abad0a9c253e75"/>
      </Part>
      <Part Type="straipsnis" Nr="43-2" Abbr="43-2 str." Title="Lietuvos banko duodami privalomi nurodymai" DocPartId="654fb9a34d2c4a4a83451e89bca0da06" PartId="a8402023f4f04a0f8a46b87dfa1facc3">
        <Part Type="strDalis" Nr="1" Abbr="43-2 str. 1 d." DocPartId="d3daaff2d95f443697dcaba3a6c5884c" PartId="c2f02ae572b44741acdee4507365c022"/>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5 d." DocPartId="4757f495979b47a380ed683ddbd5fa5d" PartId="0cd99273aaa04f5eb3278eb6d6c2676b"/>
        <Part Type="strDalis" Nr="6" Abbr="43-2 str. 6 d." DocPartId="707be677be07475e9bcb28e50bcdddba" PartId="ca0cada581794232bd424e539a3ecdd3"/>
        <Part Type="strDalis" Nr="7" Abbr="43-2 str. 7 d." DocPartId="204bc5a22cc949758197a81ebf3c9b83" PartId="5acf2c4615be4fe3854f70199e84459f"/>
        <Part Type="strDalis" Nr="8" Abbr="43-2 str. 8 d." DocPartId="a9bf5deb6ea9483cabed809c5c86ea14" PartId="a0873650ec5e4a8d9b4aa2d5bedb78be"/>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7f6da0f9ed434f89846ca9755f7cfc56"/>
        <Part Type="strDalis" Nr="15" Abbr="43-3 str. 15 d." DocPartId="a9dacea4fbb84ca0a3df64cad14bede8" PartId="8c47a56f06b7459da119b4e209d0e193"/>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14283280c6c944068385274c49917cc6">
        <Part Type="strDalis" Nr="1" Abbr="43-7 str. 1 d." DocPartId="7f8e2351e77241ebb7675f4aa6437e0e" PartId="2c6e8db15e5347e2b7b12f6929dfb9e0">
          <Part Type="strPunktas" Nr="1" Abbr="43-7 str. 1 d. 1 p." DocPartId="1190d3342992459d876b94292e78df88" PartId="0686758ad3fd4b66b731e9a102f66062"/>
          <Part Type="strPunktas" Nr="2" Abbr="43-7 str. 1 d. 2 p." DocPartId="a42d7c8c61b5408d9481396f509e0a31" PartId="205e754736a54b9a8a123ced8dcdd6f7"/>
          <Part Type="strPunktas" Nr="3" Abbr="43-7 str. 1 d. 3 p." DocPartId="7e2bce8d43994f5e898cef48d91ca53a" PartId="7a916f8a81084512811a00a32d77634c"/>
          <Part Type="strPunktas" Nr="4" Abbr="43-7 str. 1 d. 4 p." DocPartId="3716873efe884d3098ca4b5cbb6deac7" PartId="918f3b89096f497298b725e0af9bcf6e"/>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36bb73cc92254f1aafb004b6fdd64fe5">
        <Part Type="strDalis" Nr="1" Abbr="47 str. 1 d." DocPartId="776d61fd0e93483a9afd2b6c3e2117e2" PartId="e7b24beba19046f0a7776950a4b7ce6a"/>
        <Part Type="strDalis" Nr="2" Abbr="47 str. 2 d." DocPartId="9ed9844713644405826e7bc155428b1d" PartId="5dc3c93ad64c4165b694964e0b8e36f8">
          <Part Type="strPunktas" Nr="1" Abbr="47 str. 2 d. 1 p." DocPartId="11d80f037e8a4fe0a92c1e06d20c1f8c" PartId="3e0b7cdbdd9f40088e3fb815f016f609"/>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87b5b3ca77dd440bac53e9beba42cc23"/>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83a3c1541e6f4b878d254e588640fad0">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042ec70dfbbb4025877700aac4d9df1f">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eba2ba53d8e441e5a66f16e326d74b1b"/>
  <Part Type="priedas" Nr="2" Abbr="2 pr." Title="FINANSŲ RINKOS DALYVIAI, MOKANTYS ĮMOKAS FINANSŲ SEKTORIAUS SUBJEKTŲ PERTVARKYMO INSTITUCIJOS IŠLAIDOMS PADENGTI, ĮMOKŲ BAZĖ IR MAKSIMALŪS ĮMOKŲ DYDŽIAI" DocPartId="bd114910dc7a4a569fe329090b2230cd" PartId="1036706cce1f45538785f7006b7f7bdc"/>
  <Part Type="priedas" Nr="3" Abbr="3 pr." Title="ĮGYVENDINAMI EUROPOS SĄJUNGOS TEISĖS AKTAI" DocPartId="ad910aac343e4fd79e5b0dcd83308be3" PartId="55fc40a85bc3467f821af67c3027e100">
    <Part Type="punktas" Nr="1" Abbr="3 pr. 1 p." DocPartId="cf42cb4c3d2247f6b44459da7ebee02e" PartId="70987c694c624ee9ac94c9ccd66fcbf9"/>
    <Part Type="punktas" Nr="2" Abbr="3 pr. 2 p." DocPartId="0bb59b436cba4ec193fc3fdd3afcdbb7" PartId="36d3702d224045e282a731450f64c30c"/>
    <Part Type="punktas" Nr="3" Abbr="3 pr. 3 p." DocPartId="358f3c8ace5f4db0b86f5854bd618e5a" PartId="5b3f11652adc4e4989c84502ec4d182d"/>
    <Part Type="punktas" Nr="4" Abbr="3 pr. 4 p." DocPartId="7654cbec849c4372b47d43f6c17b664c" PartId="0818cc62e5e74edab29d17f422ecb8ce"/>
    <Part Type="punktas" Nr="5" Abbr="3 pr. 5 p." DocPartId="96731987afba46d0abb34fff963421b0" PartId="2ab6f2508efc46b191e69921ff6dc348"/>
    <Part Type="punktas" Nr="6" Abbr="3 pr. 6 p." DocPartId="8f3b212595124c8388f3da586e248dcf" PartId="37bae73f121f4b2c99b9e985bd6bb963"/>
    <Part Type="punktas" Nr="7" Abbr="3 pr. 7 p." DocPartId="b1171a117eb34d53b3d4a4ca02da2917" PartId="c65b95d7ce40424095d9a3fb21027861"/>
    <Part Type="punktas" Nr="8" Abbr="3 pr. 8 p." DocPartId="eb07e145472c400191fa6c544bb3d3a6" PartId="fd88f81f375a495d8f7b92cbe943dbc1"/>
    <Part Type="punktas" Nr="9" Abbr="3 pr. 9 p." DocPartId="1718542f80ca495c9379700e2e23a7d7" PartId="3fbb60b8d4e64e5f9171a94e00c00f88"/>
    <Part Type="punktas" Nr="10" Abbr="3 pr. 10 p." DocPartId="36c2803005e34c6184882eaeeb55a9db" PartId="1c827cd8db7a4be785f2cdf127e0b6de"/>
    <Part Type="punktas" Nr="11" Abbr="3 pr. 11 p." DocPartId="b4da429d2f7245e8a530ef9669ed0db1" PartId="ce03f78e8037424485d0da48b93f89bf"/>
    <Part Type="punktas" Nr="12" Abbr="3 pr. 12 p." DocPartId="f7a277d30d984ad884dc5a3e61ea5631" PartId="aeef0531157f4c3e9d8d8e4016f2e700"/>
    <Part Type="punktas" Nr="13" Abbr="3 pr. 13 p." DocPartId="c61f2ccbf339409888f16df773b962eb" PartId="594f0486d22e4695b90cbfa18f4ad5c3"/>
    <Part Type="punktas" Nr="14" Abbr="3 pr. 14 p." DocPartId="59efda70931b41d5990ea0937d0e9eb3" PartId="7091d0a9a5e34355b887b6a0c39d13b2"/>
    <Part Type="punktas" Nr="15" Abbr="3 pr. 15 p." DocPartId="589e27361c194706b9f2e4f70aab9b8a" PartId="754abe21ccb8446da646986875408689"/>
    <Part Type="punktas" Nr="16" Abbr="3 pr. 16 p." DocPartId="8eb8ee211e3f49328158fa6de059e401" PartId="467b34dc44bf438d87ea0e13f1c61779"/>
    <Part Type="punktas" Nr="17" Abbr="3 pr. 17 p." DocPartId="6ad9ff07a8a94f92a507d95ebd3ad339" PartId="e9ac311220264c669a630f2b67de19aa"/>
    <Part Type="punktas" Nr="18" Abbr="18 p." DocPartId="405e7ef5d49045fba2f2eee9b0a40f08" PartId="e6dfc9f996ed4ef4b652787820f364d2"/>
    <Part Type="punktas" Nr="19" Abbr="3 pr. 19 p." DocPartId="1886804c1e7544ce82015b2d5225e95e" PartId="33a7abc0a5f04f29bf5cd1b1cd97d4a6"/>
    <Part Type="punktas" Nr="20" Abbr="3 pr. 20 p." DocPartId="e83043aff86647e796bd77b7930518ea" PartId="efed230da1254b2fa88586623ea850db"/>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0103031-8C50-4037-8B69-F7B2C8D5FA3C}">
  <ds:schemaRefs>
    <ds:schemaRef ds:uri="http://lrs.lt/TAIS/DocParts"/>
  </ds:schemaRefs>
</ds:datastoreItem>
</file>

<file path=customXml/itemProps3.xml><?xml version="1.0" encoding="utf-8"?>
<ds:datastoreItem xmlns:ds="http://schemas.openxmlformats.org/officeDocument/2006/customXml" ds:itemID="{9E0DD511-C645-4EF9-B677-E1AC4FC996A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131</TotalTime>
  <Pages>41</Pages>
  <Words>19723</Words>
  <Characters>149158</Characters>
  <Application>Microsoft Office Word</Application>
  <DocSecurity>0</DocSecurity>
  <Lines>1242</Lines>
  <Paragraphs>337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168544</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TRAPINSKIENĖ Aušrinė</lastModifiedBy>
  <dcterms:modified xsi:type="dcterms:W3CDTF">2022-07-14T06:10:00Z</dcterms:modified>
  <revision>49</revision>
  <dc:title>Neoficialus ?statymo tekstas</dc:title>
</coreProperties>
</file>