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2023-04-01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5c718ab61cc149ae98a1b69a6651d54b"/>
                <w:lock w:val="sdtLocked"/>
                <w:richText/>
              </w:sdtPr>
              <w:sdtContent>
                <w:p>
                  <w:pPr>
                    <w:ind w:firstLine="720"/>
                    <w:jc w:val="both"/>
                    <w:rPr>
                      <w:b/>
                      <w:bCs/>
                      <w:sz w:val="22"/>
                      <w:szCs w:val="22"/>
                      <w:lang w:eastAsia="lt-LT"/>
                    </w:rPr>
                  </w:pPr>
                  <w:sdt>
                    <w:sdtPr>
                      <w:alias w:val="Numeris"/>
                      <w:tag w:val="nr_5c718ab61cc149ae98a1b69a6651d54b"/>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5c718ab61cc149ae98a1b69a6651d54b"/>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e4d8a7042efe4e7bbd180d847ab75c27"/>
                    <w:lock w:val="sdtLocked"/>
                    <w:richText/>
                  </w:sdtPr>
                  <w:sdtContent>
                    <w:p>
                      <w:pPr>
                        <w:ind w:firstLine="720"/>
                        <w:jc w:val="both"/>
                        <w:rPr>
                          <w:sz w:val="22"/>
                          <w:szCs w:val="22"/>
                        </w:rPr>
                      </w:pPr>
                      <w:sdt>
                        <w:sdtPr>
                          <w:alias w:val="Numeris"/>
                          <w:tag w:val="nr_e4d8a7042efe4e7bbd180d847ab75c27"/>
                          <w:lock w:val="sdtLocked"/>
                          <w:richText/>
                        </w:sdtPr>
                        <w:sdtContent>
                          <w:r>
                            <w:rPr>
                              <w:sz w:val="22"/>
                              <w:szCs w:val="22"/>
                            </w:rPr>
                            <w:t>3</w:t>
                          </w:r>
                        </w:sdtContent>
                      </w:sdt>
                      <w:r>
                        <w:rPr>
                          <w:sz w:val="22"/>
                          <w:szCs w:val="22"/>
                        </w:rPr>
                        <w:t xml:space="preserve">. </w:t>
                      </w:r>
                      <w:r>
                        <w:t xml:space="preserve">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b71b416e61f405f9506acd0ceea4eed"/>
                    <w:lock w:val="sdtLocked"/>
                    <w:richText/>
                  </w:sdtPr>
                  <w:sdtContent>
                    <w:p>
                      <w:pPr>
                        <w:ind w:firstLine="720"/>
                        <w:jc w:val="both"/>
                        <w:rPr>
                          <w:sz w:val="22"/>
                          <w:szCs w:val="22"/>
                        </w:rPr>
                      </w:pPr>
                      <w:sdt>
                        <w:sdtPr>
                          <w:alias w:val="Numeris"/>
                          <w:tag w:val="nr_4b71b416e61f405f9506acd0ceea4eed"/>
                          <w:lock w:val="sdtLocked"/>
                          <w:richText/>
                        </w:sdtPr>
                        <w:sdtContent>
                          <w:r>
                            <w:rPr>
                              <w:sz w:val="22"/>
                              <w:szCs w:val="22"/>
                              <w:lang w:eastAsia="lt-LT"/>
                            </w:rPr>
                            <w:t>4</w:t>
                          </w:r>
                        </w:sdtContent>
                      </w:sdt>
                      <w:r>
                        <w:rPr>
                          <w:sz w:val="22"/>
                          <w:szCs w:val="22"/>
                        </w:rPr>
                        <w:t>.</w:t>
                      </w:r>
                      <w:r>
                        <w:rPr>
                          <w:bCs/>
                          <w:sz w:val="22"/>
                          <w:szCs w:val="22"/>
                        </w:rPr>
                        <w:t xml:space="preserve"> </w:t>
                      </w:r>
                      <w:r>
                        <w:rPr>
                          <w:sz w:val="22"/>
                          <w:szCs w:val="22"/>
                        </w:rPr>
                        <w:t xml:space="preserve">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 xml:space="preserve">Nacionaliniai mokinių pasiekimų patikrinimai organizuojami švietimo, mokslo ir sporto ministro nustatyta tvarka. </w:t>
                      </w:r>
                      <w:r>
                        <w:rPr>
                          <w:sz w:val="22"/>
                          <w:szCs w:val="22"/>
                        </w:rPr>
                        <w:t>Visos bendrojo ugdymo mokyklos užtikrina lietuvių kalbos mokėjimą pagal švietimo, mokslo ir sporto ministro patvirtintą lietuvių kalbos ir literatūros bendrąją programą (</w:t>
                      </w:r>
                      <w:r>
                        <w:rPr>
                          <w:bCs/>
                          <w:sz w:val="22"/>
                          <w:szCs w:val="22"/>
                        </w:rPr>
                        <w:t>nacionalinio mokinių pasiekimų patikrinimo,</w:t>
                      </w:r>
                      <w:r>
                        <w:rPr>
                          <w:sz w:val="22"/>
                          <w:szCs w:val="22"/>
                        </w:rPr>
                        <w:t xml:space="preserve"> pagrindinio ugdymo pasiekimų patikrinimo ir brandos egzaminų).</w:t>
                      </w:r>
                    </w:p>
                    <w:p>
                      <w:pPr>
                        <w:jc w:val="both"/>
                        <w:rPr>
                          <w:b/>
                          <w:i/>
                          <w:sz w:val="20"/>
                          <w:lang w:eastAsia="lt-LT"/>
                        </w:rPr>
                      </w:pPr>
                      <w:r>
                        <w:rPr>
                          <w:b/>
                          <w:i/>
                          <w:sz w:val="20"/>
                        </w:rPr>
                        <w:t>4 dalies redakcija nuo 2024-09-01:</w:t>
                      </w:r>
                    </w:p>
                    <w:p>
                      <w:pPr>
                        <w:ind w:firstLine="720"/>
                        <w:jc w:val="both"/>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fbf8b86cd223401d801b2e156077480d"/>
                        <w:lock w:val="sdtLocked"/>
                        <w:richText/>
                      </w:sdtPr>
                      <w:sdtContent>
                        <w:p>
                          <w:pPr>
                            <w:ind w:firstLine="720"/>
                            <w:jc w:val="both"/>
                          </w:pPr>
                          <w:sdt>
                            <w:sdtPr>
                              <w:alias w:val="Numeris"/>
                              <w:tag w:val="nr_fbf8b86cd223401d801b2e156077480d"/>
                              <w:lock w:val="sdtLocked"/>
                              <w:richText/>
                            </w:sdtPr>
                            <w:sdtContent>
                              <w:r>
                                <w:rPr>
                                  <w:sz w:val="22"/>
                                  <w:szCs w:val="22"/>
                                </w:rPr>
                                <w:t>1</w:t>
                              </w:r>
                            </w:sdtContent>
                          </w:sdt>
                          <w:r>
                            <w:rPr>
                              <w:sz w:val="22"/>
                              <w:szCs w:val="22"/>
                            </w:rPr>
                            <w:t xml:space="preserve">) </w:t>
                          </w:r>
                          <w:r>
                            <w:t xml:space="preserve">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2 dalies 1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6270c04abeed4d85a4e0a04f1fd9737f"/>
                    <w:lock w:val="sdtLocked"/>
                    <w:richText/>
                  </w:sdtPr>
                  <w:sdtContent>
                    <w:p>
                      <w:pPr>
                        <w:suppressAutoHyphens/>
                        <w:ind w:firstLine="720"/>
                        <w:jc w:val="both"/>
                        <w:textAlignment w:val="baseline"/>
                        <w:rPr>
                          <w:sz w:val="22"/>
                          <w:szCs w:val="22"/>
                        </w:rPr>
                      </w:pPr>
                      <w:sdt>
                        <w:sdtPr>
                          <w:alias w:val="Numeris"/>
                          <w:tag w:val="nr_6270c04abeed4d85a4e0a04f1fd9737f"/>
                          <w:lock w:val="sdtLocked"/>
                          <w:richText/>
                        </w:sdtPr>
                        <w:sdtContent>
                          <w:r>
                            <w:rPr>
                              <w:sz w:val="22"/>
                              <w:szCs w:val="22"/>
                              <w:lang w:eastAsia="lt-LT"/>
                            </w:rPr>
                            <w:t>4</w:t>
                          </w:r>
                        </w:sdtContent>
                      </w:sdt>
                      <w:r>
                        <w:rPr>
                          <w:sz w:val="22"/>
                          <w:szCs w:val="22"/>
                          <w:lang w:eastAsia="lt-LT"/>
                        </w:rPr>
                        <w:t xml:space="preserve">. Pasibaigus valstybinės ar savivaldybės švietimo įstaigos (išskyrus </w:t>
                      </w:r>
                      <w:r>
                        <w:rPr>
                          <w:bCs/>
                          <w:sz w:val="22"/>
                          <w:szCs w:val="22"/>
                          <w:lang w:eastAsia="lt-LT"/>
                        </w:rPr>
                        <w:t>aukštą</w:t>
                      </w:r>
                      <w:r>
                        <w:rPr>
                          <w:bCs/>
                          <w:sz w:val="22"/>
                          <w:szCs w:val="22"/>
                        </w:rPr>
                        <w:t>ją</w:t>
                      </w:r>
                      <w:r>
                        <w:rPr>
                          <w:sz w:val="22"/>
                          <w:szCs w:val="22"/>
                          <w:lang w:eastAsia="lt-LT"/>
                        </w:rPr>
                        <w:t xml:space="preserve"> </w:t>
                      </w:r>
                      <w:r>
                        <w:rPr>
                          <w:bCs/>
                          <w:sz w:val="22"/>
                          <w:szCs w:val="22"/>
                          <w:lang w:eastAsia="lt-LT"/>
                        </w:rPr>
                        <w:t>mokyklą</w:t>
                      </w:r>
                      <w:r>
                        <w:rPr>
                          <w:sz w:val="22"/>
                          <w:szCs w:val="22"/>
                          <w:lang w:eastAsia="lt-LT"/>
                        </w:rPr>
                        <w:t xml:space="preserve">) vadovo pirmajai penkerių metų kadencijai, jis skiriamas be konkurso antrajai penkerių metų kadencijai, jeigu jo metų veikla kiekvienais metais buvo vertinama labai gerai arba gerai </w:t>
                      </w:r>
                      <w:r>
                        <w:rPr>
                          <w:bCs/>
                          <w:sz w:val="22"/>
                          <w:szCs w:val="22"/>
                          <w:lang w:eastAsia="lt-LT"/>
                        </w:rPr>
                        <w:t>ir jis sutinka eiti pareigas</w:t>
                      </w:r>
                      <w:r>
                        <w:rPr>
                          <w:sz w:val="22"/>
                          <w:szCs w:val="22"/>
                          <w:lang w:eastAsia="lt-LT"/>
                        </w:rPr>
                        <w:t xml:space="preserve">. Pasibaigus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xml:space="preserve">) vadovo kadencijai, jam sutikus, jo įgaliojimai pratęsiami, iki įvyks viešas konkursas švietimo įstaigos vadovo pareigoms eiti ir bus paskirtas švietimo įstaigos vadovas.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vadovas, baigęs penkerių metų kadenciją, turi teisę dalyvauti tos pačios švietimo įstaigos viešame konkurse vadovo pareigoms eiti.</w:t>
                      </w:r>
                      <w:r>
                        <w:rPr>
                          <w:sz w:val="22"/>
                          <w:szCs w:val="22"/>
                        </w:rPr>
                        <w:t xml:space="preserve"> </w:t>
                      </w:r>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d97f86348cc64b4e9b446e60868fc0ce"/>
                    <w:lock w:val="sdtLocked"/>
                    <w:richText/>
                  </w:sdtPr>
                  <w:sdtContent>
                    <w:p>
                      <w:pPr>
                        <w:suppressAutoHyphens/>
                        <w:ind w:firstLine="720"/>
                        <w:jc w:val="both"/>
                        <w:textAlignment w:val="baseline"/>
                        <w:rPr>
                          <w:sz w:val="22"/>
                          <w:szCs w:val="22"/>
                        </w:rPr>
                      </w:pPr>
                      <w:sdt>
                        <w:sdtPr>
                          <w:alias w:val="Numeris"/>
                          <w:tag w:val="nr_d97f86348cc64b4e9b446e60868fc0ce"/>
                          <w:lock w:val="sdtLocked"/>
                          <w:richText/>
                        </w:sdtPr>
                        <w:sdtContent>
                          <w:r>
                            <w:rPr>
                              <w:bCs/>
                              <w:sz w:val="22"/>
                              <w:szCs w:val="22"/>
                              <w:lang w:eastAsia="lt-LT"/>
                            </w:rPr>
                            <w:t>9</w:t>
                          </w:r>
                        </w:sdtContent>
                      </w:sdt>
                      <w:r>
                        <w:rPr>
                          <w:bCs/>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bCs/>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bCs/>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d2ca14e7d2a74df597663d2f6c42966d"/>
                        <w:lock w:val="sdtLocked"/>
                        <w:richText/>
                      </w:sdtPr>
                      <w:sdtContent>
                        <w:p>
                          <w:pPr>
                            <w:suppressAutoHyphens/>
                            <w:ind w:firstLine="720"/>
                            <w:jc w:val="both"/>
                            <w:textAlignment w:val="baseline"/>
                            <w:rPr>
                              <w:sz w:val="22"/>
                              <w:szCs w:val="22"/>
                            </w:rPr>
                          </w:pPr>
                          <w:sdt>
                            <w:sdtPr>
                              <w:alias w:val="Numeris"/>
                              <w:tag w:val="nr_d2ca14e7d2a74df597663d2f6c42966d"/>
                              <w:lock w:val="sdtLocked"/>
                              <w:richText/>
                            </w:sdtPr>
                            <w:sdtContent>
                              <w:r>
                                <w:rPr>
                                  <w:bCs/>
                                  <w:sz w:val="22"/>
                                  <w:szCs w:val="22"/>
                                  <w:lang w:eastAsia="lt-LT"/>
                                </w:rPr>
                                <w:t>1</w:t>
                              </w:r>
                            </w:sdtContent>
                          </w:sdt>
                          <w:r>
                            <w:rPr>
                              <w:bCs/>
                              <w:sz w:val="22"/>
                              <w:szCs w:val="22"/>
                              <w:lang w:eastAsia="lt-LT"/>
                            </w:rPr>
                            <w:t>) yra atleistas iš pareigų dėl pareigybės panaikinimo, į kurią jis jau yra laimėjęs viešą konkursą švietimo įstaigos vadovo pareigoms eiti po 2018 m. sausio 1 d., ir jo visų metų veikla kadencijos, kurios metu jis atleistas iš pareigų dėl pareigybės panaikinimo, laikotarpiu buvo įvertinta gerai ir labai gerai;</w:t>
                          </w:r>
                        </w:p>
                      </w:sdtContent>
                    </w:sdt>
                    <w:sdt>
                      <w:sdtPr>
                        <w:alias w:val="59 str. 9 d. 2 p."/>
                        <w:tag w:val="part_4a613da9b1da4aeb81f996aeb01359c0"/>
                        <w:lock w:val="sdtLocked"/>
                        <w:richText/>
                      </w:sdtPr>
                      <w:sdtContent>
                        <w:p>
                          <w:pPr>
                            <w:suppressAutoHyphens/>
                            <w:ind w:firstLine="720"/>
                            <w:jc w:val="both"/>
                            <w:textAlignment w:val="baseline"/>
                            <w:rPr>
                              <w:sz w:val="22"/>
                              <w:szCs w:val="22"/>
                            </w:rPr>
                          </w:pPr>
                          <w:sdt>
                            <w:sdtPr>
                              <w:alias w:val="Numeris"/>
                              <w:tag w:val="nr_4a613da9b1da4aeb81f996aeb01359c0"/>
                              <w:lock w:val="sdtLocked"/>
                              <w:richText/>
                            </w:sdtPr>
                            <w:sdtContent>
                              <w:r>
                                <w:rPr>
                                  <w:bCs/>
                                  <w:sz w:val="22"/>
                                  <w:szCs w:val="22"/>
                                </w:rPr>
                                <w:t>2</w:t>
                              </w:r>
                            </w:sdtContent>
                          </w:sdt>
                          <w:r>
                            <w:rPr>
                              <w:bCs/>
                              <w:sz w:val="22"/>
                              <w:szCs w:val="22"/>
                            </w:rPr>
                            <w:t>) yra pabaigęs penkerių metų kadenciją, kurios metu visais metais jo veikla buvo įvertinta gerai ir labai gerai, ir yra atsisakęs būti paskirtas be konkurso antrajai penkerių metų kadencijai šio straipsnio 4 dalyje nustatyta tvarka arba dalyvauti viešame konkurse tos pačios švietimo įstaigos vadovo pareigoms eiti.</w:t>
                          </w:r>
                        </w:p>
                      </w:sdtContent>
                    </w:sdt>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556d60c10b2548aabae7057033b27243"/>
                    <w:lock w:val="sdtLocked"/>
                    <w:richText/>
                  </w:sdtPr>
                  <w:sdtContent>
                    <w:p>
                      <w:pPr>
                        <w:suppressAutoHyphens/>
                        <w:ind w:firstLine="720"/>
                        <w:jc w:val="both"/>
                        <w:textAlignment w:val="baseline"/>
                        <w:rPr>
                          <w:sz w:val="22"/>
                          <w:szCs w:val="22"/>
                        </w:rPr>
                      </w:pPr>
                      <w:sdt>
                        <w:sdtPr>
                          <w:alias w:val="Numeris"/>
                          <w:tag w:val="nr_556d60c10b2548aabae7057033b27243"/>
                          <w:lock w:val="sdtLocked"/>
                          <w:richText/>
                        </w:sdtPr>
                        <w:sdtContent>
                          <w:r>
                            <w:rPr>
                              <w:bCs/>
                              <w:sz w:val="22"/>
                              <w:szCs w:val="22"/>
                            </w:rPr>
                            <w:t>11</w:t>
                          </w:r>
                        </w:sdtContent>
                      </w:sdt>
                      <w:r>
                        <w:rPr>
                          <w:bCs/>
                          <w:sz w:val="22"/>
                          <w:szCs w:val="22"/>
                        </w:rPr>
                        <w:t>.</w:t>
                      </w:r>
                      <w:r>
                        <w:rPr>
                          <w:sz w:val="22"/>
                          <w:szCs w:val="22"/>
                        </w:rPr>
                        <w:t xml:space="preserve"> Valstybinių švietimo įstaigų savininko teises ir pareigas įgyvendinanti institucija (dalyvių susirinkimas) ar jos (jo) įgaliotas asmuo, savivaldybių </w:t>
                      </w:r>
                      <w:r>
                        <w:rPr>
                          <w:bCs/>
                          <w:sz w:val="22"/>
                          <w:szCs w:val="22"/>
                        </w:rPr>
                        <w:t>biudžetinių</w:t>
                      </w:r>
                      <w:r>
                        <w:rPr>
                          <w:sz w:val="22"/>
                          <w:szCs w:val="22"/>
                        </w:rPr>
                        <w:t xml:space="preserve"> švietimo įstaigų atveju – savivaldybės meras, </w:t>
                      </w:r>
                      <w:r>
                        <w:rPr>
                          <w:bCs/>
                          <w:sz w:val="22"/>
                          <w:szCs w:val="22"/>
                        </w:rPr>
                        <w:t xml:space="preserve">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viešam konkursui švietimo įstaigos vadovo pareigoms eiti sudaro komisiją. Į viešo konkurso mokyklų vadovo pareigoms eiti komisiją </w:t>
                      </w:r>
                      <w:r>
                        <w:rPr>
                          <w:bCs/>
                          <w:sz w:val="22"/>
                          <w:szCs w:val="22"/>
                        </w:rPr>
                        <w:t>2 narius</w:t>
                      </w:r>
                      <w:r>
                        <w:rPr>
                          <w:sz w:val="22"/>
                          <w:szCs w:val="22"/>
                        </w:rPr>
                        <w:t xml:space="preserve">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w:t>
                      </w:r>
                      <w:r>
                        <w:rPr>
                          <w:bCs/>
                          <w:sz w:val="22"/>
                          <w:szCs w:val="22"/>
                        </w:rPr>
                        <w:t>biudžetinių</w:t>
                      </w:r>
                      <w:r>
                        <w:rPr>
                          <w:sz w:val="22"/>
                          <w:szCs w:val="22"/>
                        </w:rPr>
                        <w:t xml:space="preserve"> švietimo įstaigų atveju – savivaldybės meras, </w:t>
                      </w:r>
                      <w:r>
                        <w:rPr>
                          <w:bCs/>
                          <w:sz w:val="22"/>
                          <w:szCs w:val="22"/>
                        </w:rPr>
                        <w:t xml:space="preserve">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w:t>
                      </w:r>
                      <w:r>
                        <w:rPr>
                          <w:bCs/>
                          <w:sz w:val="22"/>
                          <w:szCs w:val="22"/>
                        </w:rPr>
                        <w:t>po vieną narį siūlo skirti</w:t>
                      </w:r>
                      <w:r>
                        <w:rPr>
                          <w:sz w:val="22"/>
                          <w:szCs w:val="22"/>
                        </w:rPr>
                        <w:t xml:space="preserve"> Švietimo, mokslo ir sporto ministerija, </w:t>
                      </w:r>
                      <w:r>
                        <w:rPr>
                          <w:bCs/>
                          <w:sz w:val="22"/>
                          <w:szCs w:val="22"/>
                        </w:rPr>
                        <w:t>švietimo įstaigų vadovų ar atitinkamo tipo švietimo įstaigų asociacija,</w:t>
                      </w:r>
                      <w:r>
                        <w:rPr>
                          <w:sz w:val="22"/>
                          <w:szCs w:val="22"/>
                        </w:rPr>
                        <w:t xml:space="preserve"> taip pat valstybinių mokyklų savininko teises ir pareigas įgyvendinanti institucija (dalyvių susirinkimas) ar jos (jo)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kviečia vieną mokyklos</w:t>
                      </w:r>
                      <w:r>
                        <w:rPr>
                          <w:bCs/>
                          <w:sz w:val="22"/>
                          <w:szCs w:val="22"/>
                        </w:rPr>
                        <w:t xml:space="preserve"> </w:t>
                      </w:r>
                      <w:r>
                        <w:rPr>
                          <w:sz w:val="22"/>
                          <w:szCs w:val="22"/>
                        </w:rPr>
                        <w:t xml:space="preserve">socialinių partnerių atstovą, </w:t>
                      </w:r>
                      <w:r>
                        <w:rPr>
                          <w:bCs/>
                          <w:sz w:val="22"/>
                          <w:szCs w:val="22"/>
                        </w:rPr>
                        <w:t>2</w:t>
                      </w:r>
                      <w:r>
                        <w:rPr>
                          <w:sz w:val="22"/>
                          <w:szCs w:val="22"/>
                        </w:rPr>
                        <w:t xml:space="preserve"> narius siūlo skirti mokyklos </w:t>
                      </w:r>
                      <w:r>
                        <w:rPr>
                          <w:bCs/>
                          <w:sz w:val="22"/>
                          <w:szCs w:val="22"/>
                        </w:rPr>
                        <w:t>taryba savo sprendimu (mokinys gali būti siūlomas, jei jam yra sukakę 16 metų).</w:t>
                      </w:r>
                      <w:r>
                        <w:rPr>
                          <w:sz w:val="22"/>
                          <w:szCs w:val="22"/>
                        </w:rPr>
                        <w:t xml:space="preserve"> Viešo konkurso švietimo įstaigos vadovo pareigoms eiti komisijos nariu gali būti tik asmuo</w:t>
                      </w:r>
                      <w:r>
                        <w:rPr>
                          <w:bCs/>
                          <w:sz w:val="22"/>
                          <w:szCs w:val="22"/>
                        </w:rPr>
                        <w:t>, kuris pagal šio įstatymo 5</w:t>
                      </w:r>
                      <w:r>
                        <w:rPr>
                          <w:bCs/>
                          <w:sz w:val="22"/>
                          <w:szCs w:val="22"/>
                          <w:vertAlign w:val="superscript"/>
                        </w:rPr>
                        <w:t>1</w:t>
                      </w:r>
                      <w:r>
                        <w:rPr>
                          <w:bCs/>
                          <w:sz w:val="22"/>
                          <w:szCs w:val="22"/>
                        </w:rPr>
                        <w:t xml:space="preserve"> straipsnį yra nepriekaištingos reputacijos</w:t>
                      </w:r>
                      <w:r>
                        <w:rPr>
                          <w:sz w:val="22"/>
                          <w:szCs w:val="22"/>
                        </w:rPr>
                        <w:t>. Šios komisijos nariais negali būti valstybės politikai ir politinio (asmeninio) pasitikėjimo valstybės tarnautojai. Komisijos sudėtis skelbiama viešai švietimo įstaigos interneto svetainėje.</w:t>
                      </w:r>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e0b99e0db1f1451299e96bf25321c830"/>
                    <w:lock w:val="sdtLocked"/>
                    <w:richText/>
                  </w:sdtPr>
                  <w:sdtContent>
                    <w:p>
                      <w:pPr>
                        <w:suppressAutoHyphens/>
                        <w:ind w:firstLine="720"/>
                        <w:jc w:val="both"/>
                        <w:textAlignment w:val="baseline"/>
                        <w:rPr>
                          <w:b/>
                          <w:sz w:val="22"/>
                          <w:szCs w:val="22"/>
                        </w:rPr>
                      </w:pPr>
                      <w:sdt>
                        <w:sdtPr>
                          <w:alias w:val="Numeris"/>
                          <w:tag w:val="nr_e0b99e0db1f1451299e96bf25321c830"/>
                          <w:lock w:val="sdtLocked"/>
                          <w:richText/>
                        </w:sdtPr>
                        <w:sdtContent>
                          <w:r>
                            <w:rPr>
                              <w:sz w:val="22"/>
                              <w:szCs w:val="22"/>
                            </w:rPr>
                            <w:t>15</w:t>
                          </w:r>
                        </w:sdtContent>
                      </w:sdt>
                      <w:r>
                        <w:rPr>
                          <w:sz w:val="22"/>
                          <w:szCs w:val="22"/>
                        </w:rPr>
                        <w:t xml:space="preserve">. </w:t>
                      </w:r>
                      <w:r>
                        <w:rPr>
                          <w:bCs/>
                          <w:sz w:val="22"/>
                          <w:szCs w:val="22"/>
                        </w:rPr>
                        <w:t>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w:t>
                      </w:r>
                      <w:r>
                        <w:rPr>
                          <w:sz w:val="22"/>
                          <w:szCs w:val="22"/>
                        </w:rPr>
                        <w:t xml:space="preserve"> Jeigu valstybinės ar savivaldybės švietimo įstaigos (išskyrus aukštąją mokyklą)</w:t>
                      </w:r>
                      <w:r>
                        <w:rPr>
                          <w:sz w:val="22"/>
                          <w:szCs w:val="22"/>
                          <w:shd w:val="clear" w:color="auto" w:fill="FFFFFF"/>
                        </w:rPr>
                        <w:t xml:space="preserve"> </w:t>
                      </w:r>
                      <w:r>
                        <w:rPr>
                          <w:sz w:val="22"/>
                          <w:szCs w:val="22"/>
                        </w:rPr>
                        <w:t xml:space="preserve">vadovo metų </w:t>
                      </w:r>
                      <w:r>
                        <w:rPr>
                          <w:bCs/>
                          <w:sz w:val="22"/>
                          <w:szCs w:val="22"/>
                        </w:rPr>
                        <w:t xml:space="preserve">veikla </w:t>
                      </w:r>
                      <w:r>
                        <w:rPr>
                          <w:sz w:val="22"/>
                          <w:szCs w:val="22"/>
                        </w:rPr>
                        <w:t xml:space="preserve">įvertinama nepatenkinamai dvejus metus iš eilės, </w:t>
                      </w:r>
                      <w:r>
                        <w:rPr>
                          <w:bCs/>
                          <w:sz w:val="22"/>
                          <w:szCs w:val="22"/>
                        </w:rPr>
                        <w:t>į pareigas priimantis asmuo</w:t>
                      </w:r>
                      <w:r>
                        <w:rPr>
                          <w:sz w:val="22"/>
                          <w:szCs w:val="22"/>
                        </w:rPr>
                        <w:t xml:space="preserve"> priima sprendimą atleisti valstybinės ar savivaldybės švietimo įstaigos (išskyrus aukštąją mokyklą) vadovą iš pareigų ir nutraukti su juo sudarytą darbo sutartį per 10 darbo dienų nuo švietimo įstaigos vadovo metų veiklos įvertinimo, neišmokant jam išeitinės išmokos.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76a3f21e819f44268a1e96b8f8f5caca"/>
                <w:lock w:val="sdtLocked"/>
                <w:richText/>
              </w:sdtPr>
              <w:sdtContent>
                <w:p>
                  <w:pPr>
                    <w:ind w:firstLine="720"/>
                    <w:jc w:val="both"/>
                    <w:rPr>
                      <w:b/>
                      <w:sz w:val="22"/>
                      <w:szCs w:val="22"/>
                    </w:rPr>
                  </w:pPr>
                  <w:sdt>
                    <w:sdtPr>
                      <w:alias w:val="Numeris"/>
                      <w:tag w:val="nr_76a3f21e819f44268a1e96b8f8f5caca"/>
                      <w:lock w:val="sdtLocked"/>
                      <w:richText/>
                    </w:sdtPr>
                    <w:sdtContent>
                      <w:r>
                        <w:rPr>
                          <w:b/>
                          <w:sz w:val="22"/>
                          <w:szCs w:val="22"/>
                        </w:rPr>
                        <w:t>67</w:t>
                      </w:r>
                    </w:sdtContent>
                  </w:sdt>
                  <w:r>
                    <w:rPr>
                      <w:b/>
                      <w:sz w:val="22"/>
                      <w:szCs w:val="22"/>
                    </w:rPr>
                    <w:t xml:space="preserve"> straipsnis. </w:t>
                  </w:r>
                  <w:sdt>
                    <w:sdtPr>
                      <w:alias w:val="Pavadinimas"/>
                      <w:tag w:val="title_76a3f21e819f44268a1e96b8f8f5caca"/>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80.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79.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80.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81.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81.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5c718ab61cc149ae98a1b69a6651d54b">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e4d8a7042efe4e7bbd180d847ab75c27"/>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b71b416e61f405f9506acd0ceea4ee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fbf8b86cd223401d801b2e156077480d"/>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6b97fac6d0514a68bc6b22a29791059e"/>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6270c04abeed4d85a4e0a04f1fd9737f"/>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d97f86348cc64b4e9b446e60868fc0ce">
          <Part Type="strPunktas" Nr="1" Abbr="59 str. 9 d. 1 p." DocPartId="381cf85cf67c43eda3eef69bad525a25" PartId="d2ca14e7d2a74df597663d2f6c42966d"/>
          <Part Type="strPunktas" Nr="2" Abbr="59 str. 9 d. 2 p." DocPartId="1ac01fb4709749eda1e1dd2669e2875e" PartId="4a613da9b1da4aeb81f996aeb01359c0"/>
        </Part>
        <Part Type="strDalis" Nr="10" Abbr="59 str. 10 d." DocPartId="321afe6472764c8eb0bf0c564ae1b709" PartId="2cf2f9bc7177483bbb643a081700ed57"/>
        <Part Type="strDalis" Nr="11" Abbr="59 str. 11 d." DocPartId="6d4f6805755d4fb0a83cd4807051bd14" PartId="556d60c10b2548aabae7057033b27243"/>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e0b99e0db1f1451299e96bf25321c83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76a3f21e819f44268a1e96b8f8f5caca">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3A9FF4B9-929F-4AA6-819E-EE6DBDDD3353}">
  <ds:schemaRefs>
    <ds:schemaRef ds:uri="http://lrs.lt/TAIS/DocParts"/>
  </ds:schemaRefs>
</ds:datastoreItem>
</file>

<file path=docProps/app.xml><?xml version="1.0" encoding="utf-8"?>
<Properties xmlns="http://schemas.openxmlformats.org/officeDocument/2006/extended-properties">
  <Template>Normal.dotm</Template>
  <TotalTime>161</TotalTime>
  <Pages>45</Pages>
  <Words>23176</Words>
  <Characters>179433</Characters>
  <Application>Microsoft Office Word</Application>
  <DocSecurity>0</DocSecurity>
  <Lines>1495</Lines>
  <Paragraphs>404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202205</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2023-09-28T07:53:00Z</dcterms:modified>
  <revision>74</revision>
  <dc:title>Redagavo: Ramun? L??ait? (1997</dc:title>
</coreProperties>
</file>