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2022-12-01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39b5155a60bc4df3b9da1efbb2863f29"/>
                <w:lock w:val="sdtLocked"/>
                <w:richText/>
              </w:sdtPr>
              <w:sdtContent>
                <w:p>
                  <w:pPr>
                    <w:ind w:firstLine="720"/>
                    <w:jc w:val="both"/>
                    <w:rPr>
                      <w:b/>
                      <w:bCs/>
                      <w:sz w:val="22"/>
                      <w:szCs w:val="22"/>
                      <w:lang w:eastAsia="lt-LT"/>
                    </w:rPr>
                  </w:pPr>
                  <w:sdt>
                    <w:sdtPr>
                      <w:alias w:val="Numeris"/>
                      <w:tag w:val="nr_39b5155a60bc4df3b9da1efbb2863f29"/>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39b5155a60bc4df3b9da1efbb2863f29"/>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9dc7cad4ee4040f3847a2ace9011a82d"/>
                    <w:lock w:val="sdtLocked"/>
                    <w:richText/>
                  </w:sdtPr>
                  <w:sdtContent>
                    <w:p>
                      <w:pPr>
                        <w:ind w:firstLine="720"/>
                        <w:jc w:val="both"/>
                      </w:pPr>
                      <w:sdt>
                        <w:sdtPr>
                          <w:alias w:val="Numeris"/>
                          <w:tag w:val="nr_9dc7cad4ee4040f3847a2ace9011a82d"/>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jc w:val="both"/>
                      </w:pPr>
                      <w:r>
                        <w:rPr>
                          <w:b/>
                          <w:i/>
                          <w:sz w:val="20"/>
                        </w:rPr>
                        <w:t>3 dalies redakcija nuo 2022-01-01 iki 2022-12-31:</w:t>
                      </w:r>
                    </w:p>
                    <w:p>
                      <w:pPr>
                        <w:ind w:firstLine="720"/>
                        <w:jc w:val="both"/>
                      </w:pPr>
                      <w:r>
                        <w:t xml:space="preserve">3. Priešmokyklinis </w:t>
                      </w:r>
                      <w:r>
                        <w:rPr>
                          <w:color w:val="000000"/>
                          <w:sz w:val="22"/>
                          <w:szCs w:val="22"/>
                        </w:rPr>
                        <w:t>ugdymas pradedamas teikti vaikui, kai tais kalendoriniais metais jam sueina 6 metai. Priešmokyklinis ugdymas gali būti teikiamas anksčiau tėvų (globėjų) sprendimu, bet ne anksčiau, negu vaikui sueina 5 metai.</w:t>
                      </w:r>
                      <w:r>
                        <w:rPr>
                          <w:bCs/>
                          <w:color w:val="000000"/>
                          <w:sz w:val="22"/>
                          <w:szCs w:val="22"/>
                        </w:rPr>
                        <w:t xml:space="preserve"> Švietimo, mokslo ir sporto ministro nustatytais atvejais ir tvarka įvertinus vaiko ugdymo ir ugdymosi poreikius, pažangą, priešmokyklinis ugdymas gali trukti dvejus metus.</w:t>
                      </w:r>
                    </w:p>
                    <w:p>
                      <w:pPr>
                        <w:jc w:val="both"/>
                      </w:pPr>
                      <w:r>
                        <w:rPr>
                          <w:b/>
                          <w:i/>
                          <w:sz w:val="20"/>
                        </w:rPr>
                        <w:t>3 dalies redakcija nuo 2023-01-01:</w:t>
                      </w:r>
                    </w:p>
                    <w:p>
                      <w:pPr>
                        <w:ind w:firstLine="720"/>
                        <w:jc w:val="both"/>
                        <w:rPr>
                          <w:sz w:val="22"/>
                          <w:szCs w:val="22"/>
                        </w:rPr>
                      </w:pPr>
                      <w:r>
                        <w:t xml:space="preserve">3. 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e225c291764e4c1389379eb969ea1b31"/>
                    <w:lock w:val="sdtLocked"/>
                    <w:richText/>
                  </w:sdtPr>
                  <w:sdtContent>
                    <w:p>
                      <w:pPr>
                        <w:ind w:firstLine="720"/>
                        <w:jc w:val="both"/>
                      </w:pPr>
                      <w:sdt>
                        <w:sdtPr>
                          <w:alias w:val="Numeris"/>
                          <w:tag w:val="nr_e225c291764e4c1389379eb969ea1b31"/>
                          <w:lock w:val="sdtLocked"/>
                          <w:richText/>
                        </w:sdtPr>
                        <w:sdtContent>
                          <w:r>
                            <w:rPr>
                              <w:sz w:val="22"/>
                              <w:szCs w:val="22"/>
                            </w:rPr>
                            <w:t>6</w:t>
                          </w:r>
                        </w:sdtContent>
                      </w:sdt>
                      <w:r>
                        <w:rPr>
                          <w:sz w:val="22"/>
                          <w:szCs w:val="22"/>
                        </w:rPr>
                        <w:t>. K</w:t>
                      </w:r>
                      <w:r>
                        <w:rPr>
                          <w:color w:val="000000"/>
                          <w:sz w:val="22"/>
                          <w:szCs w:val="22"/>
                        </w:rPr>
                        <w:t xml:space="preserve">valifikacijos </w:t>
                      </w:r>
                      <w:r>
                        <w:rPr>
                          <w:sz w:val="22"/>
                          <w:szCs w:val="22"/>
                        </w:rPr>
                        <w:t xml:space="preserve">tobulinimo programas įgyvendina švietimo, mokslo ir sporto ministro nustatyta tvarka patvirtinti pedagogų rengimo centrai </w:t>
                      </w:r>
                      <w:r>
                        <w:rPr>
                          <w:color w:val="000000"/>
                          <w:sz w:val="22"/>
                          <w:szCs w:val="22"/>
                        </w:rPr>
                        <w:t>ir akredituotos kvalifikacijos tobulinimo įstaigos.</w:t>
                      </w:r>
                      <w:r>
                        <w:rPr>
                          <w:sz w:val="22"/>
                          <w:szCs w:val="22"/>
                        </w:rPr>
                        <w:t xml:space="preserve"> </w:t>
                      </w:r>
                      <w:r>
                        <w:rPr>
                          <w:color w:val="000000"/>
                          <w:sz w:val="22"/>
                          <w:szCs w:val="22"/>
                        </w:rPr>
                        <w:t>Reikalavimus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7 d."/>
                    <w:tag w:val="part_4696d4f457424769a2861ed04159fc96"/>
                    <w:lock w:val="sdtLocked"/>
                    <w:richText/>
                  </w:sdtPr>
                  <w:sdtContent>
                    <w:p>
                      <w:pPr>
                        <w:ind w:firstLine="720"/>
                        <w:jc w:val="both"/>
                        <w:rPr>
                          <w:bCs/>
                          <w:sz w:val="22"/>
                          <w:szCs w:val="22"/>
                        </w:rPr>
                      </w:pPr>
                      <w:sdt>
                        <w:sdtPr>
                          <w:alias w:val="Numeris"/>
                          <w:tag w:val="nr_4696d4f457424769a2861ed04159fc96"/>
                          <w:lock w:val="sdtLocked"/>
                          <w:richText/>
                        </w:sdtPr>
                        <w:sdtContent>
                          <w:r>
                            <w:rPr>
                              <w:color w:val="000000"/>
                              <w:sz w:val="22"/>
                              <w:szCs w:val="22"/>
                            </w:rPr>
                            <w:t>7</w:t>
                          </w:r>
                        </w:sdtContent>
                      </w:sdt>
                      <w:r>
                        <w:rPr>
                          <w:color w:val="000000"/>
                          <w:sz w:val="22"/>
                          <w:szCs w:val="22"/>
                        </w:rPr>
                        <w:t>. Nacionalines pedagogų kvalifikacijos tobulinimo programas prioritetinėse kvalifikacijos tobulinimo srityse,</w:t>
                      </w:r>
                      <w:r>
                        <w:rPr>
                          <w:bCs/>
                          <w:color w:val="000000"/>
                          <w:sz w:val="22"/>
                          <w:szCs w:val="22"/>
                        </w:rPr>
                        <w:t xml:space="preserve"> kurias trejų metų laikotarpiui tvirtina švietimo, mokslo ir sporto ministras, </w:t>
                      </w:r>
                      <w:r>
                        <w:rPr>
                          <w:color w:val="000000"/>
                          <w:sz w:val="22"/>
                          <w:szCs w:val="22"/>
                        </w:rPr>
                        <w:t>įgyvendina švietimo, mokslo ir sporto ministro nustatyta tvarka patvirtinti pedagogų rengimo centrai kartu su kitomis aukštosiomis mokyklomis ir (ar) akredituotomis kvalifikacijos tobulinimo įstaigomis. Reikalavimus nacionalinėms pedagogų kvalifikacijos tobulinimo programoms, jų vertinimo, akreditavimo ir registravimo tvarką nustato švietimo, mokslo ir sporto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7 d."/>
                    <w:tag w:val="part_3b7f0b5c2915432ea0bcc28cbb4680bd"/>
                    <w:lock w:val="sdtLocked"/>
                    <w:richText/>
                  </w:sdtPr>
                  <w:sdtContent>
                    <w:p>
                      <w:pPr>
                        <w:ind w:firstLine="720"/>
                        <w:jc w:val="both"/>
                        <w:rPr>
                          <w:b/>
                          <w:sz w:val="22"/>
                          <w:szCs w:val="22"/>
                        </w:rPr>
                      </w:pPr>
                      <w:sdt>
                        <w:sdtPr>
                          <w:alias w:val="Numeris"/>
                          <w:tag w:val="nr_3b7f0b5c2915432ea0bcc28cbb4680bd"/>
                          <w:lock w:val="sdtLocked"/>
                          <w:richText/>
                        </w:sdtPr>
                        <w:sdtContent>
                          <w:r>
                            <w:rPr>
                              <w:color w:val="000000"/>
                              <w:sz w:val="22"/>
                              <w:szCs w:val="22"/>
                            </w:rPr>
                            <w:t>6</w:t>
                          </w:r>
                        </w:sdtContent>
                      </w:sdt>
                      <w:r>
                        <w:rPr>
                          <w:color w:val="000000"/>
                          <w:sz w:val="22"/>
                          <w:szCs w:val="22"/>
                        </w:rPr>
                        <w:t>. Lituanistinio švietimo įstaigoms užsienyje valstybės turtas gali būti perduodamas panaudos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3cf17a3e53dd46f7b594ff8c2ea8f311"/>
                    <w:lock w:val="sdtLocked"/>
                    <w:richText/>
                  </w:sdtPr>
                  <w:sdtContent>
                    <w:p>
                      <w:pPr>
                        <w:ind w:firstLine="720"/>
                        <w:jc w:val="both"/>
                      </w:pPr>
                      <w:sdt>
                        <w:sdtPr>
                          <w:alias w:val="Numeris"/>
                          <w:tag w:val="nr_3cf17a3e53dd46f7b594ff8c2ea8f311"/>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rPr>
                          <w:b/>
                          <w:bCs/>
                          <w:sz w:val="22"/>
                          <w:szCs w:val="22"/>
                        </w:rPr>
                        <w:t xml:space="preserve"> </w:t>
                      </w:r>
                      <w:r>
                        <w:rPr>
                          <w:sz w:val="22"/>
                          <w:szCs w:val="22"/>
                        </w:rPr>
                        <w:t>Mokinių vežimo mokykliniu autobusu tvarką nustato švietimo, mokslo ir sporto ministras.</w:t>
                      </w:r>
                      <w:r>
                        <w:t xml:space="preserve"> </w:t>
                      </w:r>
                    </w:p>
                    <w:p>
                      <w:pPr>
                        <w:jc w:val="both"/>
                        <w:rPr>
                          <w:b/>
                          <w:i/>
                          <w:sz w:val="20"/>
                        </w:rPr>
                      </w:pPr>
                      <w:r>
                        <w:rPr>
                          <w:b/>
                          <w:i/>
                          <w:sz w:val="20"/>
                        </w:rPr>
                        <w:t>1 dalies redakcija nuo 2024-09-01:</w:t>
                      </w:r>
                    </w:p>
                    <w:p>
                      <w:pPr>
                        <w:ind w:firstLine="720"/>
                        <w:jc w:val="both"/>
                      </w:pPr>
                      <w:r>
                        <w:t xml:space="preserve">1. Mokiniai </w:t>
                      </w:r>
                      <w:r>
                        <w:rPr>
                          <w:color w:val="000000"/>
                          <w:sz w:val="22"/>
                          <w:szCs w:val="22"/>
                          <w:lang w:eastAsia="lt-LT"/>
                        </w:rPr>
                        <w:t>į atitinkamą švietimo programą vykdančią mokyklą</w:t>
                      </w:r>
                      <w:r>
                        <w:rPr>
                          <w:sz w:val="22"/>
                          <w:szCs w:val="22"/>
                        </w:rPr>
                        <w:t xml:space="preserve"> </w:t>
                      </w:r>
                      <w:r>
                        <w:rPr>
                          <w:color w:val="000000"/>
                          <w:sz w:val="22"/>
                          <w:szCs w:val="22"/>
                          <w:lang w:eastAsia="lt-LT"/>
                        </w:rPr>
                        <w:t>vežami keleiviniu transportu, mokykliniu autobusu arba kitu transportu</w:t>
                      </w:r>
                      <w:r>
                        <w:rPr>
                          <w:bCs/>
                          <w:color w:val="000000"/>
                          <w:sz w:val="22"/>
                          <w:szCs w:val="22"/>
                          <w:lang w:eastAsia="lt-LT"/>
                        </w:rPr>
                        <w:t>.</w:t>
                      </w:r>
                      <w:r>
                        <w:rPr>
                          <w:bCs/>
                          <w:sz w:val="22"/>
                          <w:szCs w:val="22"/>
                        </w:rPr>
                        <w:t xml:space="preserve"> Mokinių važiavimo keleiviniu transportu lengvatas nustato Lietuvos Respublikos transporto lengvatų įstatymas.</w:t>
                      </w:r>
                      <w:r>
                        <w:rPr>
                          <w:bCs/>
                          <w:color w:val="000000"/>
                          <w:sz w:val="22"/>
                          <w:szCs w:val="22"/>
                          <w:lang w:eastAsia="lt-LT"/>
                        </w:rPr>
                        <w:t xml:space="preserve"> Siekiant užtikrinti švietimo prieinamumą,</w:t>
                      </w:r>
                      <w:r>
                        <w:rPr>
                          <w:color w:val="000000"/>
                          <w:sz w:val="22"/>
                          <w:szCs w:val="22"/>
                          <w:lang w:eastAsia="lt-LT"/>
                        </w:rPr>
                        <w:t xml:space="preserve"> </w:t>
                      </w:r>
                      <w:r>
                        <w:rPr>
                          <w:bCs/>
                          <w:color w:val="000000"/>
                          <w:sz w:val="22"/>
                          <w:szCs w:val="22"/>
                          <w:lang w:eastAsia="lt-LT"/>
                        </w:rPr>
                        <w:t xml:space="preserve">į </w:t>
                      </w:r>
                      <w:r>
                        <w:rPr>
                          <w:color w:val="000000"/>
                          <w:sz w:val="22"/>
                          <w:szCs w:val="22"/>
                          <w:lang w:eastAsia="lt-LT"/>
                        </w:rPr>
                        <w:t xml:space="preserve">mokyklą ir atgal privalo būti </w:t>
                      </w:r>
                      <w:r>
                        <w:rPr>
                          <w:sz w:val="22"/>
                          <w:szCs w:val="22"/>
                        </w:rPr>
                        <w:t>vežami kaimuose, miesteliuose toliau kaip 3 kilometrai nuo mokyklos gyvenantys mokiniai, kurie mokosi pagal priešmokyklinio ir bendrojo ugdymo programas</w:t>
                      </w:r>
                      <w:r>
                        <w:rPr>
                          <w:bCs/>
                          <w:color w:val="000000"/>
                          <w:sz w:val="22"/>
                          <w:szCs w:val="22"/>
                          <w:lang w:eastAsia="lt-LT"/>
                        </w:rPr>
                        <w:t>, ir vaikai, kuriems paskirtas privalomas ikimokyklinis ugdymas. V</w:t>
                      </w:r>
                      <w:r>
                        <w:rPr>
                          <w:bCs/>
                          <w:sz w:val="22"/>
                          <w:szCs w:val="22"/>
                        </w:rPr>
                        <w:t>ežimą į mokyklą ir atgal organizuoja valstybinės ir savivaldybės mokyklos savininko teises ir pareigas įgyvendinanti institucija (dalyvių susirinkimas), kitų mokyklų – savininkas (dalyvių susirinkimas) savo nustatyta tvarka.</w:t>
                      </w:r>
                      <w:r>
                        <w:rPr>
                          <w:color w:val="000000"/>
                          <w:sz w:val="22"/>
                          <w:szCs w:val="22"/>
                          <w:lang w:eastAsia="lt-LT"/>
                        </w:rPr>
                        <w:t xml:space="preserve"> Mokinių vežimo mokykliniu autobusu tvarką nustato </w:t>
                      </w:r>
                      <w:r>
                        <w:rPr>
                          <w:color w:val="000000"/>
                          <w:spacing w:val="-5"/>
                          <w:sz w:val="22"/>
                          <w:szCs w:val="22"/>
                        </w:rPr>
                        <w:t>švietimo</w:t>
                      </w:r>
                      <w:r>
                        <w:rPr>
                          <w:bCs/>
                          <w:color w:val="000000"/>
                          <w:spacing w:val="-5"/>
                          <w:sz w:val="22"/>
                          <w:szCs w:val="22"/>
                        </w:rPr>
                        <w:t>,</w:t>
                      </w:r>
                      <w:r>
                        <w:rPr>
                          <w:color w:val="000000"/>
                          <w:spacing w:val="-5"/>
                          <w:sz w:val="22"/>
                          <w:szCs w:val="22"/>
                        </w:rPr>
                        <w:t xml:space="preserve"> mokslo </w:t>
                      </w:r>
                      <w:r>
                        <w:rPr>
                          <w:bCs/>
                          <w:color w:val="000000"/>
                          <w:spacing w:val="-5"/>
                          <w:sz w:val="22"/>
                          <w:szCs w:val="22"/>
                        </w:rPr>
                        <w:t>i</w:t>
                      </w:r>
                      <w:r>
                        <w:rPr>
                          <w:bCs/>
                          <w:color w:val="000000"/>
                          <w:sz w:val="22"/>
                          <w:szCs w:val="22"/>
                        </w:rPr>
                        <w:t>r sporto</w:t>
                      </w:r>
                      <w:r>
                        <w:rPr>
                          <w:color w:val="000000"/>
                          <w:sz w:val="22"/>
                          <w:szCs w:val="22"/>
                          <w:lang w:eastAsia="lt-LT"/>
                        </w:rPr>
                        <w:t xml:space="preserve">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b71b416e61f405f9506acd0ceea4eed"/>
                    <w:lock w:val="sdtLocked"/>
                    <w:richText/>
                  </w:sdtPr>
                  <w:sdtContent>
                    <w:p>
                      <w:pPr>
                        <w:ind w:firstLine="720"/>
                        <w:jc w:val="both"/>
                        <w:rPr>
                          <w:sz w:val="22"/>
                          <w:szCs w:val="22"/>
                        </w:rPr>
                      </w:pPr>
                      <w:sdt>
                        <w:sdtPr>
                          <w:alias w:val="Numeris"/>
                          <w:tag w:val="nr_4b71b416e61f405f9506acd0ceea4eed"/>
                          <w:lock w:val="sdtLocked"/>
                          <w:richText/>
                        </w:sdtPr>
                        <w:sdtContent>
                          <w:r>
                            <w:rPr>
                              <w:sz w:val="22"/>
                              <w:szCs w:val="22"/>
                              <w:lang w:eastAsia="lt-LT"/>
                            </w:rPr>
                            <w:t>4</w:t>
                          </w:r>
                        </w:sdtContent>
                      </w:sdt>
                      <w:r>
                        <w:rPr>
                          <w:sz w:val="22"/>
                          <w:szCs w:val="22"/>
                        </w:rPr>
                        <w:t>.</w:t>
                      </w:r>
                      <w:r>
                        <w:rPr>
                          <w:bCs/>
                          <w:sz w:val="22"/>
                          <w:szCs w:val="22"/>
                        </w:rPr>
                        <w:t xml:space="preserve"> </w:t>
                      </w:r>
                      <w:r>
                        <w:rPr>
                          <w:sz w:val="22"/>
                          <w:szCs w:val="22"/>
                        </w:rPr>
                        <w:t xml:space="preserve">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 xml:space="preserve">Nacionaliniai mokinių pasiekimų patikrinimai organizuojami švietimo, mokslo ir sporto ministro nustatyta tvarka. </w:t>
                      </w:r>
                      <w:r>
                        <w:rPr>
                          <w:sz w:val="22"/>
                          <w:szCs w:val="22"/>
                        </w:rPr>
                        <w:t>Visos bendrojo ugdymo mokyklos užtikrina lietuvių kalbos mokėjimą pagal švietimo, mokslo ir sporto ministro patvirtintą lietuvių kalbos ir literatūros bendrąją programą (</w:t>
                      </w:r>
                      <w:r>
                        <w:rPr>
                          <w:bCs/>
                          <w:sz w:val="22"/>
                          <w:szCs w:val="22"/>
                        </w:rPr>
                        <w:t>nacionalinio mokinių pasiekimų patikrinimo,</w:t>
                      </w:r>
                      <w:r>
                        <w:rPr>
                          <w:sz w:val="22"/>
                          <w:szCs w:val="22"/>
                        </w:rPr>
                        <w:t xml:space="preserve"> pagrindinio ugdymo pasiekimų patikrinimo ir brandos egzaminų).</w:t>
                      </w:r>
                    </w:p>
                    <w:p>
                      <w:pPr>
                        <w:jc w:val="both"/>
                        <w:rPr>
                          <w:b/>
                          <w:i/>
                          <w:sz w:val="20"/>
                          <w:lang w:eastAsia="lt-LT"/>
                        </w:rPr>
                      </w:pPr>
                      <w:r>
                        <w:rPr>
                          <w:b/>
                          <w:i/>
                          <w:sz w:val="20"/>
                        </w:rPr>
                        <w:t>4 dalies redakcija nuo 2024-09-01:</w:t>
                      </w:r>
                    </w:p>
                    <w:p>
                      <w:pPr>
                        <w:ind w:firstLine="720"/>
                        <w:jc w:val="both"/>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9e499cacfa2a4a928d71169cf315b13f"/>
                        <w:lock w:val="sdtLocked"/>
                        <w:richText/>
                      </w:sdtPr>
                      <w:sdtContent>
                        <w:p>
                          <w:pPr>
                            <w:tabs>
                              <w:tab w:val="left" w:pos="1134"/>
                            </w:tabs>
                            <w:ind w:firstLine="720"/>
                            <w:jc w:val="both"/>
                            <w:rPr>
                              <w:sz w:val="22"/>
                              <w:szCs w:val="22"/>
                            </w:rPr>
                          </w:pPr>
                          <w:sdt>
                            <w:sdtPr>
                              <w:alias w:val="Numeris"/>
                              <w:tag w:val="nr_9e499cacfa2a4a928d71169cf315b13f"/>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tabs>
                              <w:tab w:val="left" w:pos="1134"/>
                            </w:tabs>
                            <w:jc w:val="both"/>
                            <w:rPr>
                              <w:b/>
                              <w:i/>
                              <w:sz w:val="20"/>
                            </w:rPr>
                          </w:pPr>
                          <w:r>
                            <w:rPr>
                              <w:b/>
                              <w:i/>
                              <w:sz w:val="20"/>
                            </w:rPr>
                            <w:t>1 dalies 6 punkto redakcija nuo 2023-01-01 iki 2023-12-31:</w:t>
                          </w:r>
                        </w:p>
                        <w:p>
                          <w:pPr>
                            <w:ind w:firstLine="709"/>
                            <w:jc w:val="both"/>
                            <w:rPr>
                              <w:sz w:val="22"/>
                              <w:szCs w:val="22"/>
                            </w:rPr>
                          </w:pPr>
                          <w:r>
                            <w:rPr>
                              <w:sz w:val="22"/>
                              <w:szCs w:val="22"/>
                            </w:rPr>
                            <w:t xml:space="preserve">6)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412a411c91c5442ab09f4c62f5764095"/>
                        <w:lock w:val="sdtLocked"/>
                        <w:richText/>
                      </w:sdtPr>
                      <w:sdtContent>
                        <w:p>
                          <w:pPr>
                            <w:ind w:firstLine="720"/>
                            <w:jc w:val="both"/>
                          </w:pPr>
                          <w:sdt>
                            <w:sdtPr>
                              <w:alias w:val="Numeris"/>
                              <w:tag w:val="nr_412a411c91c5442ab09f4c62f5764095"/>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pPr>
                          <w:r>
                            <w:rPr>
                              <w:b/>
                              <w:i/>
                              <w:sz w:val="20"/>
                            </w:rPr>
                            <w:t>2 dalies 1 punkto redakcija nuo 2023-01-01 iki 2023-12-31:</w:t>
                          </w:r>
                        </w:p>
                        <w:p>
                          <w:pPr>
                            <w:ind w:firstLine="720"/>
                            <w:jc w:val="both"/>
                          </w:pPr>
                          <w:r>
                            <w:t xml:space="preserve">1) 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2 dalies 1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79ee31d36ef5408cb48bb33b1c64636a"/>
                <w:lock w:val="sdtLocked"/>
                <w:richText/>
              </w:sdtPr>
              <w:sdtContent>
                <w:p>
                  <w:pPr>
                    <w:ind w:firstLine="720"/>
                    <w:jc w:val="both"/>
                    <w:rPr>
                      <w:b/>
                      <w:sz w:val="22"/>
                      <w:szCs w:val="22"/>
                    </w:rPr>
                  </w:pPr>
                  <w:sdt>
                    <w:sdtPr>
                      <w:alias w:val="Numeris"/>
                      <w:tag w:val="nr_79ee31d36ef5408cb48bb33b1c64636a"/>
                      <w:lock w:val="sdtLocked"/>
                      <w:richText/>
                    </w:sdtPr>
                    <w:sdtContent>
                      <w:r>
                        <w:rPr>
                          <w:b/>
                          <w:sz w:val="22"/>
                          <w:szCs w:val="22"/>
                        </w:rPr>
                        <w:t>67</w:t>
                      </w:r>
                    </w:sdtContent>
                  </w:sdt>
                  <w:r>
                    <w:rPr>
                      <w:b/>
                      <w:sz w:val="22"/>
                      <w:szCs w:val="22"/>
                    </w:rPr>
                    <w:t xml:space="preserve"> straipsnis. </w:t>
                  </w:r>
                  <w:sdt>
                    <w:sdtPr>
                      <w:alias w:val="Pavadinimas"/>
                      <w:tag w:val="title_79ee31d36ef5408cb48bb33b1c64636a"/>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74.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73.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74.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75.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75.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39b5155a60bc4df3b9da1efbb2863f29">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9dc7cad4ee4040f3847a2ace9011a82d"/>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e225c291764e4c1389379eb969ea1b31"/>
        <Part Type="strDalis" Nr="7" Abbr="7 d." DocPartId="3039bd0c307846ce9a570c434c07bfbe" PartId="4696d4f457424769a2861ed04159fc96"/>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7" Abbr="25 str. 7 d." DocPartId="d45530c9f6f742b0affa66f819a99966" PartId="3b7f0b5c2915432ea0bcc28cbb4680b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2-1" Abbr="2-1 d." DocPartId="2961c27e95e341468c6435272582bfe5" PartId="4cd00d859c554b409e0295fc87995392"/>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3cf17a3e53dd46f7b594ff8c2ea8f311"/>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b71b416e61f405f9506acd0ceea4ee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9e499cacfa2a4a928d71169cf315b13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412a411c91c5442ab09f4c62f5764095"/>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79ee31d36ef5408cb48bb33b1c64636a">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3FDE5E6E-ACA3-4EB1-B5E3-6F1B07DB288E}">
  <ds:schemaRefs>
    <ds:schemaRef ds:uri="http://lrs.lt/TAIS/DocParts"/>
  </ds:schemaRefs>
</ds:datastoreItem>
</file>

<file path=docProps/app.xml><?xml version="1.0" encoding="utf-8"?>
<Properties xmlns="http://schemas.openxmlformats.org/officeDocument/2006/extended-properties">
  <Template>Normal.dotm</Template>
  <TotalTime>139</TotalTime>
  <Pages>43</Pages>
  <Words>21462</Words>
  <Characters>166734</Characters>
  <Application>Microsoft Office Word</Application>
  <DocSecurity>0</DocSecurity>
  <Lines>1389</Lines>
  <Paragraphs>375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187821</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2023-02-01T06:56:00Z</dcterms:modified>
  <revision>67</revision>
  <dc:title>Redagavo: Ramun? L??ait? (1997</dc:title>
</coreProperties>
</file>