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2023-07-06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8649aa2e467040d0a42ca69e2ac356f7"/>
                <w:lock w:val="sdtLocked"/>
                <w:richText/>
              </w:sdtPr>
              <w:sdtContent>
                <w:p>
                  <w:pPr>
                    <w:ind w:firstLine="720"/>
                    <w:jc w:val="both"/>
                    <w:rPr>
                      <w:b/>
                      <w:bCs/>
                      <w:sz w:val="22"/>
                      <w:szCs w:val="22"/>
                      <w:lang w:eastAsia="lt-LT"/>
                    </w:rPr>
                  </w:pPr>
                  <w:sdt>
                    <w:sdtPr>
                      <w:alias w:val="Numeris"/>
                      <w:tag w:val="nr_8649aa2e467040d0a42ca69e2ac356f7"/>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8649aa2e467040d0a42ca69e2ac356f7"/>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e4d8a7042efe4e7bbd180d847ab75c27"/>
                    <w:lock w:val="sdtLocked"/>
                    <w:richText/>
                  </w:sdtPr>
                  <w:sdtContent>
                    <w:p>
                      <w:pPr>
                        <w:ind w:firstLine="720"/>
                        <w:jc w:val="both"/>
                        <w:rPr>
                          <w:sz w:val="22"/>
                          <w:szCs w:val="22"/>
                        </w:rPr>
                      </w:pPr>
                      <w:sdt>
                        <w:sdtPr>
                          <w:alias w:val="Numeris"/>
                          <w:tag w:val="nr_e4d8a7042efe4e7bbd180d847ab75c27"/>
                          <w:lock w:val="sdtLocked"/>
                          <w:richText/>
                        </w:sdtPr>
                        <w:sdtContent>
                          <w:r>
                            <w:rPr>
                              <w:sz w:val="22"/>
                              <w:szCs w:val="22"/>
                            </w:rPr>
                            <w:t>3</w:t>
                          </w:r>
                        </w:sdtContent>
                      </w:sdt>
                      <w:r>
                        <w:rPr>
                          <w:sz w:val="22"/>
                          <w:szCs w:val="22"/>
                        </w:rPr>
                        <w:t xml:space="preserve">. </w:t>
                      </w:r>
                      <w:r>
                        <w:t xml:space="preserve">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b8d5c618330a4fa696e5214e3ce0d3db"/>
                    <w:lock w:val="sdtLocked"/>
                    <w:richText/>
                  </w:sdtPr>
                  <w:sdtContent>
                    <w:p>
                      <w:pPr>
                        <w:suppressAutoHyphens/>
                        <w:ind w:firstLine="720"/>
                        <w:jc w:val="both"/>
                        <w:textAlignment w:val="baseline"/>
                        <w:rPr>
                          <w:b/>
                          <w:sz w:val="22"/>
                          <w:szCs w:val="22"/>
                        </w:rPr>
                      </w:pPr>
                      <w:sdt>
                        <w:sdtPr>
                          <w:alias w:val="Numeris"/>
                          <w:tag w:val="nr_b8d5c618330a4fa696e5214e3ce0d3db"/>
                          <w:lock w:val="sdtLocked"/>
                          <w:richText/>
                        </w:sdtPr>
                        <w:sdtContent>
                          <w:r>
                            <w:rPr>
                              <w:sz w:val="22"/>
                              <w:szCs w:val="22"/>
                            </w:rPr>
                            <w:t>5</w:t>
                          </w:r>
                        </w:sdtContent>
                      </w:sdt>
                      <w:r>
                        <w:rPr>
                          <w:sz w:val="22"/>
                          <w:szCs w:val="22"/>
                        </w:rPr>
                        <w:t>. Neformalųjį suaugusiųjų švietimą nustato Lietuvos Respublikos neformaliojo suaugusiųjų švietimo ir tęstinio mokymosi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b6099b326ba14181bac3c657c8ee0dbd"/>
                    <w:lock w:val="sdtLocked"/>
                    <w:richText/>
                  </w:sdtPr>
                  <w:sdtContent>
                    <w:p>
                      <w:pPr>
                        <w:suppressAutoHyphens/>
                        <w:ind w:firstLine="720"/>
                        <w:jc w:val="both"/>
                        <w:textAlignment w:val="baseline"/>
                        <w:rPr>
                          <w:sz w:val="22"/>
                          <w:szCs w:val="22"/>
                        </w:rPr>
                      </w:pPr>
                      <w:sdt>
                        <w:sdtPr>
                          <w:alias w:val="Numeris"/>
                          <w:tag w:val="nr_b6099b326ba14181bac3c657c8ee0dbd"/>
                          <w:lock w:val="sdtLocked"/>
                          <w:richText/>
                        </w:sdtPr>
                        <w:sdtContent>
                          <w:r>
                            <w:rPr>
                              <w:sz w:val="22"/>
                              <w:szCs w:val="22"/>
                              <w:lang w:eastAsia="lt-LT"/>
                            </w:rPr>
                            <w:t>8</w:t>
                          </w:r>
                        </w:sdtContent>
                      </w:sdt>
                      <w:r>
                        <w:rPr>
                          <w:sz w:val="22"/>
                          <w:szCs w:val="22"/>
                          <w:lang w:eastAsia="lt-LT"/>
                        </w:rPr>
                        <w:t>. Asmenų priėmimą į profesinio mokymo įstaigas ir neformaliojo suaugusiųjų švietimo programas vykdančias mokyklas nustato Profesinio mokymo įstatymas ir Neformaliojo suaugusiųjų švietimo ir tęstinio mokymosi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0fb85874f8e74283a3e64b85809017de"/>
                    <w:lock w:val="sdtLocked"/>
                    <w:richText/>
                  </w:sdtPr>
                  <w:sdtContent>
                    <w:p>
                      <w:pPr>
                        <w:suppressAutoHyphens/>
                        <w:ind w:firstLine="720"/>
                        <w:jc w:val="both"/>
                        <w:textAlignment w:val="baseline"/>
                        <w:rPr>
                          <w:sz w:val="22"/>
                          <w:szCs w:val="22"/>
                        </w:rPr>
                      </w:pPr>
                      <w:sdt>
                        <w:sdtPr>
                          <w:alias w:val="Numeris"/>
                          <w:tag w:val="nr_0fb85874f8e74283a3e64b85809017de"/>
                          <w:lock w:val="sdtLocked"/>
                          <w:richText/>
                        </w:sdtPr>
                        <w:sdtContent>
                          <w:r>
                            <w:rPr>
                              <w:sz w:val="22"/>
                              <w:szCs w:val="22"/>
                              <w:lang w:eastAsia="lt-LT"/>
                            </w:rPr>
                            <w:t>7</w:t>
                          </w:r>
                        </w:sdtContent>
                      </w:sdt>
                      <w:r>
                        <w:rPr>
                          <w:sz w:val="22"/>
                          <w:szCs w:val="22"/>
                          <w:lang w:eastAsia="lt-LT"/>
                        </w:rPr>
                        <w:t>. Gimnazijos tipui priskiriamos mokyklos, vykdančios švietimo</w:t>
                      </w:r>
                      <w:r>
                        <w:rPr>
                          <w:bCs/>
                          <w:sz w:val="22"/>
                          <w:szCs w:val="22"/>
                          <w:lang w:eastAsia="lt-LT"/>
                        </w:rPr>
                        <w:t>,</w:t>
                      </w:r>
                      <w:r>
                        <w:rPr>
                          <w:sz w:val="22"/>
                          <w:szCs w:val="22"/>
                          <w:lang w:eastAsia="lt-LT"/>
                        </w:rPr>
                        <w:t xml:space="preserve"> mokslo </w:t>
                      </w:r>
                      <w:r>
                        <w:rPr>
                          <w:bCs/>
                          <w:sz w:val="22"/>
                          <w:szCs w:val="22"/>
                          <w:lang w:eastAsia="lt-LT"/>
                        </w:rPr>
                        <w:t>ir sporto</w:t>
                      </w:r>
                      <w:r>
                        <w:rPr>
                          <w:sz w:val="22"/>
                          <w:szCs w:val="22"/>
                          <w:lang w:eastAsia="lt-LT"/>
                        </w:rPr>
                        <w:t xml:space="preserve">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w:t>
                      </w:r>
                      <w:r>
                        <w:rPr>
                          <w:bCs/>
                          <w:sz w:val="22"/>
                          <w:szCs w:val="22"/>
                          <w:lang w:eastAsia="lt-LT"/>
                        </w:rPr>
                        <w:t>patvirtintose Mokyklų, vykdančių formaliojo švietimo programas, tinklo kūrimo taisyklėse nustatytus</w:t>
                      </w:r>
                      <w:r>
                        <w:rPr>
                          <w:sz w:val="22"/>
                          <w:szCs w:val="22"/>
                          <w:lang w:eastAsia="lt-LT"/>
                        </w:rPr>
                        <w:t xml:space="preserve"> kriterijus priskirta prie miesto pakraščio mokyklų; pasienio ruože</w:t>
                      </w:r>
                      <w:r>
                        <w:rPr>
                          <w:bCs/>
                          <w:sz w:val="22"/>
                          <w:szCs w:val="22"/>
                          <w:lang w:eastAsia="lt-LT"/>
                        </w:rPr>
                        <w:t xml:space="preserve"> </w:t>
                      </w:r>
                      <w:r>
                        <w:rPr>
                          <w:sz w:val="22"/>
                          <w:szCs w:val="22"/>
                          <w:lang w:eastAsia="lt-LT"/>
                        </w:rPr>
                        <w:t>esanti bendrojo ugdymo mokykla;</w:t>
                      </w:r>
                      <w:r>
                        <w:rPr>
                          <w:bCs/>
                          <w:sz w:val="22"/>
                          <w:szCs w:val="22"/>
                          <w:lang w:eastAsia="lt-LT"/>
                        </w:rPr>
                        <w:t xml:space="preserve"> </w:t>
                      </w:r>
                      <w:r>
                        <w:rPr>
                          <w:sz w:val="22"/>
                          <w:szCs w:val="22"/>
                          <w:lang w:eastAsia="lt-LT"/>
                        </w:rPr>
                        <w:t xml:space="preserve">nevalstybinė mokykla; mokykla, skirta šalies (regiono) mokiniams, turintiems specialiųjų ugdymosi poreikių; mokykla, vykdanti specializuoto ugdymo krypties programą, kuriai reikalingas ugdymo nuoseklumas, </w:t>
                      </w:r>
                      <w:r>
                        <w:rPr>
                          <w:bCs/>
                          <w:sz w:val="22"/>
                          <w:szCs w:val="22"/>
                          <w:lang w:eastAsia="lt-LT"/>
                        </w:rPr>
                        <w:t xml:space="preserve">ir atitinkanti Vyriausybės patvirtintose Mokyklų, vykdančių formaliojo švietimo programas, tinklo kūrimo taisyklėse nustatytus kriterijus; </w:t>
                      </w:r>
                      <w:r>
                        <w:rPr>
                          <w:sz w:val="22"/>
                          <w:szCs w:val="22"/>
                          <w:lang w:eastAsia="lt-LT"/>
                        </w:rPr>
                        <w:t>mokykla, kurioje ne mažiau kaip 15 procentų visų mokinių yra didelių ir labai didelių specialiųjų ugdymosi poreikių ir (ar) vidutinį ir sunkų neįgalumą turintys mokiniai</w:t>
                      </w:r>
                      <w:r>
                        <w:rPr>
                          <w:bCs/>
                          <w:sz w:val="22"/>
                          <w:szCs w:val="22"/>
                          <w:lang w:eastAsia="lt-LT"/>
                        </w:rPr>
                        <w:t>;</w:t>
                      </w:r>
                      <w:r>
                        <w:rPr>
                          <w:sz w:val="22"/>
                          <w:szCs w:val="22"/>
                          <w:lang w:eastAsia="lt-LT"/>
                        </w:rPr>
                        <w:t xml:space="preserve"> </w:t>
                      </w:r>
                      <w:r>
                        <w:rPr>
                          <w:bCs/>
                          <w:sz w:val="22"/>
                          <w:szCs w:val="22"/>
                          <w:lang w:eastAsia="lt-LT"/>
                        </w:rPr>
                        <w:t>savivaldybės kadetų ugdymo</w:t>
                      </w:r>
                      <w:r>
                        <w:rPr>
                          <w:sz w:val="22"/>
                          <w:szCs w:val="22"/>
                          <w:lang w:eastAsia="lt-LT"/>
                        </w:rPr>
                        <w:t xml:space="preserve"> </w:t>
                      </w:r>
                      <w:r>
                        <w:rPr>
                          <w:bCs/>
                          <w:sz w:val="22"/>
                          <w:szCs w:val="22"/>
                          <w:lang w:eastAsia="lt-LT"/>
                        </w:rPr>
                        <w:t>mokykla, skirta šalies (regiono) mokiniams</w:t>
                      </w:r>
                      <w:r>
                        <w:rPr>
                          <w:sz w:val="22"/>
                          <w:szCs w:val="22"/>
                          <w:lang w:eastAsia="lt-LT"/>
                        </w:rPr>
                        <w:t>)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c4b7359488974126bf66ceedef81e14a"/>
                    <w:lock w:val="sdtLocked"/>
                    <w:richText/>
                  </w:sdtPr>
                  <w:sdtContent>
                    <w:p>
                      <w:pPr>
                        <w:suppressAutoHyphens/>
                        <w:ind w:firstLine="720"/>
                        <w:jc w:val="both"/>
                        <w:textAlignment w:val="baseline"/>
                        <w:rPr>
                          <w:sz w:val="22"/>
                          <w:szCs w:val="22"/>
                        </w:rPr>
                      </w:pPr>
                      <w:sdt>
                        <w:sdtPr>
                          <w:alias w:val="Numeris"/>
                          <w:tag w:val="nr_c4b7359488974126bf66ceedef81e14a"/>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Mokykla bendrojo ugdymo programas gali vykdyti, jeigu atitinka Vyriausybės patvirtintose Mokyklų, vykdančių formaliojo švietimo programas, tinklo kūrimo taisyklėse nustatytus bendruosius ir specialiuosius kriterijus. Mokykla formaliojo profesinio mokymo programas gali vykdyti tik turėdama </w:t>
                      </w:r>
                      <w:r>
                        <w:rPr>
                          <w:bCs/>
                          <w:sz w:val="22"/>
                          <w:szCs w:val="22"/>
                        </w:rPr>
                        <w:t>Profesinio mokymo įstatymo nustatyta tvarka</w:t>
                      </w:r>
                      <w:r>
                        <w:rPr>
                          <w:sz w:val="22"/>
                          <w:szCs w:val="22"/>
                        </w:rPr>
                        <w:t xml:space="preserve"> išduotą licenciją, už kurios išdavimą, papildymą ar patikslinimą mokama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09ece70091af45d3b6f1aa417ef1d7e1"/>
                    <w:lock w:val="sdtLocked"/>
                    <w:richText/>
                  </w:sdtPr>
                  <w:sdtContent>
                    <w:p>
                      <w:pPr>
                        <w:suppressAutoHyphens/>
                        <w:ind w:firstLine="720"/>
                        <w:jc w:val="both"/>
                        <w:textAlignment w:val="baseline"/>
                        <w:rPr>
                          <w:sz w:val="22"/>
                          <w:szCs w:val="22"/>
                        </w:rPr>
                      </w:pPr>
                      <w:sdt>
                        <w:sdtPr>
                          <w:alias w:val="Numeris"/>
                          <w:tag w:val="nr_09ece70091af45d3b6f1aa417ef1d7e1"/>
                          <w:lock w:val="sdtLocked"/>
                          <w:richText/>
                        </w:sdtPr>
                        <w:sdtContent>
                          <w:r>
                            <w:rPr>
                              <w:sz w:val="22"/>
                              <w:szCs w:val="22"/>
                            </w:rPr>
                            <w:t>2</w:t>
                          </w:r>
                        </w:sdtContent>
                      </w:sdt>
                      <w:r>
                        <w:rPr>
                          <w:sz w:val="22"/>
                          <w:szCs w:val="22"/>
                        </w:rPr>
                        <w:t xml:space="preserve">.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6c58f2d632f244aca7c213bb44b804d9"/>
                        <w:lock w:val="sdtLocked"/>
                        <w:richText/>
                      </w:sdtPr>
                      <w:sdtContent>
                        <w:p>
                          <w:pPr>
                            <w:suppressAutoHyphens/>
                            <w:ind w:firstLine="720"/>
                            <w:jc w:val="both"/>
                            <w:textAlignment w:val="baseline"/>
                          </w:pPr>
                          <w:sdt>
                            <w:sdtPr>
                              <w:alias w:val="Numeris"/>
                              <w:tag w:val="nr_6c58f2d632f244aca7c213bb44b804d9"/>
                              <w:lock w:val="sdtLocked"/>
                              <w:richText/>
                            </w:sdtPr>
                            <w:sdtContent>
                              <w:r>
                                <w:rPr>
                                  <w:sz w:val="22"/>
                                  <w:szCs w:val="22"/>
                                  <w:lang w:eastAsia="lt-LT"/>
                                </w:rPr>
                                <w:t>11</w:t>
                              </w:r>
                            </w:sdtContent>
                          </w:sdt>
                          <w:r>
                            <w:rPr>
                              <w:sz w:val="22"/>
                              <w:szCs w:val="22"/>
                              <w:lang w:eastAsia="lt-LT"/>
                            </w:rPr>
                            <w:t>)</w:t>
                          </w:r>
                          <w:r>
                            <w:rPr>
                              <w:bCs/>
                              <w:sz w:val="22"/>
                              <w:szCs w:val="22"/>
                              <w:lang w:eastAsia="lt-LT"/>
                            </w:rPr>
                            <w:t xml:space="preserve"> </w:t>
                          </w:r>
                          <w:r>
                            <w:rPr>
                              <w:sz w:val="22"/>
                              <w:szCs w:val="22"/>
                              <w:lang w:eastAsia="lt-LT"/>
                            </w:rPr>
                            <w:t>naudotis kitomis Profesinio mokymo įstatymo ar Neformaliojo suaugusiųjų švietimo ir tęstinio mokymosi</w:t>
                          </w:r>
                          <w:r>
                            <w:rPr>
                              <w:b/>
                              <w:sz w:val="22"/>
                              <w:szCs w:val="22"/>
                              <w:lang w:eastAsia="lt-LT"/>
                            </w:rPr>
                            <w:t xml:space="preserve"> </w:t>
                          </w:r>
                          <w:r>
                            <w:rPr>
                              <w:sz w:val="22"/>
                              <w:szCs w:val="22"/>
                              <w:lang w:eastAsia="lt-LT"/>
                            </w:rPr>
                            <w:t>įstatymo ir kitų įstatymų nustatytomis teisėmis;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c465433e13374adda2bf5ee57a47afed"/>
                        <w:lock w:val="sdtLocked"/>
                        <w:richText/>
                      </w:sdtPr>
                      <w:sdtContent>
                        <w:p>
                          <w:pPr>
                            <w:suppressAutoHyphens/>
                            <w:ind w:firstLine="720"/>
                            <w:jc w:val="both"/>
                            <w:textAlignment w:val="baseline"/>
                            <w:rPr>
                              <w:sz w:val="22"/>
                              <w:szCs w:val="22"/>
                            </w:rPr>
                          </w:pPr>
                          <w:sdt>
                            <w:sdtPr>
                              <w:alias w:val="Numeris"/>
                              <w:tag w:val="nr_c465433e13374adda2bf5ee57a47afed"/>
                              <w:lock w:val="sdtLocked"/>
                              <w:richText/>
                            </w:sdtPr>
                            <w:sdtContent>
                              <w:r>
                                <w:rPr>
                                  <w:sz w:val="22"/>
                                  <w:szCs w:val="22"/>
                                  <w:lang w:eastAsia="lt-LT"/>
                                </w:rPr>
                                <w:t>7</w:t>
                              </w:r>
                            </w:sdtContent>
                          </w:sdt>
                          <w:r>
                            <w:rPr>
                              <w:sz w:val="22"/>
                              <w:szCs w:val="22"/>
                              <w:lang w:eastAsia="lt-LT"/>
                            </w:rPr>
                            <w:t>)</w:t>
                          </w:r>
                          <w:r>
                            <w:rPr>
                              <w:bCs/>
                              <w:sz w:val="22"/>
                              <w:szCs w:val="22"/>
                              <w:lang w:eastAsia="lt-LT"/>
                            </w:rPr>
                            <w:t xml:space="preserve"> </w:t>
                          </w:r>
                          <w:r>
                            <w:rPr>
                              <w:sz w:val="22"/>
                              <w:szCs w:val="22"/>
                              <w:lang w:eastAsia="lt-LT"/>
                            </w:rPr>
                            <w:t>naudotis kitomis Profesinio mokymo įstatymo, Neformaliojo suaugusiųjų švietimo</w:t>
                          </w:r>
                          <w:r>
                            <w:rPr>
                              <w:b/>
                              <w:sz w:val="22"/>
                              <w:szCs w:val="22"/>
                              <w:lang w:eastAsia="lt-LT"/>
                            </w:rPr>
                            <w:t xml:space="preserve"> </w:t>
                          </w:r>
                          <w:r>
                            <w:rPr>
                              <w:sz w:val="22"/>
                              <w:szCs w:val="22"/>
                              <w:lang w:eastAsia="lt-LT"/>
                            </w:rPr>
                            <w:t>ir tęstinio mokymosi įstatymo ir kitų įstatymų nustatytomis teisėmis.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0d43925d11ef414dbbff9600150bd501"/>
                        <w:lock w:val="sdtLocked"/>
                        <w:richText/>
                      </w:sdtPr>
                      <w:sdtContent>
                        <w:p>
                          <w:pPr>
                            <w:suppressAutoHyphens/>
                            <w:ind w:firstLine="720"/>
                            <w:jc w:val="both"/>
                            <w:textAlignment w:val="baseline"/>
                            <w:rPr>
                              <w:sz w:val="22"/>
                              <w:szCs w:val="22"/>
                            </w:rPr>
                          </w:pPr>
                          <w:sdt>
                            <w:sdtPr>
                              <w:alias w:val="Numeris"/>
                              <w:tag w:val="nr_0d43925d11ef414dbbff9600150bd501"/>
                              <w:lock w:val="sdtLocked"/>
                              <w:richText/>
                            </w:sdtPr>
                            <w:sdtContent>
                              <w:r>
                                <w:rPr>
                                  <w:sz w:val="22"/>
                                  <w:szCs w:val="22"/>
                                  <w:lang w:eastAsia="lt-LT"/>
                                </w:rPr>
                                <w:t>10</w:t>
                              </w:r>
                            </w:sdtContent>
                          </w:sdt>
                          <w:r>
                            <w:rPr>
                              <w:sz w:val="22"/>
                              <w:szCs w:val="22"/>
                              <w:lang w:eastAsia="lt-LT"/>
                            </w:rPr>
                            <w:t>) vykdyti kitas Profesinio mokymo įstatymo ir Neformaliojo suaugusiųjų švietimo</w:t>
                          </w:r>
                          <w:r>
                            <w:rPr>
                              <w:b/>
                              <w:sz w:val="22"/>
                              <w:szCs w:val="22"/>
                              <w:lang w:eastAsia="lt-LT"/>
                            </w:rPr>
                            <w:t xml:space="preserve"> </w:t>
                          </w:r>
                          <w:r>
                            <w:rPr>
                              <w:sz w:val="22"/>
                              <w:szCs w:val="22"/>
                              <w:lang w:eastAsia="lt-LT"/>
                            </w:rPr>
                            <w:t>ir tęstinio mokymosi įstatymo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56 str. 2 d. 8 p."/>
                        <w:tag w:val="part_0c5c7be5de0e4409b430991e948e1179"/>
                        <w:lock w:val="sdtLocked"/>
                        <w:richText/>
                      </w:sdtPr>
                      <w:sdtContent>
                        <w:p>
                          <w:pPr>
                            <w:suppressAutoHyphens/>
                            <w:ind w:firstLine="720"/>
                            <w:jc w:val="both"/>
                            <w:textAlignment w:val="baseline"/>
                          </w:pPr>
                          <w:sdt>
                            <w:sdtPr>
                              <w:alias w:val="Numeris"/>
                              <w:tag w:val="nr_0c5c7be5de0e4409b430991e948e1179"/>
                              <w:lock w:val="sdtLocked"/>
                              <w:richText/>
                            </w:sdtPr>
                            <w:sdtContent>
                              <w:r>
                                <w:rPr>
                                  <w:sz w:val="22"/>
                                  <w:szCs w:val="22"/>
                                </w:rPr>
                                <w:t>8</w:t>
                              </w:r>
                            </w:sdtContent>
                          </w:sdt>
                          <w:r>
                            <w:rPr>
                              <w:sz w:val="22"/>
                              <w:szCs w:val="22"/>
                            </w:rPr>
                            <w:t>)</w:t>
                          </w:r>
                          <w:r>
                            <w:rPr>
                              <w:bCs/>
                              <w:sz w:val="22"/>
                              <w:szCs w:val="22"/>
                            </w:rPr>
                            <w:t xml:space="preserve"> atlieka kitas šio įstatymo ir kitų teisės aktų nustatytas funkcijas.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6270c04abeed4d85a4e0a04f1fd9737f"/>
                    <w:lock w:val="sdtLocked"/>
                    <w:richText/>
                  </w:sdtPr>
                  <w:sdtContent>
                    <w:p>
                      <w:pPr>
                        <w:suppressAutoHyphens/>
                        <w:ind w:firstLine="720"/>
                        <w:jc w:val="both"/>
                        <w:textAlignment w:val="baseline"/>
                        <w:rPr>
                          <w:sz w:val="22"/>
                          <w:szCs w:val="22"/>
                        </w:rPr>
                      </w:pPr>
                      <w:sdt>
                        <w:sdtPr>
                          <w:alias w:val="Numeris"/>
                          <w:tag w:val="nr_6270c04abeed4d85a4e0a04f1fd9737f"/>
                          <w:lock w:val="sdtLocked"/>
                          <w:richText/>
                        </w:sdtPr>
                        <w:sdtContent>
                          <w:r>
                            <w:rPr>
                              <w:sz w:val="22"/>
                              <w:szCs w:val="22"/>
                              <w:lang w:eastAsia="lt-LT"/>
                            </w:rPr>
                            <w:t>4</w:t>
                          </w:r>
                        </w:sdtContent>
                      </w:sdt>
                      <w:r>
                        <w:rPr>
                          <w:sz w:val="22"/>
                          <w:szCs w:val="22"/>
                          <w:lang w:eastAsia="lt-LT"/>
                        </w:rPr>
                        <w:t xml:space="preserve">. Pasibaigus valstybinės ar savivaldybės švietimo įstaigos (išskyrus </w:t>
                      </w:r>
                      <w:r>
                        <w:rPr>
                          <w:bCs/>
                          <w:sz w:val="22"/>
                          <w:szCs w:val="22"/>
                          <w:lang w:eastAsia="lt-LT"/>
                        </w:rPr>
                        <w:t>aukštą</w:t>
                      </w:r>
                      <w:r>
                        <w:rPr>
                          <w:bCs/>
                          <w:sz w:val="22"/>
                          <w:szCs w:val="22"/>
                        </w:rPr>
                        <w:t>ją</w:t>
                      </w:r>
                      <w:r>
                        <w:rPr>
                          <w:sz w:val="22"/>
                          <w:szCs w:val="22"/>
                          <w:lang w:eastAsia="lt-LT"/>
                        </w:rPr>
                        <w:t xml:space="preserve"> </w:t>
                      </w:r>
                      <w:r>
                        <w:rPr>
                          <w:bCs/>
                          <w:sz w:val="22"/>
                          <w:szCs w:val="22"/>
                          <w:lang w:eastAsia="lt-LT"/>
                        </w:rPr>
                        <w:t>mokyklą</w:t>
                      </w:r>
                      <w:r>
                        <w:rPr>
                          <w:sz w:val="22"/>
                          <w:szCs w:val="22"/>
                          <w:lang w:eastAsia="lt-LT"/>
                        </w:rPr>
                        <w:t xml:space="preserve">) vadovo pirmajai penkerių metų kadencijai, jis skiriamas be konkurso antrajai penkerių metų kadencijai, jeigu jo metų veikla kiekvienais metais buvo vertinama labai gerai arba gerai </w:t>
                      </w:r>
                      <w:r>
                        <w:rPr>
                          <w:bCs/>
                          <w:sz w:val="22"/>
                          <w:szCs w:val="22"/>
                          <w:lang w:eastAsia="lt-LT"/>
                        </w:rPr>
                        <w:t>ir jis sutinka eiti pareigas</w:t>
                      </w:r>
                      <w:r>
                        <w:rPr>
                          <w:sz w:val="22"/>
                          <w:szCs w:val="22"/>
                          <w:lang w:eastAsia="lt-LT"/>
                        </w:rPr>
                        <w:t xml:space="preserve">. Pasibaigus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xml:space="preserve">) vadovo kadencijai, jam sutikus, jo įgaliojimai pratęsiami, iki įvyks viešas konkursas švietimo įstaigos vadovo pareigoms eiti ir bus paskirtas švietimo įstaigos vadovas.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vadovas, baigęs penkerių metų kadenciją, turi teisę dalyvauti tos pačios švietimo įstaigos viešame konkurse vadovo pareigoms eiti.</w:t>
                      </w:r>
                      <w:r>
                        <w:rPr>
                          <w:sz w:val="22"/>
                          <w:szCs w:val="22"/>
                        </w:rPr>
                        <w:t xml:space="preserve"> </w:t>
                      </w:r>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d97f86348cc64b4e9b446e60868fc0ce"/>
                    <w:lock w:val="sdtLocked"/>
                    <w:richText/>
                  </w:sdtPr>
                  <w:sdtContent>
                    <w:p>
                      <w:pPr>
                        <w:suppressAutoHyphens/>
                        <w:ind w:firstLine="720"/>
                        <w:jc w:val="both"/>
                        <w:textAlignment w:val="baseline"/>
                        <w:rPr>
                          <w:sz w:val="22"/>
                          <w:szCs w:val="22"/>
                        </w:rPr>
                      </w:pPr>
                      <w:sdt>
                        <w:sdtPr>
                          <w:alias w:val="Numeris"/>
                          <w:tag w:val="nr_d97f86348cc64b4e9b446e60868fc0ce"/>
                          <w:lock w:val="sdtLocked"/>
                          <w:richText/>
                        </w:sdtPr>
                        <w:sdtContent>
                          <w:r>
                            <w:rPr>
                              <w:bCs/>
                              <w:sz w:val="22"/>
                              <w:szCs w:val="22"/>
                              <w:lang w:eastAsia="lt-LT"/>
                            </w:rPr>
                            <w:t>9</w:t>
                          </w:r>
                        </w:sdtContent>
                      </w:sdt>
                      <w:r>
                        <w:rPr>
                          <w:bCs/>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bCs/>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bCs/>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d2ca14e7d2a74df597663d2f6c42966d"/>
                        <w:lock w:val="sdtLocked"/>
                        <w:richText/>
                      </w:sdtPr>
                      <w:sdtContent>
                        <w:p>
                          <w:pPr>
                            <w:suppressAutoHyphens/>
                            <w:ind w:firstLine="720"/>
                            <w:jc w:val="both"/>
                            <w:textAlignment w:val="baseline"/>
                            <w:rPr>
                              <w:sz w:val="22"/>
                              <w:szCs w:val="22"/>
                            </w:rPr>
                          </w:pPr>
                          <w:sdt>
                            <w:sdtPr>
                              <w:alias w:val="Numeris"/>
                              <w:tag w:val="nr_d2ca14e7d2a74df597663d2f6c42966d"/>
                              <w:lock w:val="sdtLocked"/>
                              <w:richText/>
                            </w:sdtPr>
                            <w:sdtContent>
                              <w:r>
                                <w:rPr>
                                  <w:bCs/>
                                  <w:sz w:val="22"/>
                                  <w:szCs w:val="22"/>
                                  <w:lang w:eastAsia="lt-LT"/>
                                </w:rPr>
                                <w:t>1</w:t>
                              </w:r>
                            </w:sdtContent>
                          </w:sdt>
                          <w:r>
                            <w:rPr>
                              <w:bCs/>
                              <w:sz w:val="22"/>
                              <w:szCs w:val="22"/>
                              <w:lang w:eastAsia="lt-LT"/>
                            </w:rPr>
                            <w:t>) yra atleistas iš pareigų dėl pareigybės panaikinimo, į kurią jis jau yra laimėjęs viešą konkursą švietimo įstaigos vadovo pareigoms eiti po 2018 m. sausio 1 d., ir jo visų metų veikla kadencijos, kurios metu jis atleistas iš pareigų dėl pareigybės panaikinimo, laikotarpiu buvo įvertinta gerai ir labai gerai;</w:t>
                          </w:r>
                        </w:p>
                      </w:sdtContent>
                    </w:sdt>
                    <w:sdt>
                      <w:sdtPr>
                        <w:alias w:val="59 str. 9 d. 2 p."/>
                        <w:tag w:val="part_4a613da9b1da4aeb81f996aeb01359c0"/>
                        <w:lock w:val="sdtLocked"/>
                        <w:richText/>
                      </w:sdtPr>
                      <w:sdtContent>
                        <w:p>
                          <w:pPr>
                            <w:suppressAutoHyphens/>
                            <w:ind w:firstLine="720"/>
                            <w:jc w:val="both"/>
                            <w:textAlignment w:val="baseline"/>
                            <w:rPr>
                              <w:sz w:val="22"/>
                              <w:szCs w:val="22"/>
                            </w:rPr>
                          </w:pPr>
                          <w:sdt>
                            <w:sdtPr>
                              <w:alias w:val="Numeris"/>
                              <w:tag w:val="nr_4a613da9b1da4aeb81f996aeb01359c0"/>
                              <w:lock w:val="sdtLocked"/>
                              <w:richText/>
                            </w:sdtPr>
                            <w:sdtContent>
                              <w:r>
                                <w:rPr>
                                  <w:bCs/>
                                  <w:sz w:val="22"/>
                                  <w:szCs w:val="22"/>
                                </w:rPr>
                                <w:t>2</w:t>
                              </w:r>
                            </w:sdtContent>
                          </w:sdt>
                          <w:r>
                            <w:rPr>
                              <w:bCs/>
                              <w:sz w:val="22"/>
                              <w:szCs w:val="22"/>
                            </w:rPr>
                            <w:t>) yra pabaigęs penkerių metų kadenciją, kurios metu visais metais jo veikla buvo įvertinta gerai ir labai gerai, ir yra atsisakęs būti paskirtas be konkurso antrajai penkerių metų kadencijai šio straipsnio 4 dalyje nustatyta tvarka arba dalyvauti viešame konkurse tos pačios švietimo įstaigos vadovo pareigoms eiti.</w:t>
                          </w:r>
                        </w:p>
                      </w:sdtContent>
                    </w:sdt>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e0b99e0db1f1451299e96bf25321c830"/>
                    <w:lock w:val="sdtLocked"/>
                    <w:richText/>
                  </w:sdtPr>
                  <w:sdtContent>
                    <w:p>
                      <w:pPr>
                        <w:suppressAutoHyphens/>
                        <w:ind w:firstLine="720"/>
                        <w:jc w:val="both"/>
                        <w:textAlignment w:val="baseline"/>
                        <w:rPr>
                          <w:b/>
                          <w:sz w:val="22"/>
                          <w:szCs w:val="22"/>
                        </w:rPr>
                      </w:pPr>
                      <w:sdt>
                        <w:sdtPr>
                          <w:alias w:val="Numeris"/>
                          <w:tag w:val="nr_e0b99e0db1f1451299e96bf25321c830"/>
                          <w:lock w:val="sdtLocked"/>
                          <w:richText/>
                        </w:sdtPr>
                        <w:sdtContent>
                          <w:r>
                            <w:rPr>
                              <w:sz w:val="22"/>
                              <w:szCs w:val="22"/>
                            </w:rPr>
                            <w:t>15</w:t>
                          </w:r>
                        </w:sdtContent>
                      </w:sdt>
                      <w:r>
                        <w:rPr>
                          <w:sz w:val="22"/>
                          <w:szCs w:val="22"/>
                        </w:rPr>
                        <w:t xml:space="preserve">. </w:t>
                      </w:r>
                      <w:r>
                        <w:rPr>
                          <w:bCs/>
                          <w:sz w:val="22"/>
                          <w:szCs w:val="22"/>
                        </w:rPr>
                        <w:t>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w:t>
                      </w:r>
                      <w:r>
                        <w:rPr>
                          <w:sz w:val="22"/>
                          <w:szCs w:val="22"/>
                        </w:rPr>
                        <w:t xml:space="preserve"> Jeigu valstybinės ar savivaldybės švietimo įstaigos (išskyrus aukštąją mokyklą)</w:t>
                      </w:r>
                      <w:r>
                        <w:rPr>
                          <w:sz w:val="22"/>
                          <w:szCs w:val="22"/>
                          <w:shd w:val="clear" w:color="auto" w:fill="FFFFFF"/>
                        </w:rPr>
                        <w:t xml:space="preserve"> </w:t>
                      </w:r>
                      <w:r>
                        <w:rPr>
                          <w:sz w:val="22"/>
                          <w:szCs w:val="22"/>
                        </w:rPr>
                        <w:t xml:space="preserve">vadovo metų </w:t>
                      </w:r>
                      <w:r>
                        <w:rPr>
                          <w:bCs/>
                          <w:sz w:val="22"/>
                          <w:szCs w:val="22"/>
                        </w:rPr>
                        <w:t xml:space="preserve">veikla </w:t>
                      </w:r>
                      <w:r>
                        <w:rPr>
                          <w:sz w:val="22"/>
                          <w:szCs w:val="22"/>
                        </w:rPr>
                        <w:t xml:space="preserve">įvertinama nepatenkinamai dvejus metus iš eilės, </w:t>
                      </w:r>
                      <w:r>
                        <w:rPr>
                          <w:bCs/>
                          <w:sz w:val="22"/>
                          <w:szCs w:val="22"/>
                        </w:rPr>
                        <w:t>į pareigas priimantis asmuo</w:t>
                      </w:r>
                      <w:r>
                        <w:rPr>
                          <w:sz w:val="22"/>
                          <w:szCs w:val="22"/>
                        </w:rPr>
                        <w:t xml:space="preserve"> priima sprendimą atleisti valstybinės ar savivaldybės švietimo įstaigos (išskyrus aukštąją mokyklą) vadovą iš pareigų ir nutraukti su juo sudarytą darbo sutartį per 10 darbo dienų nuo švietimo įstaigos vadovo metų veiklos įvertinimo, neišmokant jam išeitinės išmokos.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390eedf0048d4a27a13a8e6b8ee52c38"/>
                    <w:lock w:val="sdtLocked"/>
                    <w:richText/>
                  </w:sdtPr>
                  <w:sdtContent>
                    <w:p>
                      <w:pPr>
                        <w:suppressAutoHyphens/>
                        <w:ind w:firstLine="720"/>
                        <w:jc w:val="both"/>
                        <w:textAlignment w:val="baseline"/>
                        <w:rPr>
                          <w:sz w:val="22"/>
                          <w:szCs w:val="22"/>
                        </w:rPr>
                      </w:pPr>
                      <w:sdt>
                        <w:sdtPr>
                          <w:alias w:val="Numeris"/>
                          <w:tag w:val="nr_390eedf0048d4a27a13a8e6b8ee52c38"/>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5037d8774713405abc4a333a27e15368"/>
                    <w:lock w:val="sdtLocked"/>
                    <w:richText/>
                  </w:sdtPr>
                  <w:sdtContent>
                    <w:p>
                      <w:pPr>
                        <w:suppressAutoHyphens/>
                        <w:ind w:firstLine="720"/>
                        <w:jc w:val="both"/>
                        <w:textAlignment w:val="baseline"/>
                        <w:rPr>
                          <w:sz w:val="22"/>
                          <w:szCs w:val="22"/>
                        </w:rPr>
                      </w:pPr>
                      <w:sdt>
                        <w:sdtPr>
                          <w:alias w:val="Numeris"/>
                          <w:tag w:val="nr_5037d8774713405abc4a333a27e15368"/>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c1e12732008c45309f246c4fb300326b"/>
                <w:lock w:val="sdtLocked"/>
                <w:richText/>
              </w:sdtPr>
              <w:sdtContent>
                <w:p>
                  <w:pPr>
                    <w:ind w:firstLine="720"/>
                    <w:jc w:val="both"/>
                    <w:rPr>
                      <w:b/>
                      <w:sz w:val="22"/>
                      <w:szCs w:val="22"/>
                    </w:rPr>
                  </w:pPr>
                  <w:sdt>
                    <w:sdtPr>
                      <w:alias w:val="Numeris"/>
                      <w:tag w:val="nr_c1e12732008c45309f246c4fb300326b"/>
                      <w:lock w:val="sdtLocked"/>
                      <w:richText/>
                    </w:sdtPr>
                    <w:sdtContent>
                      <w:r>
                        <w:rPr>
                          <w:b/>
                          <w:sz w:val="22"/>
                          <w:szCs w:val="22"/>
                        </w:rPr>
                        <w:t>67</w:t>
                      </w:r>
                    </w:sdtContent>
                  </w:sdt>
                  <w:r>
                    <w:rPr>
                      <w:b/>
                      <w:sz w:val="22"/>
                      <w:szCs w:val="22"/>
                    </w:rPr>
                    <w:t xml:space="preserve"> straipsnis. </w:t>
                  </w:r>
                  <w:sdt>
                    <w:sdtPr>
                      <w:alias w:val="Pavadinimas"/>
                      <w:tag w:val="title_c1e12732008c45309f246c4fb300326b"/>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3f96708faa494c94a1976fb5ae9f8e8e"/>
                        <w:lock w:val="sdtLocked"/>
                        <w:richText/>
                      </w:sdtPr>
                      <w:sdtContent>
                        <w:p>
                          <w:pPr>
                            <w:suppressAutoHyphens/>
                            <w:ind w:firstLine="720"/>
                            <w:jc w:val="both"/>
                            <w:textAlignment w:val="baseline"/>
                            <w:rPr>
                              <w:bCs/>
                              <w:sz w:val="22"/>
                              <w:szCs w:val="22"/>
                              <w:lang w:eastAsia="lt-LT"/>
                            </w:rPr>
                          </w:pPr>
                          <w:sdt>
                            <w:sdtPr>
                              <w:alias w:val="Numeris"/>
                              <w:tag w:val="nr_3f96708faa494c94a1976fb5ae9f8e8e"/>
                              <w:lock w:val="sdtLocked"/>
                              <w:richText/>
                            </w:sdtPr>
                            <w:sdtContent>
                              <w:r>
                                <w:rPr>
                                  <w:sz w:val="22"/>
                                  <w:szCs w:val="22"/>
                                </w:rPr>
                                <w:t>1</w:t>
                              </w:r>
                            </w:sdtContent>
                          </w:sdt>
                          <w:r>
                            <w:rPr>
                              <w:sz w:val="22"/>
                              <w:szCs w:val="22"/>
                            </w:rPr>
                            <w:t xml:space="preserve">) savivaldybių mokykloms (klasėms arba grupėms), skirtoms šalies (regiono) mokiniams, turintiems specialiųjų ugdymosi poreikių, </w:t>
                          </w:r>
                          <w:r>
                            <w:rPr>
                              <w:bCs/>
                              <w:sz w:val="22"/>
                              <w:szCs w:val="22"/>
                            </w:rPr>
                            <w:t>savivaldybių kadetų ugdymo mokykloms, skirtoms šalies (regiono) mokiniams,</w:t>
                          </w:r>
                          <w:r>
                            <w:rPr>
                              <w:sz w:val="22"/>
                              <w:szCs w:val="22"/>
                            </w:rPr>
                            <w:t xml:space="preserve">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75F5302D"/>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86.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85.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86.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87.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87.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8649aa2e467040d0a42ca69e2ac356f7">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e4d8a7042efe4e7bbd180d847ab75c27"/>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b8d5c618330a4fa696e5214e3ce0d3d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7" Abbr="29 str. 7 d." DocPartId="64f01c1ca4bc41719c871281ab271bbc" PartId="aa9facc2c6424b619f5591dfafce72a1"/>
        <Part Type="strDalis" Nr="8" Abbr="29 str. 8 d." DocPartId="d0a16aa797c7417090fa4437d56f055c" PartId="b6099b326ba14181bac3c657c8ee0dbd"/>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0fb85874f8e74283a3e64b85809017de"/>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c4b7359488974126bf66ceedef81e14a"/>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09ece70091af45d3b6f1aa417ef1d7e1"/>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6c58f2d632f244aca7c213bb44b804d9"/>
          <Part Type="strPunktas" Nr="12" Abbr="12 p." DocPartId="a809b26631304c58b4c339f13b6ff5d0" PartId="4321e59c98a44f82a16ba0500c835ee4"/>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c465433e13374adda2bf5ee57a47afed"/>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0d43925d11ef414dbbff9600150bd501"/>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56 str. 2 d. 8 p." DocPartId="5be78dfe98cc4d48a840855d214e7fbc" PartId="0c5c7be5de0e4409b430991e948e1179"/>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6270c04abeed4d85a4e0a04f1fd9737f"/>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d97f86348cc64b4e9b446e60868fc0ce">
          <Part Type="strPunktas" Nr="1" Abbr="59 str. 9 d. 1 p." DocPartId="381cf85cf67c43eda3eef69bad525a25" PartId="d2ca14e7d2a74df597663d2f6c42966d"/>
          <Part Type="strPunktas" Nr="2" Abbr="59 str. 9 d. 2 p." DocPartId="1ac01fb4709749eda1e1dd2669e2875e" PartId="4a613da9b1da4aeb81f996aeb01359c0"/>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e0b99e0db1f1451299e96bf25321c83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390eedf0048d4a27a13a8e6b8ee52c38"/>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5037d8774713405abc4a333a27e1536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c1e12732008c45309f246c4fb300326b">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3f96708faa494c94a1976fb5ae9f8e8e"/>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9225AD84-2F4A-46F9-B159-971399714C23}">
  <ds:schemaRefs>
    <ds:schemaRef ds:uri="http://lrs.lt/TAIS/DocParts"/>
  </ds:schemaRefs>
</ds:datastoreItem>
</file>

<file path=docProps/app.xml><?xml version="1.0" encoding="utf-8"?>
<Properties xmlns="http://schemas.openxmlformats.org/officeDocument/2006/extended-properties">
  <Template>Normal.dotm</Template>
  <TotalTime>170</TotalTime>
  <Pages>44</Pages>
  <Words>22415</Words>
  <Characters>173808</Characters>
  <Application>Microsoft Office Word</Application>
  <DocSecurity>0</DocSecurity>
  <Lines>1448</Lines>
  <Paragraphs>391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195832</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2023-07-25T12:46:00Z</dcterms:modified>
  <revision>77</revision>
  <dc:title>Redagavo: Ramun? L??ait? (1997</dc:title>
</coreProperties>
</file>