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985AABDE96B7">
        <w:r w:rsidRPr="00532B9F">
          <w:rPr>
            <w:rFonts w:ascii="Times New Roman" w:eastAsia="MS Mincho" w:hAnsi="Times New Roman"/>
            <w:sz w:val="20"/>
            <w:i/>
            <w:iCs/>
            <w:color w:val="0000FF" w:themeColor="hyperlink"/>
            <w:u w:val="single"/>
          </w:rPr>
          <w:t>43-1526</w:t>
        </w:r>
      </w:fldSimple>
      <w:r>
        <w:rPr>
          <w:rFonts w:ascii="Times New Roman" w:eastAsia="MS Mincho" w:hAnsi="Times New Roman"/>
          <w:sz w:val="20"/>
          <w:i/>
          <w:iCs/>
        </w:rPr>
        <w:t>, i. k. 1012250ISAK00000288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2017-04-29:</w:t>
      </w:r>
    </w:p>
    <w:p>
      <w:pPr>
        <w:rPr>
          <w:rFonts w:ascii="Times New Roman" w:hAnsi="Times New Roman"/>
          <w:sz w:val="20"/>
          <w:i/>
        </w:rPr>
      </w:pPr>
      <w:r>
        <w:rPr>
          <w:rFonts w:ascii="Times New Roman" w:hAnsi="Times New Roman"/>
          <w:sz w:val="20"/>
          <w:i/>
        </w:rPr>
        <w:t xml:space="preserve">Nr. </w:t>
      </w:r>
      <w:fldSimple w:instr="HYPERLINK https://www.e-tar.lt/portal/legalAct.html?documentId=eb239d002bee11e78397ae072f58c508">
        <w:r w:rsidRPr="00532B9F">
          <w:rPr>
            <w:rFonts w:ascii="Times New Roman" w:eastAsia="MS Mincho" w:hAnsi="Times New Roman"/>
            <w:sz w:val="20"/>
            <w:i/>
            <w:iCs/>
            <w:color w:val="0000FF" w:themeColor="hyperlink"/>
            <w:u w:val="single"/>
          </w:rPr>
          <w:t>V-473</w:t>
        </w:r>
      </w:fldSimple>
      <w:r>
        <w:rPr>
          <w:rFonts w:ascii="Times New Roman" w:eastAsia="MS Mincho" w:hAnsi="Times New Roman"/>
          <w:sz w:val="20"/>
          <w:i/>
          <w:iCs/>
        </w:rPr>
        <w:t>,
2017-04-27,
paskelbta TAR 2017-04-28, i. k. 2017-07162                </w:t>
      </w:r>
    </w:p>
    <w:p>
      <w:pPr>
        <w:rPr>
          <w:rFonts w:ascii="Times New Roman" w:hAnsi="Times New Roman"/>
          <w:sz w:val="22"/>
        </w:rPr>
      </w:pPr>
    </w:p>
    <w:p>
      <w:pPr>
        <w:jc w:val="center"/>
        <w:rPr>
          <w:b/>
          <w:caps/>
          <w:szCs w:val="24"/>
        </w:rPr>
      </w:pPr>
      <w:r>
        <w:rPr>
          <w:b/>
          <w:caps/>
          <w:szCs w:val="24"/>
        </w:rPr>
        <w:t>LIETUVOS RESPUBLIKOS SVEIKATOS APSAUGOS MINISTRAS</w:t>
      </w:r>
    </w:p>
    <w:p>
      <w:pPr>
        <w:jc w:val="center"/>
        <w:rPr>
          <w:b/>
          <w:caps/>
          <w:szCs w:val="24"/>
        </w:rPr>
      </w:pPr>
    </w:p>
    <w:p>
      <w:pPr>
        <w:jc w:val="center"/>
        <w:rPr>
          <w:b/>
          <w:caps/>
          <w:szCs w:val="24"/>
        </w:rPr>
      </w:pPr>
      <w:r>
        <w:rPr>
          <w:b/>
          <w:caps/>
          <w:szCs w:val="24"/>
        </w:rPr>
        <w:t>ĮSAKYMAS</w:t>
      </w:r>
    </w:p>
    <w:p>
      <w:pPr>
        <w:jc w:val="center"/>
        <w:rPr>
          <w:b/>
          <w:szCs w:val="24"/>
        </w:rPr>
      </w:pPr>
      <w:r>
        <w:rPr>
          <w:b/>
          <w:szCs w:val="24"/>
        </w:rPr>
        <w:t xml:space="preserve">DĖL LIETUVOS HIGIENOS NORMOS HN 64:2017 „KOSMETIKOS GAMINIAI. MIKROBINIO UŽTERŠTUMO RIBINĖS VERTĖS“ PATVIRTINIMO </w:t>
      </w:r>
    </w:p>
    <w:p>
      <w:pPr>
        <w:jc w:val="center"/>
        <w:rPr>
          <w:b/>
          <w:szCs w:val="24"/>
        </w:rPr>
      </w:pPr>
    </w:p>
    <w:p>
      <w:pPr>
        <w:jc w:val="center"/>
        <w:rPr>
          <w:color w:val="000000"/>
        </w:rPr>
      </w:pPr>
      <w:r>
        <w:rPr>
          <w:color w:val="000000"/>
        </w:rPr>
        <w:t>2001 m. gegužės 15 d. Nr. 288</w:t>
      </w:r>
    </w:p>
    <w:p>
      <w:pPr>
        <w:jc w:val="center"/>
        <w:rPr>
          <w:color w:val="000000"/>
        </w:rPr>
      </w:pPr>
      <w:r>
        <w:rPr>
          <w:color w:val="000000"/>
        </w:rPr>
        <w:t>Vilnius</w:t>
      </w:r>
    </w:p>
    <w:p>
      <w:pPr>
        <w:jc w:val="center"/>
        <w:rPr>
          <w:b/>
          <w:szCs w:val="24"/>
        </w:rPr>
      </w:pPr>
    </w:p>
    <w:p>
      <w:pPr>
        <w:tabs>
          <w:tab w:val="left" w:pos="2552"/>
          <w:tab w:val="center" w:pos="3686"/>
        </w:tabs>
        <w:ind w:firstLine="709"/>
        <w:jc w:val="center"/>
        <w:rPr>
          <w:b/>
          <w:szCs w:val="24"/>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5b86c03ad911e7b66ae890e1368363">
        <w:r w:rsidRPr="00532B9F">
          <w:rPr>
            <w:rFonts w:ascii="Times New Roman" w:eastAsia="MS Mincho" w:hAnsi="Times New Roman"/>
            <w:sz w:val="20"/>
            <w:i/>
            <w:iCs/>
            <w:color w:val="0000FF" w:themeColor="hyperlink"/>
            <w:u w:val="single"/>
          </w:rPr>
          <w:t>V-559</w:t>
        </w:r>
      </w:fldSimple>
      <w:r>
        <w:rPr>
          <w:rFonts w:ascii="Times New Roman" w:eastAsia="MS Mincho" w:hAnsi="Times New Roman"/>
          <w:sz w:val="20"/>
          <w:i/>
          <w:iCs/>
        </w:rPr>
        <w:t>,
2017-05-16,
paskelbta TAR 2017-05-17, i. k. 2017-08280        </w:t>
      </w:r>
    </w:p>
    <w:p/>
    <w:p>
      <w:pPr>
        <w:ind w:firstLine="709"/>
        <w:jc w:val="both"/>
        <w:rPr>
          <w:szCs w:val="24"/>
          <w:lang w:eastAsia="lt-LT"/>
        </w:rPr>
      </w:pPr>
      <w:r>
        <w:rPr>
          <w:szCs w:val="24"/>
          <w:lang w:eastAsia="lt-LT"/>
        </w:rPr>
        <w:t xml:space="preserve">Vadovaudamasis Lietuvos Respublikos visuomenės sveikatos priežiūros įstatymo 2 straipsnio 12 dalimi ir 16 straipsnio 1 dalimi: </w:t>
      </w:r>
    </w:p>
    <w:p>
      <w:pPr>
        <w:ind w:firstLine="709"/>
        <w:jc w:val="both"/>
        <w:rPr>
          <w:szCs w:val="24"/>
          <w:lang w:eastAsia="lt-LT"/>
        </w:rPr>
      </w:pPr>
      <w:r>
        <w:rPr>
          <w:szCs w:val="24"/>
        </w:rPr>
        <w:t>1</w:t>
      </w:r>
      <w:r>
        <w:rPr>
          <w:szCs w:val="24"/>
          <w:lang w:eastAsia="lt-LT"/>
        </w:rPr>
        <w:t>. T v i r t i n u Lietuvos higienos normą HN 64:2017 „Kosmetikos gaminiai. M</w:t>
      </w:r>
      <w:r>
        <w:rPr>
          <w:szCs w:val="24"/>
        </w:rPr>
        <w:t>ikrobinio užterštumo ribinės vertės</w:t>
      </w:r>
      <w:r>
        <w:rPr>
          <w:szCs w:val="24"/>
          <w:lang w:eastAsia="lt-LT"/>
        </w:rPr>
        <w:t xml:space="preserve">“ (pridedama).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5b86c03ad911e7b66ae890e1368363">
        <w:r w:rsidRPr="00532B9F">
          <w:rPr>
            <w:rFonts w:ascii="Times New Roman" w:eastAsia="MS Mincho" w:hAnsi="Times New Roman"/>
            <w:sz w:val="20"/>
            <w:i/>
            <w:iCs/>
            <w:color w:val="0000FF" w:themeColor="hyperlink"/>
            <w:u w:val="single"/>
          </w:rPr>
          <w:t>V-559</w:t>
        </w:r>
      </w:fldSimple>
      <w:r>
        <w:rPr>
          <w:rFonts w:ascii="Times New Roman" w:eastAsia="MS Mincho" w:hAnsi="Times New Roman"/>
          <w:sz w:val="20"/>
          <w:i/>
          <w:iCs/>
        </w:rPr>
        <w:t>,
2017-05-16,
paskelbta TAR 2017-05-17, i. k. 2017-08280            </w:t>
      </w:r>
    </w:p>
    <w:p/>
    <w:p>
      <w:pPr>
        <w:ind w:firstLine="709"/>
        <w:jc w:val="both"/>
        <w:rPr>
          <w:szCs w:val="24"/>
          <w:lang w:eastAsia="lt-LT"/>
        </w:rPr>
      </w:pPr>
      <w:r>
        <w:rPr>
          <w:szCs w:val="24"/>
        </w:rPr>
        <w:t>2</w:t>
      </w:r>
      <w:r>
        <w:rPr>
          <w:szCs w:val="24"/>
        </w:rPr>
        <w:t>. P a v e d u šio įsakymo vykdymo kontrolę</w:t>
      </w:r>
      <w:r>
        <w:rPr>
          <w:szCs w:val="24"/>
          <w:lang w:eastAsia="lt-LT"/>
        </w:rPr>
        <w:t xml:space="preserve"> viceministrui pagal veiklos sritį.“</w:t>
      </w:r>
    </w:p>
    <w:p>
      <w:pPr>
        <w:ind w:firstLine="709"/>
        <w:jc w:val="both"/>
      </w:pPr>
      <w:r>
        <w:rPr>
          <w:szCs w:val="24"/>
        </w:rPr>
        <w:t>2</w:t>
      </w:r>
      <w:r>
        <w:rPr>
          <w:szCs w:val="24"/>
          <w:lang w:eastAsia="lt-LT"/>
        </w:rPr>
        <w:t>. N u s t a t a u, kad Lietuvos Respublikos sveikatos apsaugos ministro įsakymuose nuoroda į Lietuvos higienos normą HN 64-1:2001 „Kosmetikos ir asmens higienos gaminiai. Didžiausias leidžiamas mikrobinio užterštumo lygis“ reiškia nuorodą į Lietuvos higienos normą HN 64:2016 „Kosmetikos gaminiai. M</w:t>
      </w:r>
      <w:r>
        <w:rPr>
          <w:szCs w:val="24"/>
        </w:rPr>
        <w:t>ikrobinio užterštumo ribinės vertės</w:t>
      </w:r>
      <w:r>
        <w:rPr>
          <w:szCs w:val="24"/>
          <w:lang w:eastAsia="lt-LT"/>
        </w:rPr>
        <w:t>“.</w:t>
      </w:r>
    </w:p>
    <w:p>
      <w:pPr>
        <w:tabs>
          <w:tab w:val="right" w:pos="9639"/>
        </w:tabs>
      </w:pPr>
    </w:p>
    <w:p>
      <w:pPr>
        <w:tabs>
          <w:tab w:val="right" w:pos="9639"/>
        </w:tabs>
      </w:pPr>
    </w:p>
    <w:p>
      <w:pPr>
        <w:tabs>
          <w:tab w:val="right" w:pos="9639"/>
        </w:tabs>
      </w:pPr>
    </w:p>
    <w:p>
      <w:pPr>
        <w:tabs>
          <w:tab w:val="right" w:pos="9639"/>
        </w:tabs>
        <w:rPr>
          <w:caps/>
        </w:rPr>
      </w:pPr>
      <w:r>
        <w:rPr>
          <w:caps/>
        </w:rPr>
        <w:t>SOCIALINĖS APSAUGOS IR DARBO MINISTRĖ,</w:t>
      </w:r>
    </w:p>
    <w:p>
      <w:pPr>
        <w:tabs>
          <w:tab w:val="right" w:pos="9639"/>
        </w:tabs>
        <w:rPr>
          <w:color w:val="000000"/>
          <w:szCs w:val="12"/>
        </w:rPr>
      </w:pPr>
      <w:r>
        <w:rPr>
          <w:caps/>
        </w:rPr>
        <w:t>L. E. SVEIKATOS APSAUGOS MINISTRO PAREIGAS</w:t>
        <w:tab/>
        <w:t>VILIJA BLINKEVIČIŪTĖ</w:t>
      </w:r>
    </w:p>
    <w:p/>
    <w:p>
      <w:pPr>
        <w:ind w:left="6237"/>
      </w:pPr>
      <w:r>
        <w:br w:type="page"/>
      </w:r>
    </w:p>
    <w:p>
      <w:pPr>
        <w:ind w:left="6237"/>
        <w:rPr>
          <w:szCs w:val="24"/>
        </w:rPr>
      </w:pPr>
      <w:r>
        <w:rPr>
          <w:szCs w:val="24"/>
        </w:rPr>
        <w:t>PATVIRTINTA</w:t>
      </w:r>
    </w:p>
    <w:p>
      <w:pPr>
        <w:ind w:left="6237"/>
        <w:rPr>
          <w:szCs w:val="24"/>
        </w:rPr>
      </w:pPr>
      <w:r>
        <w:rPr>
          <w:szCs w:val="24"/>
        </w:rPr>
        <w:t>Lietuvos Respublikos sveikatos apsaugos ministro 2001 m. gegužės 15 d. įsakymu Nr. 288</w:t>
      </w:r>
    </w:p>
    <w:p>
      <w:pPr>
        <w:ind w:left="6237"/>
        <w:rPr>
          <w:szCs w:val="24"/>
        </w:rPr>
      </w:pPr>
      <w:r>
        <w:rPr>
          <w:szCs w:val="24"/>
        </w:rPr>
        <w:t>(Lietuvos Respublikos sveikatos apsaugos ministro 2017 m. balandžio 27 d. įsakymo Nr. V-473</w:t>
      </w:r>
    </w:p>
    <w:p>
      <w:pPr>
        <w:ind w:left="6237"/>
        <w:rPr>
          <w:szCs w:val="24"/>
        </w:rPr>
      </w:pPr>
      <w:r>
        <w:rPr>
          <w:szCs w:val="24"/>
        </w:rPr>
        <w:t>redakcija)</w:t>
      </w:r>
    </w:p>
    <w:p>
      <w:pPr>
        <w:ind w:firstLine="1"/>
        <w:jc w:val="both"/>
        <w:rPr>
          <w:szCs w:val="24"/>
        </w:rPr>
      </w:pPr>
    </w:p>
    <w:p>
      <w:pPr>
        <w:ind w:firstLine="1"/>
        <w:jc w:val="both"/>
        <w:rPr>
          <w:szCs w:val="24"/>
        </w:rPr>
      </w:pPr>
    </w:p>
    <w:p>
      <w:pPr>
        <w:jc w:val="center"/>
        <w:rPr>
          <w:b/>
          <w:caps/>
          <w:szCs w:val="24"/>
        </w:rPr>
      </w:pPr>
      <w:r>
        <w:rPr>
          <w:b/>
          <w:caps/>
          <w:szCs w:val="24"/>
        </w:rPr>
        <w:t xml:space="preserve">LIETUVOS HIGIENOS NORMA HN 64:2017 „KOSMETIKOS GAMINIAI. MIKROBINIO UŽTERŠTUMO RIBINĖS VERTĖS </w:t>
      </w:r>
    </w:p>
    <w:p>
      <w:pPr>
        <w:jc w:val="center"/>
        <w:rPr>
          <w:b/>
          <w:caps/>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5b86c03ad911e7b66ae890e1368363">
        <w:r w:rsidRPr="00532B9F">
          <w:rPr>
            <w:rFonts w:ascii="Times New Roman" w:eastAsia="MS Mincho" w:hAnsi="Times New Roman"/>
            <w:sz w:val="20"/>
            <w:i/>
            <w:iCs/>
            <w:color w:val="0000FF" w:themeColor="hyperlink"/>
            <w:u w:val="single"/>
          </w:rPr>
          <w:t>V-559</w:t>
        </w:r>
      </w:fldSimple>
      <w:r>
        <w:rPr>
          <w:rFonts w:ascii="Times New Roman" w:eastAsia="MS Mincho" w:hAnsi="Times New Roman"/>
          <w:sz w:val="20"/>
          <w:i/>
          <w:iCs/>
        </w:rPr>
        <w:t>,
2017-05-16,
paskelbta TAR 2017-05-17, i. k. 2017-08280        </w:t>
      </w:r>
    </w:p>
    <w:p/>
    <w:p>
      <w:pPr>
        <w:jc w:val="center"/>
        <w:rPr>
          <w:b/>
          <w:caps/>
          <w:szCs w:val="24"/>
        </w:rPr>
      </w:pPr>
      <w:r>
        <w:rPr>
          <w:b/>
          <w:caps/>
          <w:szCs w:val="24"/>
        </w:rPr>
        <w:t>I</w:t>
      </w:r>
      <w:r>
        <w:rPr>
          <w:b/>
          <w:caps/>
          <w:szCs w:val="24"/>
        </w:rPr>
        <w:t xml:space="preserve"> skyrius</w:t>
      </w:r>
    </w:p>
    <w:p>
      <w:pPr>
        <w:jc w:val="center"/>
        <w:rPr>
          <w:b/>
          <w:caps/>
          <w:szCs w:val="24"/>
        </w:rPr>
      </w:pPr>
      <w:r>
        <w:rPr>
          <w:b/>
          <w:caps/>
          <w:szCs w:val="24"/>
        </w:rPr>
        <w:t>bendrosios nuostatos</w:t>
      </w:r>
    </w:p>
    <w:p>
      <w:pPr>
        <w:jc w:val="center"/>
        <w:rPr>
          <w:szCs w:val="24"/>
        </w:rPr>
      </w:pPr>
    </w:p>
    <w:p>
      <w:pPr>
        <w:ind w:firstLine="709"/>
        <w:jc w:val="both"/>
        <w:rPr>
          <w:szCs w:val="24"/>
        </w:rPr>
      </w:pPr>
      <w:r>
        <w:rPr>
          <w:szCs w:val="24"/>
          <w:lang w:eastAsia="lt-LT"/>
        </w:rPr>
        <w:t>1</w:t>
      </w:r>
      <w:r>
        <w:rPr>
          <w:szCs w:val="24"/>
          <w:lang w:eastAsia="lt-LT"/>
        </w:rPr>
        <w:t>.</w:t>
      </w:r>
      <w:r>
        <w:rPr>
          <w:szCs w:val="24"/>
        </w:rPr>
        <w:t> Lietuvos higienos norma HN 64:2017 „Kosmetikos gaminiai. Mikrobinio užterštumo ribinės vertės“ (toliau – Higienos norma) nustato kosmetikos gaminių mikrobinio užterštumo rodiklius, užtikrinančius tiekiamų rinkai kosmetikos gaminių saugą vartotojų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5b86c03ad911e7b66ae890e1368363">
        <w:r w:rsidRPr="00532B9F">
          <w:rPr>
            <w:rFonts w:ascii="Times New Roman" w:eastAsia="MS Mincho" w:hAnsi="Times New Roman"/>
            <w:sz w:val="20"/>
            <w:i/>
            <w:iCs/>
            <w:color w:val="0000FF" w:themeColor="hyperlink"/>
            <w:u w:val="single"/>
          </w:rPr>
          <w:t>V-559</w:t>
        </w:r>
      </w:fldSimple>
      <w:r>
        <w:rPr>
          <w:rFonts w:ascii="Times New Roman" w:eastAsia="MS Mincho" w:hAnsi="Times New Roman"/>
          <w:sz w:val="20"/>
          <w:i/>
          <w:iCs/>
        </w:rPr>
        <w:t>,
2017-05-16,
paskelbta TAR 2017-05-17, i. k. 2017-08280            </w:t>
      </w:r>
    </w:p>
    <w:p/>
    <w:p>
      <w:pPr>
        <w:ind w:firstLine="709"/>
        <w:jc w:val="both"/>
        <w:rPr>
          <w:szCs w:val="24"/>
        </w:rPr>
      </w:pPr>
      <w:r>
        <w:rPr>
          <w:szCs w:val="24"/>
        </w:rPr>
        <w:t>2</w:t>
      </w:r>
      <w:r>
        <w:rPr>
          <w:szCs w:val="24"/>
        </w:rPr>
        <w:t>. Higienos norma atitinka 2015 m. rugsėjo 9 d. Europos Parlamento ir Tarybos direktyvos (ES) 2015/1535, kuria nustatoma informacijos apie techninius reglamentus ir informacinės visuomenės paslaugų taisykles teikimo tvarka (OL 2015 L 241, p. 1), reikalavimus.</w:t>
      </w:r>
    </w:p>
    <w:p>
      <w:pPr>
        <w:ind w:firstLine="709"/>
        <w:jc w:val="both"/>
        <w:rPr>
          <w:szCs w:val="24"/>
        </w:rPr>
      </w:pPr>
      <w:r>
        <w:rPr>
          <w:szCs w:val="24"/>
        </w:rPr>
        <w:t>3</w:t>
      </w:r>
      <w:r>
        <w:rPr>
          <w:szCs w:val="24"/>
        </w:rPr>
        <w:t xml:space="preserve">. Higienos normos reikalavimai privalomi visiems fiziniams ir juridiniams asmenims, </w:t>
      </w:r>
      <w:r>
        <w:rPr>
          <w:color w:val="000000"/>
          <w:szCs w:val="24"/>
        </w:rPr>
        <w:t>kitoms organizacijoms bei jų padaliniams, gaminantiems, t</w:t>
      </w:r>
      <w:r>
        <w:rPr>
          <w:szCs w:val="24"/>
        </w:rPr>
        <w:t xml:space="preserve">iekiantiems rinkai kosmetikos gaminius ir vykdantiems  kosmetikos gaminių gamybos bei rinkos priežiūrą.</w:t>
      </w:r>
    </w:p>
    <w:p>
      <w:pPr>
        <w:ind w:firstLine="709"/>
        <w:jc w:val="both"/>
        <w:rPr>
          <w:color w:val="000000"/>
          <w:szCs w:val="24"/>
        </w:rPr>
      </w:pPr>
      <w:r>
        <w:rPr>
          <w:szCs w:val="24"/>
        </w:rPr>
        <w:t>4</w:t>
      </w:r>
      <w:r>
        <w:rPr>
          <w:szCs w:val="24"/>
        </w:rPr>
        <w:t xml:space="preserve">. Higienos norma parengta atsižvelgiant į 2015 m. rugsėjo 29 d. </w:t>
      </w:r>
      <w:r>
        <w:rPr>
          <w:szCs w:val="24"/>
          <w:lang w:val="x-none"/>
        </w:rPr>
        <w:t>V</w:t>
      </w:r>
      <w:r>
        <w:rPr>
          <w:szCs w:val="24"/>
        </w:rPr>
        <w:t>artotojų saugos mokslinio komiteto</w:t>
      </w:r>
      <w:r>
        <w:rPr>
          <w:szCs w:val="24"/>
          <w:lang w:val="x-none"/>
        </w:rPr>
        <w:t xml:space="preserve"> rekomendacin</w:t>
      </w:r>
      <w:r>
        <w:rPr>
          <w:szCs w:val="24"/>
        </w:rPr>
        <w:t>e</w:t>
      </w:r>
      <w:r>
        <w:rPr>
          <w:szCs w:val="24"/>
          <w:lang w:val="x-none"/>
        </w:rPr>
        <w:t>s pastab</w:t>
      </w:r>
      <w:r>
        <w:rPr>
          <w:szCs w:val="24"/>
        </w:rPr>
        <w:t>a</w:t>
      </w:r>
      <w:r>
        <w:rPr>
          <w:szCs w:val="24"/>
          <w:lang w:val="x-none"/>
        </w:rPr>
        <w:t>s dėl kosmetikos sudedamųjų dalių bandymų ir jų saugos vertinimo, 9-oji redakcija, SCCS/1564/15, ir vėlesni jų atnaujinimai (T</w:t>
      </w:r>
      <w:r>
        <w:rPr>
          <w:bCs/>
          <w:szCs w:val="24"/>
          <w:lang w:val="x-none"/>
        </w:rPr>
        <w:t>he SCCS Notes of Guidance for the Testing of Cosmetic Ingredients and their Safety Evaluation</w:t>
      </w:r>
      <w:r>
        <w:rPr>
          <w:bCs/>
          <w:szCs w:val="24"/>
        </w:rPr>
        <w:t> </w:t>
      </w:r>
      <w:r>
        <w:rPr>
          <w:bCs/>
          <w:szCs w:val="24"/>
          <w:lang w:val="x-none"/>
        </w:rPr>
        <w:t>9</w:t>
      </w:r>
      <w:r>
        <w:rPr>
          <w:bCs/>
          <w:szCs w:val="24"/>
        </w:rPr>
        <w:t> </w:t>
      </w:r>
      <w:r>
        <w:rPr>
          <w:bCs/>
          <w:szCs w:val="24"/>
          <w:lang w:val="x-none"/>
        </w:rPr>
        <w:t>th</w:t>
      </w:r>
      <w:r>
        <w:rPr>
          <w:bCs/>
          <w:szCs w:val="24"/>
        </w:rPr>
        <w:t> </w:t>
      </w:r>
      <w:r>
        <w:rPr>
          <w:bCs/>
          <w:szCs w:val="24"/>
          <w:lang w:val="x-none"/>
        </w:rPr>
        <w:t>revision</w:t>
      </w:r>
      <w:r>
        <w:rPr>
          <w:bCs/>
          <w:szCs w:val="24"/>
        </w:rPr>
        <w:t xml:space="preserve"> </w:t>
      </w:r>
      <w:r>
        <w:rPr>
          <w:bCs/>
          <w:color w:val="000000"/>
          <w:szCs w:val="24"/>
        </w:rPr>
        <w:t>(</w:t>
      </w:r>
      <w:r>
        <w:rPr>
          <w:color w:val="000000"/>
          <w:kern w:val="24"/>
          <w:szCs w:val="24"/>
          <w:lang w:val="x-none"/>
        </w:rPr>
        <w:t>http://ec.europa.eu/health//sites/health/files/scientific_committees/consumer_safety/docs/sccs_o_190.pdf</w:t>
      </w:r>
      <w:r>
        <w:rPr>
          <w:color w:val="000000"/>
          <w:szCs w:val="24"/>
        </w:rPr>
        <w:t>).</w:t>
      </w:r>
    </w:p>
    <w:p>
      <w:pPr>
        <w:jc w:val="both"/>
        <w:rPr>
          <w:color w:val="000000"/>
          <w:szCs w:val="24"/>
        </w:rPr>
      </w:pPr>
    </w:p>
    <w:p>
      <w:pPr>
        <w:jc w:val="center"/>
        <w:rPr>
          <w:b/>
          <w:caps/>
          <w:szCs w:val="24"/>
        </w:rPr>
      </w:pPr>
      <w:r>
        <w:rPr>
          <w:b/>
          <w:caps/>
          <w:szCs w:val="24"/>
        </w:rPr>
        <w:t>II</w:t>
      </w:r>
      <w:r>
        <w:rPr>
          <w:b/>
          <w:caps/>
          <w:szCs w:val="24"/>
        </w:rPr>
        <w:t xml:space="preserve"> SKYRIUS</w:t>
      </w:r>
    </w:p>
    <w:p>
      <w:pPr>
        <w:jc w:val="center"/>
        <w:rPr>
          <w:b/>
          <w:caps/>
          <w:szCs w:val="24"/>
        </w:rPr>
      </w:pPr>
      <w:r>
        <w:rPr>
          <w:b/>
          <w:caps/>
          <w:szCs w:val="24"/>
        </w:rPr>
        <w:t>nuorodos</w:t>
      </w:r>
    </w:p>
    <w:p>
      <w:pPr>
        <w:rPr>
          <w:szCs w:val="24"/>
        </w:rPr>
      </w:pPr>
    </w:p>
    <w:p>
      <w:pPr>
        <w:ind w:firstLine="709"/>
        <w:jc w:val="both"/>
        <w:rPr>
          <w:szCs w:val="24"/>
        </w:rPr>
      </w:pPr>
      <w:r>
        <w:rPr>
          <w:szCs w:val="24"/>
        </w:rPr>
        <w:t>5</w:t>
      </w:r>
      <w:r>
        <w:rPr>
          <w:szCs w:val="24"/>
        </w:rPr>
        <w:t>. Teisės aktai ir dokumentai, į kuriuos pateiktos nuorodos šioje higienos normoje:</w:t>
      </w:r>
    </w:p>
    <w:p>
      <w:pPr>
        <w:ind w:firstLine="709"/>
        <w:jc w:val="both"/>
        <w:rPr>
          <w:szCs w:val="24"/>
        </w:rPr>
      </w:pPr>
      <w:r>
        <w:rPr>
          <w:szCs w:val="24"/>
        </w:rPr>
        <w:t>5.1</w:t>
      </w:r>
      <w:r>
        <w:rPr>
          <w:szCs w:val="24"/>
        </w:rPr>
        <w:t>. </w:t>
      </w:r>
      <w:r>
        <w:rPr>
          <w:szCs w:val="24"/>
          <w:lang w:val="en-US"/>
        </w:rPr>
        <w:t xml:space="preserve">Lietuvos Respublikos produktų saugos įstatymas; </w:t>
      </w:r>
    </w:p>
    <w:p>
      <w:pPr>
        <w:ind w:firstLine="709"/>
        <w:jc w:val="both"/>
        <w:rPr>
          <w:bCs/>
          <w:color w:val="000000"/>
          <w:szCs w:val="24"/>
        </w:rPr>
      </w:pPr>
      <w:r>
        <w:rPr>
          <w:szCs w:val="24"/>
        </w:rPr>
        <w:t>5.2</w:t>
      </w:r>
      <w:r>
        <w:rPr>
          <w:szCs w:val="24"/>
        </w:rPr>
        <w:t xml:space="preserve">. 2009 m. lapkričio 30 d. Europos Parlamento ir Tarybos reglamentas Nr. 1223/2009 dėl kosmetikos gaminių (OL </w:t>
      </w:r>
      <w:smartTag w:uri="urn:schemas-microsoft-com:office:smarttags" w:element="metricconverter">
        <w:smartTagPr>
          <w:attr w:name="ProductID" w:val="2009 L"/>
        </w:smartTagPr>
        <w:r>
          <w:rPr>
            <w:szCs w:val="24"/>
          </w:rPr>
          <w:t>2009 L</w:t>
        </w:r>
      </w:smartTag>
      <w:r>
        <w:rPr>
          <w:szCs w:val="24"/>
        </w:rPr>
        <w:t xml:space="preserve"> 342, p. 59) (toliau – Reglamentas (EB) Nr. 1223/2009);</w:t>
      </w:r>
    </w:p>
    <w:p>
      <w:pPr>
        <w:ind w:firstLine="709"/>
        <w:jc w:val="both"/>
        <w:rPr>
          <w:vanish/>
          <w:szCs w:val="24"/>
        </w:rPr>
      </w:pPr>
      <w:r>
        <w:rPr>
          <w:szCs w:val="24"/>
        </w:rPr>
        <w:t>5</w:t>
      </w:r>
      <w:r>
        <w:rPr>
          <w:szCs w:val="24"/>
          <w:lang w:val="x-none"/>
        </w:rPr>
        <w:t>.</w:t>
      </w:r>
      <w:r>
        <w:rPr>
          <w:szCs w:val="24"/>
        </w:rPr>
        <w:t>3</w:t>
      </w:r>
      <w:r>
        <w:rPr>
          <w:szCs w:val="24"/>
          <w:lang w:val="x-none"/>
        </w:rPr>
        <w:t>. </w:t>
      </w:r>
      <w:r>
        <w:rPr>
          <w:szCs w:val="24"/>
        </w:rPr>
        <w:t xml:space="preserve">2013 m. lapkričio 25 d. Komisijos įgyvendinimo sprendimas 2013/674 dėl Europos Parlamento ir Tarybos reglamento (EB) Nr. 1223/2009 dėl kosmetikos gaminių I priedo gairių (OL </w:t>
      </w:r>
      <w:smartTag w:uri="urn:schemas-microsoft-com:office:smarttags" w:element="metricconverter">
        <w:smartTagPr>
          <w:attr w:name="ProductID" w:val="2013 L"/>
        </w:smartTagPr>
        <w:r>
          <w:rPr>
            <w:szCs w:val="24"/>
          </w:rPr>
          <w:t>2013 L</w:t>
        </w:r>
      </w:smartTag>
      <w:r>
        <w:rPr>
          <w:szCs w:val="24"/>
        </w:rPr>
        <w:t xml:space="preserve"> 315, p. 82);</w:t>
      </w:r>
    </w:p>
    <w:p>
      <w:pPr>
        <w:ind w:firstLine="709"/>
        <w:jc w:val="both"/>
        <w:rPr>
          <w:color w:val="000000"/>
          <w:szCs w:val="24"/>
        </w:rPr>
      </w:pPr>
      <w:r>
        <w:rPr>
          <w:szCs w:val="24"/>
        </w:rPr>
        <w:t>5</w:t>
      </w:r>
      <w:r>
        <w:rPr>
          <w:color w:val="000000"/>
          <w:szCs w:val="24"/>
        </w:rPr>
        <w:t>.4</w:t>
      </w:r>
      <w:r>
        <w:rPr>
          <w:color w:val="000000"/>
          <w:szCs w:val="24"/>
        </w:rPr>
        <w:t>. </w:t>
      </w:r>
      <w:r>
        <w:rPr>
          <w:bCs/>
          <w:szCs w:val="24"/>
          <w:lang w:val="x-none"/>
        </w:rPr>
        <w:t xml:space="preserve">Lietuvos Respublikos sveikatos apsaugos ministro </w:t>
      </w:r>
      <w:r>
        <w:rPr>
          <w:szCs w:val="24"/>
          <w:lang w:val="x-none"/>
        </w:rPr>
        <w:t>2010 m. spalio 28 d.</w:t>
      </w:r>
      <w:r>
        <w:rPr>
          <w:color w:val="000000"/>
          <w:szCs w:val="24"/>
          <w:lang w:val="x-none"/>
        </w:rPr>
        <w:t xml:space="preserve"> </w:t>
      </w:r>
      <w:r>
        <w:rPr>
          <w:bCs/>
          <w:szCs w:val="24"/>
          <w:lang w:val="x-none"/>
        </w:rPr>
        <w:t>įsakym</w:t>
      </w:r>
      <w:r>
        <w:rPr>
          <w:bCs/>
          <w:szCs w:val="24"/>
        </w:rPr>
        <w:t>as</w:t>
      </w:r>
      <w:r>
        <w:rPr>
          <w:bCs/>
          <w:szCs w:val="24"/>
          <w:lang w:val="x-none"/>
        </w:rPr>
        <w:t xml:space="preserve"> Nr. V</w:t>
      </w:r>
      <w:r>
        <w:rPr>
          <w:szCs w:val="24"/>
          <w:lang w:val="x-none"/>
        </w:rPr>
        <w:t>-946</w:t>
      </w:r>
      <w:r>
        <w:rPr>
          <w:bCs/>
          <w:szCs w:val="24"/>
          <w:lang w:val="x-none"/>
        </w:rPr>
        <w:t xml:space="preserve"> „</w:t>
      </w:r>
      <w:r>
        <w:rPr>
          <w:szCs w:val="24"/>
          <w:lang w:val="x-none"/>
        </w:rPr>
        <w:t>Dėl Tiesioginės valstybinės visuomenės sveikatos saugos kontrolės reglamento patvirtinimo</w:t>
      </w:r>
      <w:r>
        <w:rPr>
          <w:color w:val="000000"/>
          <w:szCs w:val="24"/>
          <w:lang w:val="x-none"/>
        </w:rPr>
        <w:t>“</w:t>
      </w:r>
      <w:r>
        <w:rPr>
          <w:color w:val="000000"/>
          <w:szCs w:val="24"/>
        </w:rPr>
        <w:t>;</w:t>
      </w:r>
    </w:p>
    <w:p>
      <w:pPr>
        <w:ind w:firstLine="709"/>
        <w:jc w:val="both"/>
        <w:rPr>
          <w:szCs w:val="24"/>
        </w:rPr>
      </w:pPr>
      <w:r>
        <w:rPr>
          <w:szCs w:val="24"/>
        </w:rPr>
        <w:t>5.5</w:t>
      </w:r>
      <w:r>
        <w:rPr>
          <w:szCs w:val="24"/>
        </w:rPr>
        <w:t xml:space="preserve">. Lietuvos standartas </w:t>
      </w:r>
      <w:r>
        <w:rPr>
          <w:bCs/>
          <w:szCs w:val="24"/>
          <w:lang w:val="x-none"/>
        </w:rPr>
        <w:t>LST EN ISO 17516:2015</w:t>
      </w:r>
      <w:r>
        <w:rPr>
          <w:b/>
          <w:szCs w:val="24"/>
        </w:rPr>
        <w:t> </w:t>
      </w:r>
      <w:r>
        <w:rPr>
          <w:szCs w:val="24"/>
        </w:rPr>
        <w:t>„</w:t>
      </w:r>
      <w:r>
        <w:rPr>
          <w:szCs w:val="24"/>
          <w:lang w:val="x-none"/>
        </w:rPr>
        <w:t>Kosmetikos gaminiai. Mikrobiologija. Mikrobiologinės ribinės vertės (ISO 17516:2014)</w:t>
      </w:r>
      <w:r>
        <w:rPr>
          <w:szCs w:val="24"/>
        </w:rPr>
        <w:t>“;</w:t>
      </w:r>
    </w:p>
    <w:p>
      <w:pPr>
        <w:ind w:firstLine="709"/>
        <w:jc w:val="both"/>
        <w:rPr>
          <w:szCs w:val="24"/>
        </w:rPr>
      </w:pPr>
      <w:r>
        <w:rPr>
          <w:szCs w:val="24"/>
        </w:rPr>
        <w:t>5.6</w:t>
      </w:r>
      <w:r>
        <w:rPr>
          <w:szCs w:val="24"/>
        </w:rPr>
        <w:t>. Lietuvos standartas LST EN ISO 29621:2011 „Kosmetikos gaminiai. Mikrobiologija. Mikrobiologiškai mažos rizikos gaminių rizikos vertinimo ir identifikavimo gairės (ISO 29621:2010)“.</w:t>
      </w:r>
    </w:p>
    <w:p>
      <w:pPr>
        <w:rPr>
          <w:b/>
          <w:color w:val="000000"/>
          <w:szCs w:val="24"/>
        </w:rPr>
      </w:pPr>
    </w:p>
    <w:p>
      <w:pPr>
        <w:jc w:val="center"/>
        <w:rPr>
          <w:b/>
          <w:szCs w:val="24"/>
        </w:rPr>
      </w:pPr>
      <w:r>
        <w:rPr>
          <w:b/>
          <w:szCs w:val="24"/>
        </w:rPr>
        <w:t>III</w:t>
      </w:r>
      <w:r>
        <w:rPr>
          <w:b/>
          <w:szCs w:val="24"/>
        </w:rPr>
        <w:t xml:space="preserve"> SKYRIUS</w:t>
      </w:r>
    </w:p>
    <w:p>
      <w:pPr>
        <w:jc w:val="center"/>
        <w:rPr>
          <w:b/>
          <w:szCs w:val="24"/>
        </w:rPr>
      </w:pPr>
      <w:r>
        <w:rPr>
          <w:b/>
          <w:szCs w:val="24"/>
        </w:rPr>
        <w:t>SĄVOKOS IR JŲ APIBRĖŽTYS</w:t>
      </w:r>
    </w:p>
    <w:p>
      <w:pPr>
        <w:jc w:val="both"/>
        <w:rPr>
          <w:szCs w:val="24"/>
        </w:rPr>
      </w:pPr>
    </w:p>
    <w:p>
      <w:pPr>
        <w:ind w:firstLine="709"/>
        <w:jc w:val="both"/>
        <w:rPr>
          <w:szCs w:val="24"/>
        </w:rPr>
      </w:pPr>
      <w:r>
        <w:rPr>
          <w:szCs w:val="24"/>
        </w:rPr>
        <w:t>6</w:t>
      </w:r>
      <w:r>
        <w:rPr>
          <w:szCs w:val="24"/>
        </w:rPr>
        <w:t>. Higienos normoje vartojamos sąvokos ir jų apibrėžtys:</w:t>
      </w:r>
    </w:p>
    <w:p>
      <w:pPr>
        <w:ind w:firstLine="709"/>
        <w:jc w:val="both"/>
        <w:rPr>
          <w:rFonts w:ascii="TimesLT" w:hAnsi="TimesLT"/>
          <w:szCs w:val="24"/>
        </w:rPr>
      </w:pPr>
      <w:r>
        <w:rPr>
          <w:szCs w:val="24"/>
        </w:rPr>
        <w:t>6.1</w:t>
      </w:r>
      <w:r>
        <w:rPr>
          <w:szCs w:val="24"/>
        </w:rPr>
        <w:t>. </w:t>
      </w:r>
      <w:r>
        <w:rPr>
          <w:rFonts w:ascii="TimesLT" w:hAnsi="TimesLT"/>
          <w:b/>
          <w:bCs/>
          <w:szCs w:val="24"/>
        </w:rPr>
        <w:t xml:space="preserve">I kategorijos kosmetikos gaminiai </w:t>
      </w:r>
      <w:r>
        <w:rPr>
          <w:rFonts w:ascii="TimesLT" w:hAnsi="TimesLT"/>
          <w:bCs/>
          <w:szCs w:val="24"/>
        </w:rPr>
        <w:t xml:space="preserve">– </w:t>
      </w:r>
      <w:r>
        <w:rPr>
          <w:rFonts w:ascii="TimesLT" w:hAnsi="TimesLT"/>
          <w:szCs w:val="24"/>
        </w:rPr>
        <w:t xml:space="preserve">kosmetikos gaminiai, skirti vaikams iki 3 metų amžiaus, </w:t>
      </w:r>
      <w:r>
        <w:rPr>
          <w:rFonts w:ascii="TimesLT" w:hAnsi="TimesLT"/>
          <w:bCs/>
          <w:szCs w:val="24"/>
        </w:rPr>
        <w:t>a</w:t>
      </w:r>
      <w:r>
        <w:rPr>
          <w:rFonts w:ascii="TimesLT" w:hAnsi="TimesLT"/>
          <w:szCs w:val="24"/>
        </w:rPr>
        <w:t>kių priežiūros gaminiai, gleivinių priežiūros gaminiai.</w:t>
      </w:r>
    </w:p>
    <w:p>
      <w:pPr>
        <w:ind w:firstLine="709"/>
        <w:jc w:val="both"/>
        <w:rPr>
          <w:rFonts w:ascii="TimesLT" w:hAnsi="TimesLT"/>
          <w:szCs w:val="24"/>
          <w:lang w:val="fi-FI"/>
        </w:rPr>
      </w:pPr>
      <w:r>
        <w:rPr>
          <w:rFonts w:ascii="TimesLT" w:hAnsi="TimesLT"/>
          <w:szCs w:val="24"/>
          <w:lang w:val="fi-FI"/>
        </w:rPr>
        <w:t>6.2</w:t>
      </w:r>
      <w:r>
        <w:rPr>
          <w:rFonts w:ascii="TimesLT" w:hAnsi="TimesLT"/>
          <w:szCs w:val="24"/>
          <w:lang w:val="fi-FI"/>
        </w:rPr>
        <w:t>. </w:t>
      </w:r>
      <w:r>
        <w:rPr>
          <w:rFonts w:ascii="TimesLT" w:hAnsi="TimesLT"/>
          <w:b/>
          <w:szCs w:val="24"/>
          <w:lang w:val="fi-FI"/>
        </w:rPr>
        <w:t>II kategorijos kosmetikos gaminiai</w:t>
      </w:r>
      <w:r>
        <w:rPr>
          <w:rFonts w:ascii="TimesLT" w:hAnsi="TimesLT"/>
          <w:szCs w:val="24"/>
          <w:lang w:val="fi-FI"/>
        </w:rPr>
        <w:t xml:space="preserve"> – kiti kosmetikos gaminiai, nenurodyti Higienos normos 6.1 papunktyje. </w:t>
      </w:r>
    </w:p>
    <w:p>
      <w:pPr>
        <w:ind w:firstLine="709"/>
        <w:jc w:val="both"/>
        <w:rPr>
          <w:color w:val="000000"/>
          <w:szCs w:val="24"/>
          <w:lang w:eastAsia="lt-LT"/>
        </w:rPr>
      </w:pPr>
      <w:r>
        <w:rPr>
          <w:color w:val="000000"/>
          <w:szCs w:val="24"/>
        </w:rPr>
        <w:t>6.3</w:t>
      </w:r>
      <w:r>
        <w:rPr>
          <w:color w:val="000000"/>
          <w:szCs w:val="24"/>
        </w:rPr>
        <w:t>. </w:t>
      </w:r>
      <w:r>
        <w:rPr>
          <w:b/>
          <w:color w:val="000000"/>
          <w:szCs w:val="24"/>
        </w:rPr>
        <w:t xml:space="preserve">Mažos mikrobiologinės rizikos kosmetikos gaminiai – </w:t>
      </w:r>
      <w:r>
        <w:rPr>
          <w:color w:val="000000"/>
          <w:szCs w:val="24"/>
          <w:lang w:eastAsia="lt-LT"/>
        </w:rPr>
        <w:t>kosmetikos gaminiai, kurių fizinės ir cheminės savybės nesudaro galimybių mikroorganizmams augti ir (ar) išlikti, atsižvelgiant į jų mikrobinio užterštumo riziką gamybos metu ir (ar) vartotojui naudojant gaminį: kosmetikos gaminiai, kurių pakuotės juos apsaugo nuo mikroorganizmų patekimo, priskirtini mažos mikrobiologinės rizikos kosmetikos gaminiams jų naudojimo metu; vien tik kosmetikos gaminių sudėties papildymas konservantais ar kitais antimikrobinio poveikio junginiais nesudaro pagrindo priskirti juos mažos mikrobiologinės rizikos gaminiams.</w:t>
      </w:r>
    </w:p>
    <w:p>
      <w:pPr>
        <w:ind w:firstLine="709"/>
        <w:jc w:val="both"/>
        <w:rPr>
          <w:szCs w:val="24"/>
        </w:rPr>
      </w:pPr>
      <w:r>
        <w:rPr>
          <w:rFonts w:ascii="TimesLT" w:hAnsi="TimesLT"/>
          <w:szCs w:val="24"/>
        </w:rPr>
        <w:t>6.4</w:t>
      </w:r>
      <w:r>
        <w:rPr>
          <w:rFonts w:ascii="TimesLT" w:hAnsi="TimesLT"/>
          <w:szCs w:val="24"/>
        </w:rPr>
        <w:t>. </w:t>
      </w:r>
      <w:r>
        <w:rPr>
          <w:rFonts w:ascii="TimesLT" w:hAnsi="TimesLT"/>
          <w:b/>
          <w:szCs w:val="24"/>
        </w:rPr>
        <w:t>M</w:t>
      </w:r>
      <w:r>
        <w:rPr>
          <w:b/>
          <w:szCs w:val="24"/>
        </w:rPr>
        <w:t xml:space="preserve">ikrobinis užterštumas – </w:t>
      </w:r>
      <w:r>
        <w:rPr>
          <w:szCs w:val="24"/>
        </w:rPr>
        <w:t xml:space="preserve">mikroorganizmų  ar mikroorganizmų grupės kolonijas sudarančių vienetų </w:t>
      </w:r>
      <w:r>
        <w:rPr>
          <w:rFonts w:ascii="TimesLT" w:hAnsi="TimesLT"/>
          <w:szCs w:val="24"/>
        </w:rPr>
        <w:t>(toliau – KSV)</w:t>
      </w:r>
      <w:r>
        <w:rPr>
          <w:szCs w:val="24"/>
        </w:rPr>
        <w:t xml:space="preserve"> skaičius tam tikrame tūrio arba masės vienete.</w:t>
      </w:r>
    </w:p>
    <w:p>
      <w:pPr>
        <w:ind w:firstLine="709"/>
        <w:jc w:val="both"/>
        <w:rPr>
          <w:szCs w:val="24"/>
        </w:rPr>
      </w:pPr>
      <w:r>
        <w:rPr>
          <w:szCs w:val="24"/>
        </w:rPr>
        <w:t>6.5</w:t>
      </w:r>
      <w:r>
        <w:rPr>
          <w:szCs w:val="24"/>
        </w:rPr>
        <w:t>.</w:t>
      </w:r>
      <w:r>
        <w:rPr>
          <w:b/>
          <w:szCs w:val="24"/>
        </w:rPr>
        <w:t xml:space="preserve"> Mikrobinio užterštumo ribinės vertės – </w:t>
      </w:r>
      <w:r>
        <w:rPr>
          <w:szCs w:val="24"/>
        </w:rPr>
        <w:t>mikrobinio užterštumo kiekybinės vertės, apibrėžiančios kosmetikos gaminio mikrobiologinę saugą vartotojų sveikatai.</w:t>
      </w:r>
    </w:p>
    <w:p>
      <w:pPr>
        <w:ind w:firstLine="709"/>
        <w:jc w:val="both"/>
        <w:rPr>
          <w:szCs w:val="24"/>
        </w:rPr>
      </w:pPr>
      <w:r>
        <w:rPr>
          <w:szCs w:val="24"/>
        </w:rPr>
        <w:t>6.6</w:t>
      </w:r>
      <w:r>
        <w:rPr>
          <w:szCs w:val="24"/>
        </w:rPr>
        <w:t>. Kitos šioje higienos normoje vartojamos sąvokos suprantamos taip, kaip jos apibrėžtos Reglamente (EB) Nr. 1223/2009.</w:t>
      </w:r>
    </w:p>
    <w:p>
      <w:pPr>
        <w:tabs>
          <w:tab w:val="left" w:pos="567"/>
        </w:tabs>
        <w:ind w:right="-87"/>
        <w:jc w:val="both"/>
        <w:rPr>
          <w:szCs w:val="24"/>
        </w:rPr>
      </w:pPr>
    </w:p>
    <w:p>
      <w:pPr>
        <w:jc w:val="center"/>
        <w:rPr>
          <w:b/>
          <w:caps/>
          <w:szCs w:val="24"/>
        </w:rPr>
      </w:pPr>
      <w:r>
        <w:rPr>
          <w:b/>
          <w:caps/>
          <w:szCs w:val="24"/>
        </w:rPr>
        <w:t>IV</w:t>
      </w:r>
      <w:r>
        <w:rPr>
          <w:b/>
          <w:caps/>
          <w:szCs w:val="24"/>
        </w:rPr>
        <w:t xml:space="preserve"> skyrius</w:t>
      </w:r>
    </w:p>
    <w:p>
      <w:pPr>
        <w:jc w:val="center"/>
        <w:rPr>
          <w:szCs w:val="24"/>
        </w:rPr>
      </w:pPr>
      <w:r>
        <w:rPr>
          <w:b/>
          <w:szCs w:val="24"/>
        </w:rPr>
        <w:t>KOSMETIKOS GAMINIŲ MIKROBINIO UŽTERŠTUMO RIBINĖS VERTĖS</w:t>
      </w:r>
    </w:p>
    <w:p>
      <w:pPr>
        <w:jc w:val="both"/>
        <w:rPr>
          <w:szCs w:val="24"/>
        </w:rPr>
      </w:pPr>
    </w:p>
    <w:p>
      <w:pPr>
        <w:ind w:firstLine="709"/>
        <w:jc w:val="both"/>
        <w:rPr>
          <w:szCs w:val="24"/>
        </w:rPr>
      </w:pPr>
      <w:r>
        <w:rPr>
          <w:szCs w:val="24"/>
        </w:rPr>
        <w:t>7</w:t>
      </w:r>
      <w:r>
        <w:rPr>
          <w:szCs w:val="24"/>
        </w:rPr>
        <w:t>. Reglamento (EB) Nr. 1223/2009 4 straipsnyje nurodytas atsakingas asmuo turi užtikrinti, kad būtų atlikti tiekiamų rinkai kosmetikos gaminių partijos mikrobinio užterštumo nustatymo tyrimai, laikantis teisės aktuose [5.2, 5.3 ir 5.6] ir Higienos normoje nustatytų reikalavimų, išskyrus kosmetikos gaminius, kurie pagal atlikto mikrobiologinės rizikos įvertinimo analizės duomenis priskirtini mažos mikrobiologinės rizikos kosmetikos gaminiams [5.6].</w:t>
      </w:r>
    </w:p>
    <w:p>
      <w:pPr>
        <w:ind w:firstLine="709"/>
        <w:jc w:val="both"/>
        <w:rPr>
          <w:szCs w:val="24"/>
        </w:rPr>
      </w:pPr>
      <w:r>
        <w:rPr>
          <w:szCs w:val="24"/>
        </w:rPr>
        <w:t>8</w:t>
      </w:r>
      <w:r>
        <w:rPr>
          <w:color w:val="222222"/>
          <w:szCs w:val="24"/>
          <w:lang w:eastAsia="lt-LT"/>
        </w:rPr>
        <w:t xml:space="preserve">. Kosmetikos gaminių mikrobinio užterštumo nustatymo tyrimai turi būti atliekami akredituotose laboratorijose taikant standartizuotus tyrimų metodus. </w:t>
      </w:r>
    </w:p>
    <w:p>
      <w:pPr>
        <w:ind w:firstLine="709"/>
        <w:jc w:val="both"/>
        <w:rPr>
          <w:szCs w:val="24"/>
        </w:rPr>
      </w:pPr>
      <w:r>
        <w:rPr>
          <w:szCs w:val="24"/>
        </w:rPr>
        <w:t>9</w:t>
      </w:r>
      <w:r>
        <w:rPr>
          <w:szCs w:val="24"/>
        </w:rPr>
        <w:t xml:space="preserve">. Tiekiamų rinkai kosmetikos gaminių mikrobinis užterštumas turi atitikti 1 lentelėje nurodytas mikrobinio užterštumo ribines vertes.  </w:t>
      </w:r>
    </w:p>
    <w:p>
      <w:pPr>
        <w:jc w:val="both"/>
        <w:rPr>
          <w:szCs w:val="24"/>
        </w:rPr>
      </w:pPr>
    </w:p>
    <w:p>
      <w:pPr>
        <w:jc w:val="both"/>
        <w:rPr>
          <w:szCs w:val="24"/>
        </w:rPr>
      </w:pPr>
    </w:p>
    <w:p>
      <w:pPr>
        <w:jc w:val="both"/>
        <w:rPr>
          <w:szCs w:val="24"/>
        </w:rPr>
      </w:pPr>
    </w:p>
    <w:p>
      <w:pPr>
        <w:ind w:firstLine="709"/>
        <w:jc w:val="both"/>
        <w:rPr>
          <w:szCs w:val="24"/>
        </w:rPr>
      </w:pPr>
      <w:r>
        <w:rPr>
          <w:szCs w:val="24"/>
        </w:rPr>
        <w:t xml:space="preserve">1 lentelė. Kosmetikos gaminių mikrobinio užterštumo ribinės vertės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976"/>
        <w:gridCol w:w="2552"/>
      </w:tblGrid>
      <w:tr>
        <w:trPr>
          <w:trHeight w:val="315"/>
        </w:trPr>
        <w:tc>
          <w:tcPr>
            <w:tcW w:w="709" w:type="dxa"/>
            <w:vMerge w:val="restart"/>
          </w:tcPr>
          <w:p>
            <w:pPr>
              <w:tabs>
                <w:tab w:val="left" w:pos="567"/>
              </w:tabs>
              <w:ind w:firstLine="851"/>
              <w:rPr>
                <w:szCs w:val="24"/>
              </w:rPr>
            </w:pPr>
          </w:p>
          <w:p>
            <w:pPr>
              <w:rPr>
                <w:szCs w:val="24"/>
              </w:rPr>
            </w:pPr>
            <w:r>
              <w:rPr>
                <w:szCs w:val="24"/>
              </w:rPr>
              <w:t>Eil. Nr.</w:t>
            </w:r>
          </w:p>
        </w:tc>
        <w:tc>
          <w:tcPr>
            <w:tcW w:w="4111" w:type="dxa"/>
            <w:vMerge w:val="restart"/>
            <w:vAlign w:val="center"/>
          </w:tcPr>
          <w:p>
            <w:pPr>
              <w:jc w:val="center"/>
              <w:rPr>
                <w:szCs w:val="24"/>
              </w:rPr>
            </w:pPr>
            <w:r>
              <w:rPr>
                <w:szCs w:val="24"/>
              </w:rPr>
              <w:t>Mikrooganizmų rūšis</w:t>
            </w:r>
          </w:p>
        </w:tc>
        <w:tc>
          <w:tcPr>
            <w:tcW w:w="5528" w:type="dxa"/>
            <w:gridSpan w:val="2"/>
          </w:tcPr>
          <w:p>
            <w:pPr>
              <w:jc w:val="center"/>
              <w:rPr>
                <w:szCs w:val="24"/>
              </w:rPr>
            </w:pPr>
            <w:r>
              <w:rPr>
                <w:szCs w:val="24"/>
              </w:rPr>
              <w:t>Mikrobinio užterštumo ribinės vertės (</w:t>
            </w:r>
            <w:smartTag w:uri="urn:schemas-microsoft-com:office:smarttags" w:element="metricconverter">
              <w:smartTagPr>
                <w:attr w:name="ProductID" w:val="1 g"/>
              </w:smartTagPr>
              <w:r>
                <w:rPr>
                  <w:szCs w:val="24"/>
                </w:rPr>
                <w:t>1 g</w:t>
              </w:r>
            </w:smartTag>
            <w:r>
              <w:rPr>
                <w:szCs w:val="24"/>
              </w:rPr>
              <w:t xml:space="preserve"> arba 1 ml)</w:t>
            </w:r>
          </w:p>
        </w:tc>
      </w:tr>
      <w:tr>
        <w:tc>
          <w:tcPr>
            <w:tcW w:w="709" w:type="dxa"/>
            <w:vMerge/>
          </w:tcPr>
          <w:p>
            <w:pPr>
              <w:tabs>
                <w:tab w:val="left" w:pos="567"/>
              </w:tabs>
              <w:ind w:firstLine="851"/>
              <w:jc w:val="center"/>
              <w:rPr>
                <w:szCs w:val="24"/>
              </w:rPr>
            </w:pPr>
          </w:p>
        </w:tc>
        <w:tc>
          <w:tcPr>
            <w:tcW w:w="4111" w:type="dxa"/>
            <w:vMerge/>
          </w:tcPr>
          <w:p>
            <w:pPr>
              <w:tabs>
                <w:tab w:val="left" w:pos="567"/>
              </w:tabs>
              <w:ind w:firstLine="851"/>
              <w:jc w:val="center"/>
              <w:rPr>
                <w:szCs w:val="24"/>
              </w:rPr>
            </w:pPr>
          </w:p>
        </w:tc>
        <w:tc>
          <w:tcPr>
            <w:tcW w:w="2976" w:type="dxa"/>
          </w:tcPr>
          <w:p>
            <w:pPr>
              <w:tabs>
                <w:tab w:val="left" w:pos="1168"/>
              </w:tabs>
              <w:jc w:val="center"/>
              <w:rPr>
                <w:szCs w:val="24"/>
              </w:rPr>
            </w:pPr>
            <w:r>
              <w:rPr>
                <w:szCs w:val="24"/>
              </w:rPr>
              <w:t>(I kategorijos</w:t>
            </w:r>
          </w:p>
          <w:p>
            <w:pPr>
              <w:tabs>
                <w:tab w:val="left" w:pos="1168"/>
              </w:tabs>
              <w:jc w:val="center"/>
              <w:rPr>
                <w:szCs w:val="24"/>
              </w:rPr>
            </w:pPr>
            <w:r>
              <w:rPr>
                <w:szCs w:val="24"/>
              </w:rPr>
              <w:t>kosmetikos gaminiai)</w:t>
            </w:r>
          </w:p>
        </w:tc>
        <w:tc>
          <w:tcPr>
            <w:tcW w:w="2552" w:type="dxa"/>
          </w:tcPr>
          <w:p>
            <w:pPr>
              <w:tabs>
                <w:tab w:val="left" w:pos="567"/>
              </w:tabs>
              <w:jc w:val="center"/>
              <w:rPr>
                <w:szCs w:val="24"/>
              </w:rPr>
            </w:pPr>
            <w:r>
              <w:rPr>
                <w:szCs w:val="24"/>
              </w:rPr>
              <w:t>(II kategorijos</w:t>
            </w:r>
          </w:p>
          <w:p>
            <w:pPr>
              <w:tabs>
                <w:tab w:val="left" w:pos="567"/>
              </w:tabs>
              <w:jc w:val="center"/>
              <w:rPr>
                <w:szCs w:val="24"/>
              </w:rPr>
            </w:pPr>
            <w:r>
              <w:rPr>
                <w:szCs w:val="24"/>
              </w:rPr>
              <w:t>kosmetikos gaminiai)</w:t>
            </w:r>
          </w:p>
        </w:tc>
      </w:tr>
      <w:tr>
        <w:tc>
          <w:tcPr>
            <w:tcW w:w="709" w:type="dxa"/>
          </w:tcPr>
          <w:p>
            <w:pPr>
              <w:tabs>
                <w:tab w:val="left" w:pos="567"/>
              </w:tabs>
              <w:jc w:val="both"/>
              <w:rPr>
                <w:szCs w:val="24"/>
              </w:rPr>
            </w:pPr>
            <w:r>
              <w:rPr>
                <w:szCs w:val="24"/>
              </w:rPr>
              <w:t>1.</w:t>
            </w:r>
          </w:p>
        </w:tc>
        <w:tc>
          <w:tcPr>
            <w:tcW w:w="4111" w:type="dxa"/>
          </w:tcPr>
          <w:p>
            <w:pPr>
              <w:tabs>
                <w:tab w:val="left" w:pos="567"/>
              </w:tabs>
              <w:jc w:val="both"/>
              <w:rPr>
                <w:szCs w:val="24"/>
              </w:rPr>
            </w:pPr>
            <w:r>
              <w:rPr>
                <w:szCs w:val="24"/>
              </w:rPr>
              <w:t xml:space="preserve">Aerobinių mezofilinių bakterijų ir mielių bei pelėsių, užaugusių standžioje terpėje, skaičius 1 g arba 1 ml (toliau – Bendras aerobinių mezofilinių bakterijų skaičius) </w:t>
            </w:r>
          </w:p>
          <w:p>
            <w:pPr>
              <w:tabs>
                <w:tab w:val="left" w:pos="567"/>
              </w:tabs>
              <w:jc w:val="both"/>
              <w:rPr>
                <w:szCs w:val="24"/>
              </w:rPr>
            </w:pPr>
          </w:p>
        </w:tc>
        <w:tc>
          <w:tcPr>
            <w:tcW w:w="2976" w:type="dxa"/>
          </w:tcPr>
          <w:p>
            <w:pPr>
              <w:jc w:val="center"/>
              <w:rPr>
                <w:position w:val="6"/>
                <w:szCs w:val="24"/>
              </w:rPr>
            </w:pPr>
          </w:p>
          <w:p>
            <w:pPr>
              <w:jc w:val="center"/>
              <w:rPr>
                <w:position w:val="6"/>
                <w:szCs w:val="24"/>
              </w:rPr>
            </w:pPr>
            <w:r>
              <w:rPr>
                <w:position w:val="6"/>
                <w:szCs w:val="24"/>
              </w:rPr>
              <w:t>≤ 1 x 10</w:t>
            </w:r>
            <w:r>
              <w:rPr>
                <w:position w:val="6"/>
                <w:szCs w:val="24"/>
                <w:vertAlign w:val="superscript"/>
              </w:rPr>
              <w:t>2*</w:t>
            </w:r>
          </w:p>
          <w:p>
            <w:pPr>
              <w:jc w:val="center"/>
              <w:rPr>
                <w:rFonts w:ascii="TimesLT" w:hAnsi="TimesLT"/>
                <w:szCs w:val="24"/>
                <w:lang w:val="en-US"/>
              </w:rPr>
            </w:pPr>
          </w:p>
        </w:tc>
        <w:tc>
          <w:tcPr>
            <w:tcW w:w="2552" w:type="dxa"/>
          </w:tcPr>
          <w:p>
            <w:pPr>
              <w:jc w:val="center"/>
              <w:rPr>
                <w:position w:val="6"/>
                <w:szCs w:val="24"/>
              </w:rPr>
            </w:pPr>
          </w:p>
          <w:p>
            <w:pPr>
              <w:jc w:val="center"/>
              <w:rPr>
                <w:rFonts w:ascii="TimesLT" w:hAnsi="TimesLT"/>
                <w:szCs w:val="24"/>
                <w:lang w:val="en-US"/>
              </w:rPr>
            </w:pPr>
            <w:r>
              <w:rPr>
                <w:position w:val="6"/>
                <w:szCs w:val="24"/>
              </w:rPr>
              <w:t>≤ 1 x 10</w:t>
            </w:r>
            <w:r>
              <w:rPr>
                <w:position w:val="6"/>
                <w:szCs w:val="24"/>
                <w:vertAlign w:val="superscript"/>
              </w:rPr>
              <w:t>3*</w:t>
            </w:r>
          </w:p>
        </w:tc>
      </w:tr>
      <w:tr>
        <w:tc>
          <w:tcPr>
            <w:tcW w:w="709" w:type="dxa"/>
          </w:tcPr>
          <w:p>
            <w:pPr>
              <w:tabs>
                <w:tab w:val="left" w:pos="567"/>
              </w:tabs>
              <w:jc w:val="both"/>
              <w:rPr>
                <w:szCs w:val="24"/>
              </w:rPr>
            </w:pPr>
            <w:r>
              <w:rPr>
                <w:szCs w:val="24"/>
              </w:rPr>
              <w:t>2.</w:t>
            </w:r>
          </w:p>
        </w:tc>
        <w:tc>
          <w:tcPr>
            <w:tcW w:w="4111" w:type="dxa"/>
          </w:tcPr>
          <w:p>
            <w:pPr>
              <w:tabs>
                <w:tab w:val="left" w:pos="567"/>
              </w:tabs>
              <w:jc w:val="both"/>
              <w:rPr>
                <w:rFonts w:ascii="TimesLT" w:hAnsi="TimesLT"/>
                <w:szCs w:val="24"/>
                <w:lang w:val="en-US"/>
              </w:rPr>
            </w:pPr>
            <w:r>
              <w:rPr>
                <w:szCs w:val="24"/>
              </w:rPr>
              <w:t>Auksinis stafilokokas</w:t>
            </w:r>
            <w:r>
              <w:rPr>
                <w:i/>
                <w:szCs w:val="24"/>
              </w:rPr>
              <w:t xml:space="preserve"> (Staphylococcus aureus)</w:t>
            </w:r>
          </w:p>
          <w:p>
            <w:pPr>
              <w:rPr>
                <w:sz w:val="20"/>
                <w:lang w:val="en-US"/>
              </w:rPr>
            </w:pPr>
          </w:p>
        </w:tc>
        <w:tc>
          <w:tcPr>
            <w:tcW w:w="2976" w:type="dxa"/>
          </w:tcPr>
          <w:p>
            <w:pPr>
              <w:tabs>
                <w:tab w:val="left" w:pos="567"/>
              </w:tabs>
              <w:jc w:val="center"/>
              <w:rPr>
                <w:position w:val="6"/>
                <w:szCs w:val="24"/>
              </w:rPr>
            </w:pPr>
            <w:r>
              <w:rPr>
                <w:position w:val="6"/>
                <w:szCs w:val="24"/>
              </w:rPr>
              <w:t>Neturi būti</w:t>
            </w:r>
          </w:p>
        </w:tc>
        <w:tc>
          <w:tcPr>
            <w:tcW w:w="2552" w:type="dxa"/>
          </w:tcPr>
          <w:p>
            <w:pPr>
              <w:jc w:val="center"/>
              <w:rPr>
                <w:i/>
                <w:szCs w:val="24"/>
              </w:rPr>
            </w:pPr>
            <w:r>
              <w:rPr>
                <w:position w:val="6"/>
                <w:szCs w:val="24"/>
              </w:rPr>
              <w:t>Neturi būti</w:t>
            </w:r>
          </w:p>
        </w:tc>
      </w:tr>
      <w:tr>
        <w:tc>
          <w:tcPr>
            <w:tcW w:w="709" w:type="dxa"/>
            <w:tcBorders>
              <w:bottom w:val="single" w:sz="4" w:space="0" w:color="auto"/>
            </w:tcBorders>
          </w:tcPr>
          <w:p>
            <w:pPr>
              <w:tabs>
                <w:tab w:val="left" w:pos="567"/>
              </w:tabs>
              <w:jc w:val="both"/>
              <w:rPr>
                <w:szCs w:val="24"/>
              </w:rPr>
            </w:pPr>
            <w:r>
              <w:rPr>
                <w:szCs w:val="24"/>
              </w:rPr>
              <w:t>3.</w:t>
            </w:r>
          </w:p>
        </w:tc>
        <w:tc>
          <w:tcPr>
            <w:tcW w:w="4111" w:type="dxa"/>
            <w:tcBorders>
              <w:bottom w:val="single" w:sz="4" w:space="0" w:color="auto"/>
            </w:tcBorders>
          </w:tcPr>
          <w:p>
            <w:pPr>
              <w:tabs>
                <w:tab w:val="left" w:pos="567"/>
              </w:tabs>
              <w:jc w:val="both"/>
              <w:rPr>
                <w:i/>
                <w:szCs w:val="24"/>
              </w:rPr>
            </w:pPr>
            <w:r>
              <w:rPr>
                <w:szCs w:val="24"/>
              </w:rPr>
              <w:t xml:space="preserve">Žaliamėlė pseudomona </w:t>
            </w:r>
            <w:r>
              <w:rPr>
                <w:i/>
                <w:szCs w:val="24"/>
              </w:rPr>
              <w:t>(Pseudomonas aeruginosa)</w:t>
            </w:r>
          </w:p>
          <w:p>
            <w:pPr>
              <w:tabs>
                <w:tab w:val="left" w:pos="567"/>
              </w:tabs>
              <w:jc w:val="both"/>
              <w:rPr>
                <w:szCs w:val="24"/>
              </w:rPr>
            </w:pPr>
          </w:p>
        </w:tc>
        <w:tc>
          <w:tcPr>
            <w:tcW w:w="2976" w:type="dxa"/>
            <w:tcBorders>
              <w:bottom w:val="single" w:sz="4" w:space="0" w:color="auto"/>
            </w:tcBorders>
          </w:tcPr>
          <w:p>
            <w:pPr>
              <w:jc w:val="center"/>
              <w:rPr>
                <w:szCs w:val="24"/>
              </w:rPr>
            </w:pPr>
            <w:r>
              <w:rPr>
                <w:position w:val="6"/>
                <w:szCs w:val="24"/>
              </w:rPr>
              <w:t>Neturi būti</w:t>
            </w:r>
          </w:p>
        </w:tc>
        <w:tc>
          <w:tcPr>
            <w:tcW w:w="2552" w:type="dxa"/>
            <w:tcBorders>
              <w:bottom w:val="single" w:sz="4" w:space="0" w:color="auto"/>
            </w:tcBorders>
          </w:tcPr>
          <w:p>
            <w:pPr>
              <w:jc w:val="center"/>
              <w:rPr>
                <w:rFonts w:ascii="TimesLT" w:hAnsi="TimesLT"/>
                <w:szCs w:val="24"/>
                <w:lang w:val="en-US"/>
              </w:rPr>
            </w:pPr>
            <w:r>
              <w:rPr>
                <w:position w:val="6"/>
                <w:szCs w:val="24"/>
              </w:rPr>
              <w:t>Neturi būti</w:t>
            </w:r>
          </w:p>
        </w:tc>
      </w:tr>
      <w:tr>
        <w:tc>
          <w:tcPr>
            <w:tcW w:w="709" w:type="dxa"/>
          </w:tcPr>
          <w:p>
            <w:pPr>
              <w:tabs>
                <w:tab w:val="left" w:pos="567"/>
              </w:tabs>
              <w:jc w:val="both"/>
              <w:rPr>
                <w:szCs w:val="24"/>
                <w:lang w:val="en-US"/>
              </w:rPr>
            </w:pPr>
            <w:r>
              <w:rPr>
                <w:szCs w:val="24"/>
                <w:lang w:val="en-US"/>
              </w:rPr>
              <w:t>4.</w:t>
            </w:r>
          </w:p>
        </w:tc>
        <w:tc>
          <w:tcPr>
            <w:tcW w:w="4111" w:type="dxa"/>
          </w:tcPr>
          <w:p>
            <w:pPr>
              <w:tabs>
                <w:tab w:val="left" w:pos="567"/>
              </w:tabs>
              <w:jc w:val="both"/>
              <w:rPr>
                <w:szCs w:val="24"/>
                <w:lang w:val="en-US"/>
              </w:rPr>
            </w:pPr>
            <w:r>
              <w:rPr>
                <w:szCs w:val="24"/>
                <w:lang w:val="en-US"/>
              </w:rPr>
              <w:t>Baltasis balkšvagrybis </w:t>
            </w:r>
          </w:p>
          <w:p>
            <w:pPr>
              <w:tabs>
                <w:tab w:val="left" w:pos="567"/>
              </w:tabs>
              <w:jc w:val="both"/>
              <w:rPr>
                <w:i/>
                <w:szCs w:val="24"/>
                <w:lang w:val="en-US"/>
              </w:rPr>
            </w:pPr>
            <w:r>
              <w:rPr>
                <w:i/>
                <w:szCs w:val="24"/>
                <w:lang w:val="en-US"/>
              </w:rPr>
              <w:t>(Candida albicans)</w:t>
            </w:r>
          </w:p>
          <w:p>
            <w:pPr>
              <w:tabs>
                <w:tab w:val="left" w:pos="567"/>
              </w:tabs>
              <w:jc w:val="both"/>
              <w:rPr>
                <w:i/>
                <w:szCs w:val="24"/>
                <w:lang w:val="en-US"/>
              </w:rPr>
            </w:pPr>
          </w:p>
        </w:tc>
        <w:tc>
          <w:tcPr>
            <w:tcW w:w="2976" w:type="dxa"/>
          </w:tcPr>
          <w:p>
            <w:pPr>
              <w:jc w:val="center"/>
              <w:rPr>
                <w:szCs w:val="24"/>
              </w:rPr>
            </w:pPr>
            <w:r>
              <w:rPr>
                <w:position w:val="6"/>
                <w:szCs w:val="24"/>
              </w:rPr>
              <w:t>Neturi būti</w:t>
            </w:r>
          </w:p>
        </w:tc>
        <w:tc>
          <w:tcPr>
            <w:tcW w:w="2552" w:type="dxa"/>
          </w:tcPr>
          <w:p>
            <w:pPr>
              <w:jc w:val="center"/>
              <w:rPr>
                <w:rFonts w:ascii="TimesLT" w:hAnsi="TimesLT"/>
                <w:szCs w:val="24"/>
                <w:lang w:val="en-US"/>
              </w:rPr>
            </w:pPr>
            <w:r>
              <w:rPr>
                <w:position w:val="6"/>
                <w:szCs w:val="24"/>
              </w:rPr>
              <w:t>Neturi būti</w:t>
            </w:r>
          </w:p>
        </w:tc>
      </w:tr>
      <w:tr>
        <w:tc>
          <w:tcPr>
            <w:tcW w:w="709" w:type="dxa"/>
            <w:tcBorders>
              <w:bottom w:val="single" w:sz="4" w:space="0" w:color="auto"/>
            </w:tcBorders>
          </w:tcPr>
          <w:p>
            <w:pPr>
              <w:tabs>
                <w:tab w:val="left" w:pos="567"/>
              </w:tabs>
              <w:jc w:val="both"/>
              <w:rPr>
                <w:szCs w:val="24"/>
                <w:lang w:val="en-US"/>
              </w:rPr>
            </w:pPr>
            <w:r>
              <w:rPr>
                <w:szCs w:val="24"/>
                <w:lang w:val="en-US"/>
              </w:rPr>
              <w:t>5.</w:t>
            </w:r>
          </w:p>
        </w:tc>
        <w:tc>
          <w:tcPr>
            <w:tcW w:w="4111" w:type="dxa"/>
            <w:tcBorders>
              <w:bottom w:val="single" w:sz="4" w:space="0" w:color="auto"/>
            </w:tcBorders>
          </w:tcPr>
          <w:p>
            <w:pPr>
              <w:tabs>
                <w:tab w:val="left" w:pos="567"/>
              </w:tabs>
              <w:jc w:val="both"/>
              <w:rPr>
                <w:szCs w:val="24"/>
                <w:lang w:val="en-US"/>
              </w:rPr>
            </w:pPr>
            <w:r>
              <w:rPr>
                <w:szCs w:val="24"/>
                <w:lang w:val="en-US"/>
              </w:rPr>
              <w:t xml:space="preserve">Žarninė lazdelė </w:t>
            </w:r>
          </w:p>
          <w:p>
            <w:pPr>
              <w:tabs>
                <w:tab w:val="left" w:pos="567"/>
              </w:tabs>
              <w:jc w:val="both"/>
              <w:rPr>
                <w:i/>
                <w:szCs w:val="24"/>
              </w:rPr>
            </w:pPr>
            <w:r>
              <w:rPr>
                <w:i/>
                <w:szCs w:val="24"/>
              </w:rPr>
              <w:t>(Escherichia coli)</w:t>
            </w:r>
          </w:p>
          <w:p>
            <w:pPr>
              <w:tabs>
                <w:tab w:val="left" w:pos="567"/>
              </w:tabs>
              <w:jc w:val="both"/>
              <w:rPr>
                <w:i/>
                <w:szCs w:val="24"/>
              </w:rPr>
            </w:pPr>
          </w:p>
        </w:tc>
        <w:tc>
          <w:tcPr>
            <w:tcW w:w="2976" w:type="dxa"/>
            <w:tcBorders>
              <w:bottom w:val="single" w:sz="4" w:space="0" w:color="auto"/>
            </w:tcBorders>
          </w:tcPr>
          <w:p>
            <w:pPr>
              <w:jc w:val="center"/>
              <w:rPr>
                <w:szCs w:val="24"/>
              </w:rPr>
            </w:pPr>
            <w:r>
              <w:rPr>
                <w:position w:val="6"/>
                <w:szCs w:val="24"/>
              </w:rPr>
              <w:t>Neturi būti</w:t>
            </w:r>
          </w:p>
        </w:tc>
        <w:tc>
          <w:tcPr>
            <w:tcW w:w="2552" w:type="dxa"/>
            <w:tcBorders>
              <w:bottom w:val="single" w:sz="4" w:space="0" w:color="auto"/>
            </w:tcBorders>
          </w:tcPr>
          <w:p>
            <w:pPr>
              <w:tabs>
                <w:tab w:val="left" w:pos="567"/>
              </w:tabs>
              <w:jc w:val="center"/>
              <w:rPr>
                <w:rFonts w:ascii="TimesLT" w:hAnsi="TimesLT"/>
                <w:szCs w:val="24"/>
                <w:lang w:val="en-US"/>
              </w:rPr>
            </w:pPr>
            <w:r>
              <w:rPr>
                <w:rFonts w:ascii="TimesLT" w:hAnsi="TimesLT"/>
                <w:szCs w:val="24"/>
                <w:lang w:val="en-US"/>
              </w:rPr>
              <w:t>Neturi būti</w:t>
            </w:r>
          </w:p>
        </w:tc>
      </w:tr>
    </w:tbl>
    <w:p>
      <w:pPr>
        <w:ind w:firstLine="709"/>
        <w:jc w:val="both"/>
        <w:rPr>
          <w:szCs w:val="24"/>
        </w:rPr>
      </w:pPr>
      <w:r>
        <w:rPr>
          <w:position w:val="6"/>
          <w:szCs w:val="24"/>
          <w:vertAlign w:val="superscript"/>
        </w:rPr>
        <w:t>*</w:t>
      </w:r>
      <w:r>
        <w:rPr>
          <w:szCs w:val="24"/>
        </w:rPr>
        <w:t>Rezultatų interpretavimas.</w:t>
      </w:r>
    </w:p>
    <w:p>
      <w:pPr>
        <w:ind w:firstLine="709"/>
        <w:jc w:val="both"/>
        <w:rPr>
          <w:i/>
          <w:szCs w:val="24"/>
        </w:rPr>
      </w:pPr>
      <w:r>
        <w:rPr>
          <w:i/>
          <w:szCs w:val="24"/>
        </w:rPr>
        <w:t xml:space="preserve">Dėl bendro aerobinių mezofilinių bakterijų skaičiaus skaičiavimo metodui būdingo kintamumo kosmetikos gaminio mikrobinis užterštumas vertinamas kaip viršijantis mikrobinio užterštumo ribines vertes, jeigu bendras aerobinių mezofilinių bakterijų skaičius didesnis nei 2 </w:t>
      </w:r>
      <w:r>
        <w:rPr>
          <w:szCs w:val="24"/>
        </w:rPr>
        <w:t xml:space="preserve">x </w:t>
      </w:r>
      <w:r>
        <w:rPr>
          <w:i/>
          <w:szCs w:val="24"/>
        </w:rPr>
        <w:t>10</w:t>
      </w:r>
      <w:r>
        <w:rPr>
          <w:i/>
          <w:szCs w:val="24"/>
          <w:vertAlign w:val="superscript"/>
        </w:rPr>
        <w:t>2</w:t>
      </w:r>
      <w:r>
        <w:rPr>
          <w:i/>
          <w:szCs w:val="24"/>
        </w:rPr>
        <w:t xml:space="preserve"> KSV / 1 g arba 1 ml I kategorijos kosmetikos gaminiuose ir didesnis nei 2 </w:t>
      </w:r>
      <w:r>
        <w:rPr>
          <w:szCs w:val="24"/>
        </w:rPr>
        <w:t xml:space="preserve">x </w:t>
      </w:r>
      <w:r>
        <w:rPr>
          <w:i/>
          <w:szCs w:val="24"/>
        </w:rPr>
        <w:t>10</w:t>
      </w:r>
      <w:r>
        <w:rPr>
          <w:i/>
          <w:szCs w:val="24"/>
          <w:vertAlign w:val="superscript"/>
        </w:rPr>
        <w:t>3</w:t>
      </w:r>
      <w:r>
        <w:rPr>
          <w:i/>
          <w:szCs w:val="24"/>
        </w:rPr>
        <w:t xml:space="preserve"> KSV / 1 g arba 1 ml II kategorijos kosmetikos gaminiuose.</w:t>
      </w:r>
    </w:p>
    <w:p>
      <w:pPr>
        <w:ind w:firstLine="709"/>
        <w:jc w:val="both"/>
        <w:rPr>
          <w:szCs w:val="24"/>
        </w:rPr>
      </w:pPr>
      <w:r>
        <w:rPr>
          <w:szCs w:val="24"/>
        </w:rPr>
        <w:t>10</w:t>
      </w:r>
      <w:r>
        <w:rPr>
          <w:szCs w:val="24"/>
        </w:rPr>
        <w:t>. Kosmetikos gaminių mikrobiologinės rizikos įvertinimo analizė [5.6] turi būti visapusiška ir apimti kosmetikos gaminių sudėties ir fizikinių bei cheminių rodiklių, gamybos sąlygų, pakuočių, kuriose kosmetikos gaminiai bus tiekiami rinkai, charakteristikų, kosmetikos gaminių naudojimo rekomendacijų ir, kai tinka, paskirties bei tikslinės vartotojų populiacijos įvertinimą.</w:t>
      </w:r>
    </w:p>
    <w:p>
      <w:pPr>
        <w:ind w:firstLine="709"/>
        <w:jc w:val="both"/>
        <w:rPr>
          <w:szCs w:val="24"/>
        </w:rPr>
      </w:pPr>
      <w:r>
        <w:rPr>
          <w:szCs w:val="24"/>
        </w:rPr>
        <w:t>11</w:t>
      </w:r>
      <w:r>
        <w:rPr>
          <w:szCs w:val="24"/>
        </w:rPr>
        <w:t xml:space="preserve">. Mažos mikrobiologinės rizikos kosmetikos gaminiams priskirtini kosmetikos gaminiai, kurių cheminė sudėtis ir (ar) gamybos sąlygos atitinka bent vieną 2 lentelėje nurodytą fizikinio ir cheminio rodiklio arba jų derinio ribinį dydį. </w:t>
      </w:r>
    </w:p>
    <w:p>
      <w:pPr>
        <w:jc w:val="both"/>
        <w:rPr>
          <w:szCs w:val="24"/>
        </w:rPr>
      </w:pPr>
    </w:p>
    <w:p>
      <w:pPr>
        <w:ind w:firstLine="709"/>
        <w:jc w:val="both"/>
        <w:rPr>
          <w:rFonts w:ascii="TimesLT" w:hAnsi="TimesLT"/>
          <w:sz w:val="20"/>
        </w:rPr>
      </w:pPr>
      <w:r>
        <w:rPr>
          <w:szCs w:val="24"/>
        </w:rPr>
        <w:t xml:space="preserve">2 lentelė. Mažos mikrobiologinės rizikos kosmetikos gaminių fizikinių ir cheminių rodiklių ribiniai dydžiai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33"/>
        <w:gridCol w:w="1977"/>
        <w:gridCol w:w="3681"/>
      </w:tblGrid>
      <w:tr>
        <w:tc>
          <w:tcPr>
            <w:tcW w:w="756" w:type="dxa"/>
            <w:shd w:val="clear" w:color="auto" w:fill="auto"/>
          </w:tcPr>
          <w:p>
            <w:pPr>
              <w:tabs>
                <w:tab w:val="left" w:pos="567"/>
              </w:tabs>
              <w:rPr>
                <w:szCs w:val="24"/>
              </w:rPr>
            </w:pPr>
            <w:r>
              <w:rPr>
                <w:szCs w:val="24"/>
              </w:rPr>
              <w:t>Eil. Nr.</w:t>
            </w:r>
          </w:p>
        </w:tc>
        <w:tc>
          <w:tcPr>
            <w:tcW w:w="3497" w:type="dxa"/>
            <w:shd w:val="clear" w:color="auto" w:fill="auto"/>
          </w:tcPr>
          <w:p>
            <w:pPr>
              <w:tabs>
                <w:tab w:val="left" w:pos="567"/>
              </w:tabs>
              <w:ind w:firstLine="62"/>
              <w:jc w:val="both"/>
              <w:rPr>
                <w:szCs w:val="24"/>
              </w:rPr>
            </w:pPr>
            <w:r>
              <w:rPr>
                <w:szCs w:val="24"/>
              </w:rPr>
              <w:t xml:space="preserve">Kosmetikos gaminio fizikiniai ir cheminiai rodikliai </w:t>
            </w:r>
          </w:p>
        </w:tc>
        <w:tc>
          <w:tcPr>
            <w:tcW w:w="2126" w:type="dxa"/>
            <w:shd w:val="clear" w:color="auto" w:fill="auto"/>
          </w:tcPr>
          <w:p>
            <w:pPr>
              <w:tabs>
                <w:tab w:val="left" w:pos="567"/>
              </w:tabs>
              <w:jc w:val="center"/>
              <w:rPr>
                <w:szCs w:val="24"/>
              </w:rPr>
            </w:pPr>
            <w:r>
              <w:rPr>
                <w:szCs w:val="24"/>
              </w:rPr>
              <w:t>Ribiniai dydžiai</w:t>
            </w:r>
          </w:p>
        </w:tc>
        <w:tc>
          <w:tcPr>
            <w:tcW w:w="3969" w:type="dxa"/>
            <w:shd w:val="clear" w:color="auto" w:fill="auto"/>
          </w:tcPr>
          <w:p>
            <w:pPr>
              <w:tabs>
                <w:tab w:val="left" w:pos="567"/>
              </w:tabs>
              <w:jc w:val="both"/>
              <w:rPr>
                <w:szCs w:val="24"/>
              </w:rPr>
            </w:pPr>
            <w:r>
              <w:rPr>
                <w:szCs w:val="24"/>
              </w:rPr>
              <w:t xml:space="preserve">Kosmetikos gaminių pavyzdžiai </w:t>
            </w:r>
          </w:p>
        </w:tc>
      </w:tr>
      <w:tr>
        <w:tc>
          <w:tcPr>
            <w:tcW w:w="756" w:type="dxa"/>
            <w:shd w:val="clear" w:color="auto" w:fill="auto"/>
          </w:tcPr>
          <w:p>
            <w:pPr>
              <w:tabs>
                <w:tab w:val="left" w:pos="567"/>
              </w:tabs>
              <w:rPr>
                <w:szCs w:val="24"/>
              </w:rPr>
            </w:pPr>
            <w:r>
              <w:rPr>
                <w:szCs w:val="24"/>
              </w:rPr>
              <w:t>1.</w:t>
            </w:r>
          </w:p>
        </w:tc>
        <w:tc>
          <w:tcPr>
            <w:tcW w:w="3497" w:type="dxa"/>
            <w:shd w:val="clear" w:color="auto" w:fill="auto"/>
          </w:tcPr>
          <w:p>
            <w:pPr>
              <w:tabs>
                <w:tab w:val="left" w:pos="567"/>
              </w:tabs>
              <w:rPr>
                <w:szCs w:val="24"/>
              </w:rPr>
            </w:pPr>
            <w:r>
              <w:rPr>
                <w:szCs w:val="24"/>
              </w:rPr>
              <w:t>pH</w:t>
            </w:r>
          </w:p>
        </w:tc>
        <w:tc>
          <w:tcPr>
            <w:tcW w:w="2126" w:type="dxa"/>
            <w:shd w:val="clear" w:color="auto" w:fill="auto"/>
          </w:tcPr>
          <w:p>
            <w:pPr>
              <w:jc w:val="center"/>
              <w:rPr>
                <w:szCs w:val="24"/>
              </w:rPr>
            </w:pPr>
            <w:r>
              <w:rPr>
                <w:szCs w:val="24"/>
              </w:rPr>
              <w:t>≤ 3,0</w:t>
            </w:r>
          </w:p>
        </w:tc>
        <w:tc>
          <w:tcPr>
            <w:tcW w:w="3969" w:type="dxa"/>
            <w:shd w:val="clear" w:color="auto" w:fill="auto"/>
          </w:tcPr>
          <w:p>
            <w:pPr>
              <w:tabs>
                <w:tab w:val="left" w:pos="567"/>
              </w:tabs>
              <w:rPr>
                <w:szCs w:val="24"/>
              </w:rPr>
            </w:pPr>
            <w:r>
              <w:rPr>
                <w:szCs w:val="24"/>
              </w:rPr>
              <w:t>Odos šveitikliai (glikolio rūgšties pagrindu)</w:t>
            </w:r>
          </w:p>
        </w:tc>
      </w:tr>
      <w:tr>
        <w:tc>
          <w:tcPr>
            <w:tcW w:w="756" w:type="dxa"/>
            <w:shd w:val="clear" w:color="auto" w:fill="auto"/>
          </w:tcPr>
          <w:p>
            <w:pPr>
              <w:tabs>
                <w:tab w:val="left" w:pos="567"/>
              </w:tabs>
              <w:rPr>
                <w:szCs w:val="24"/>
              </w:rPr>
            </w:pPr>
            <w:r>
              <w:rPr>
                <w:szCs w:val="24"/>
              </w:rPr>
              <w:t>2.</w:t>
            </w:r>
          </w:p>
        </w:tc>
        <w:tc>
          <w:tcPr>
            <w:tcW w:w="3497" w:type="dxa"/>
            <w:shd w:val="clear" w:color="auto" w:fill="auto"/>
          </w:tcPr>
          <w:p>
            <w:pPr>
              <w:tabs>
                <w:tab w:val="left" w:pos="567"/>
              </w:tabs>
              <w:rPr>
                <w:szCs w:val="24"/>
              </w:rPr>
            </w:pPr>
            <w:r>
              <w:rPr>
                <w:szCs w:val="24"/>
              </w:rPr>
              <w:t xml:space="preserve">pH </w:t>
            </w:r>
          </w:p>
        </w:tc>
        <w:tc>
          <w:tcPr>
            <w:tcW w:w="2126" w:type="dxa"/>
            <w:shd w:val="clear" w:color="auto" w:fill="auto"/>
          </w:tcPr>
          <w:p>
            <w:pPr>
              <w:jc w:val="center"/>
              <w:rPr>
                <w:szCs w:val="24"/>
              </w:rPr>
            </w:pPr>
            <w:r>
              <w:rPr>
                <w:szCs w:val="24"/>
              </w:rPr>
              <w:t>≥ 10,0</w:t>
            </w:r>
          </w:p>
        </w:tc>
        <w:tc>
          <w:tcPr>
            <w:tcW w:w="3969" w:type="dxa"/>
            <w:shd w:val="clear" w:color="auto" w:fill="auto"/>
          </w:tcPr>
          <w:p>
            <w:pPr>
              <w:tabs>
                <w:tab w:val="left" w:pos="567"/>
              </w:tabs>
              <w:rPr>
                <w:szCs w:val="24"/>
              </w:rPr>
            </w:pPr>
            <w:r>
              <w:rPr>
                <w:szCs w:val="24"/>
              </w:rPr>
              <w:t>Plaukų tiesinimo priemonės</w:t>
            </w:r>
          </w:p>
          <w:p>
            <w:pPr>
              <w:tabs>
                <w:tab w:val="left" w:pos="567"/>
              </w:tabs>
              <w:rPr>
                <w:szCs w:val="24"/>
              </w:rPr>
            </w:pPr>
          </w:p>
        </w:tc>
      </w:tr>
      <w:tr>
        <w:tc>
          <w:tcPr>
            <w:tcW w:w="756" w:type="dxa"/>
            <w:shd w:val="clear" w:color="auto" w:fill="auto"/>
          </w:tcPr>
          <w:p>
            <w:pPr>
              <w:tabs>
                <w:tab w:val="left" w:pos="567"/>
              </w:tabs>
              <w:rPr>
                <w:szCs w:val="24"/>
              </w:rPr>
            </w:pPr>
            <w:r>
              <w:rPr>
                <w:szCs w:val="24"/>
              </w:rPr>
              <w:t>3.</w:t>
            </w:r>
          </w:p>
        </w:tc>
        <w:tc>
          <w:tcPr>
            <w:tcW w:w="3497" w:type="dxa"/>
            <w:shd w:val="clear" w:color="auto" w:fill="auto"/>
          </w:tcPr>
          <w:p>
            <w:pPr>
              <w:tabs>
                <w:tab w:val="left" w:pos="567"/>
              </w:tabs>
              <w:rPr>
                <w:szCs w:val="24"/>
              </w:rPr>
            </w:pPr>
            <w:r>
              <w:rPr>
                <w:szCs w:val="24"/>
              </w:rPr>
              <w:t>Bevandenis kosmetikos gaminys</w:t>
            </w:r>
          </w:p>
        </w:tc>
        <w:tc>
          <w:tcPr>
            <w:tcW w:w="2126" w:type="dxa"/>
            <w:shd w:val="clear" w:color="auto" w:fill="auto"/>
          </w:tcPr>
          <w:p>
            <w:pPr>
              <w:jc w:val="center"/>
              <w:rPr>
                <w:szCs w:val="24"/>
              </w:rPr>
            </w:pPr>
          </w:p>
        </w:tc>
        <w:tc>
          <w:tcPr>
            <w:tcW w:w="3969" w:type="dxa"/>
            <w:shd w:val="clear" w:color="auto" w:fill="auto"/>
          </w:tcPr>
          <w:p>
            <w:pPr>
              <w:tabs>
                <w:tab w:val="left" w:pos="567"/>
              </w:tabs>
              <w:rPr>
                <w:szCs w:val="24"/>
              </w:rPr>
            </w:pPr>
            <w:r>
              <w:rPr>
                <w:szCs w:val="24"/>
              </w:rPr>
              <w:t>Kūno aliejai, pieštukai</w:t>
            </w:r>
          </w:p>
          <w:p>
            <w:pPr>
              <w:tabs>
                <w:tab w:val="left" w:pos="567"/>
              </w:tabs>
              <w:rPr>
                <w:szCs w:val="24"/>
              </w:rPr>
            </w:pPr>
          </w:p>
        </w:tc>
      </w:tr>
      <w:tr>
        <w:tc>
          <w:tcPr>
            <w:tcW w:w="756" w:type="dxa"/>
            <w:shd w:val="clear" w:color="auto" w:fill="auto"/>
          </w:tcPr>
          <w:p>
            <w:pPr>
              <w:tabs>
                <w:tab w:val="left" w:pos="567"/>
              </w:tabs>
              <w:rPr>
                <w:szCs w:val="24"/>
              </w:rPr>
            </w:pPr>
            <w:r>
              <w:rPr>
                <w:szCs w:val="24"/>
              </w:rPr>
              <w:t>4.</w:t>
            </w:r>
          </w:p>
        </w:tc>
        <w:tc>
          <w:tcPr>
            <w:tcW w:w="3497" w:type="dxa"/>
            <w:shd w:val="clear" w:color="auto" w:fill="auto"/>
          </w:tcPr>
          <w:p>
            <w:pPr>
              <w:tabs>
                <w:tab w:val="left" w:pos="567"/>
              </w:tabs>
              <w:rPr>
                <w:szCs w:val="24"/>
              </w:rPr>
            </w:pPr>
            <w:r>
              <w:rPr>
                <w:szCs w:val="24"/>
              </w:rPr>
              <w:t>Kosmetikos gaminio galutinės formulės vandens aktyvumas (a</w:t>
            </w:r>
            <w:r>
              <w:rPr>
                <w:szCs w:val="24"/>
                <w:vertAlign w:val="subscript"/>
              </w:rPr>
              <w:t>w</w:t>
            </w:r>
            <w:r>
              <w:rPr>
                <w:szCs w:val="24"/>
              </w:rPr>
              <w:t>)</w:t>
            </w:r>
          </w:p>
        </w:tc>
        <w:tc>
          <w:tcPr>
            <w:tcW w:w="2126" w:type="dxa"/>
            <w:shd w:val="clear" w:color="auto" w:fill="auto"/>
          </w:tcPr>
          <w:p>
            <w:pPr>
              <w:jc w:val="center"/>
              <w:rPr>
                <w:szCs w:val="24"/>
              </w:rPr>
            </w:pPr>
            <w:r>
              <w:rPr>
                <w:szCs w:val="24"/>
              </w:rPr>
              <w:t>≤ 0,75</w:t>
            </w:r>
          </w:p>
        </w:tc>
        <w:tc>
          <w:tcPr>
            <w:tcW w:w="3969" w:type="dxa"/>
            <w:shd w:val="clear" w:color="auto" w:fill="auto"/>
            <w:vAlign w:val="center"/>
          </w:tcPr>
          <w:p>
            <w:pPr>
              <w:tabs>
                <w:tab w:val="left" w:pos="567"/>
              </w:tabs>
              <w:jc w:val="both"/>
              <w:rPr>
                <w:szCs w:val="24"/>
              </w:rPr>
            </w:pPr>
            <w:r>
              <w:rPr>
                <w:szCs w:val="24"/>
              </w:rPr>
              <w:t>Lūpų balzamas, lūpų dažai, skaistalai, gabaliniai tualetiniai muilai ir gabaliniai kietieji prausikliai</w:t>
            </w:r>
          </w:p>
        </w:tc>
      </w:tr>
      <w:tr>
        <w:tc>
          <w:tcPr>
            <w:tcW w:w="756" w:type="dxa"/>
            <w:shd w:val="clear" w:color="auto" w:fill="auto"/>
          </w:tcPr>
          <w:p>
            <w:pPr>
              <w:tabs>
                <w:tab w:val="left" w:pos="567"/>
              </w:tabs>
              <w:rPr>
                <w:szCs w:val="24"/>
              </w:rPr>
            </w:pPr>
            <w:r>
              <w:rPr>
                <w:szCs w:val="24"/>
              </w:rPr>
              <w:t>5.</w:t>
            </w:r>
          </w:p>
        </w:tc>
        <w:tc>
          <w:tcPr>
            <w:tcW w:w="9592" w:type="dxa"/>
            <w:gridSpan w:val="3"/>
            <w:shd w:val="clear" w:color="auto" w:fill="auto"/>
          </w:tcPr>
          <w:p>
            <w:pPr>
              <w:tabs>
                <w:tab w:val="left" w:pos="567"/>
              </w:tabs>
              <w:rPr>
                <w:szCs w:val="24"/>
              </w:rPr>
            </w:pPr>
            <w:r>
              <w:rPr>
                <w:szCs w:val="24"/>
              </w:rPr>
              <w:t>Kosmetikos gaminio sudėtyje esančių cheminių medžiagų ar jų junginių kiekis:</w:t>
            </w:r>
          </w:p>
          <w:p>
            <w:pPr>
              <w:tabs>
                <w:tab w:val="left" w:pos="567"/>
              </w:tabs>
              <w:rPr>
                <w:szCs w:val="24"/>
              </w:rPr>
            </w:pPr>
          </w:p>
        </w:tc>
      </w:tr>
      <w:tr>
        <w:tc>
          <w:tcPr>
            <w:tcW w:w="756" w:type="dxa"/>
            <w:shd w:val="clear" w:color="auto" w:fill="auto"/>
          </w:tcPr>
          <w:p>
            <w:pPr>
              <w:tabs>
                <w:tab w:val="left" w:pos="567"/>
              </w:tabs>
              <w:rPr>
                <w:szCs w:val="24"/>
              </w:rPr>
            </w:pPr>
            <w:r>
              <w:rPr>
                <w:szCs w:val="24"/>
              </w:rPr>
              <w:t>5.1.</w:t>
            </w:r>
          </w:p>
        </w:tc>
        <w:tc>
          <w:tcPr>
            <w:tcW w:w="3497" w:type="dxa"/>
            <w:shd w:val="clear" w:color="auto" w:fill="auto"/>
          </w:tcPr>
          <w:p>
            <w:pPr>
              <w:tabs>
                <w:tab w:val="left" w:pos="567"/>
              </w:tabs>
              <w:rPr>
                <w:szCs w:val="24"/>
              </w:rPr>
            </w:pPr>
            <w:r>
              <w:rPr>
                <w:szCs w:val="24"/>
              </w:rPr>
              <w:t>etilo ir kitas alkoholis</w:t>
            </w:r>
          </w:p>
        </w:tc>
        <w:tc>
          <w:tcPr>
            <w:tcW w:w="2126" w:type="dxa"/>
            <w:shd w:val="clear" w:color="auto" w:fill="auto"/>
          </w:tcPr>
          <w:p>
            <w:pPr>
              <w:jc w:val="center"/>
              <w:rPr>
                <w:szCs w:val="24"/>
              </w:rPr>
            </w:pPr>
            <w:r>
              <w:rPr>
                <w:szCs w:val="24"/>
              </w:rPr>
              <w:t>≥ 20%</w:t>
            </w:r>
          </w:p>
        </w:tc>
        <w:tc>
          <w:tcPr>
            <w:tcW w:w="3969" w:type="dxa"/>
            <w:shd w:val="clear" w:color="auto" w:fill="auto"/>
          </w:tcPr>
          <w:p>
            <w:pPr>
              <w:tabs>
                <w:tab w:val="left" w:pos="567"/>
              </w:tabs>
              <w:rPr>
                <w:szCs w:val="24"/>
              </w:rPr>
            </w:pPr>
            <w:r>
              <w:rPr>
                <w:szCs w:val="24"/>
              </w:rPr>
              <w:t>Plaukų purškikliai, tonikai, kvepalai</w:t>
            </w:r>
          </w:p>
        </w:tc>
      </w:tr>
      <w:tr>
        <w:trPr>
          <w:trHeight w:val="838"/>
        </w:trPr>
        <w:tc>
          <w:tcPr>
            <w:tcW w:w="756" w:type="dxa"/>
            <w:shd w:val="clear" w:color="auto" w:fill="auto"/>
          </w:tcPr>
          <w:p>
            <w:pPr>
              <w:tabs>
                <w:tab w:val="left" w:pos="567"/>
              </w:tabs>
              <w:rPr>
                <w:szCs w:val="24"/>
              </w:rPr>
            </w:pPr>
            <w:r>
              <w:rPr>
                <w:szCs w:val="24"/>
              </w:rPr>
              <w:t>5.2.</w:t>
            </w:r>
          </w:p>
        </w:tc>
        <w:tc>
          <w:tcPr>
            <w:tcW w:w="3497" w:type="dxa"/>
            <w:shd w:val="clear" w:color="auto" w:fill="auto"/>
          </w:tcPr>
          <w:p>
            <w:pPr>
              <w:tabs>
                <w:tab w:val="left" w:pos="567"/>
              </w:tabs>
              <w:rPr>
                <w:szCs w:val="24"/>
              </w:rPr>
            </w:pPr>
            <w:r>
              <w:rPr>
                <w:szCs w:val="24"/>
              </w:rPr>
              <w:t>organiniai tirpikliai:</w:t>
            </w:r>
          </w:p>
          <w:p>
            <w:pPr>
              <w:tabs>
                <w:tab w:val="left" w:pos="567"/>
              </w:tabs>
              <w:rPr>
                <w:szCs w:val="24"/>
              </w:rPr>
            </w:pPr>
            <w:r>
              <w:rPr>
                <w:szCs w:val="24"/>
              </w:rPr>
              <w:t>etilacetatas (Ethyl acetate)</w:t>
            </w:r>
          </w:p>
          <w:p>
            <w:pPr>
              <w:tabs>
                <w:tab w:val="left" w:pos="567"/>
              </w:tabs>
              <w:rPr>
                <w:szCs w:val="24"/>
              </w:rPr>
            </w:pPr>
            <w:r>
              <w:rPr>
                <w:szCs w:val="24"/>
              </w:rPr>
              <w:t>butilacetatas (Butyl acetate)</w:t>
            </w:r>
          </w:p>
          <w:p>
            <w:pPr>
              <w:tabs>
                <w:tab w:val="left" w:pos="567"/>
              </w:tabs>
              <w:rPr>
                <w:szCs w:val="24"/>
              </w:rPr>
            </w:pPr>
          </w:p>
        </w:tc>
        <w:tc>
          <w:tcPr>
            <w:tcW w:w="2126" w:type="dxa"/>
            <w:shd w:val="clear" w:color="auto" w:fill="auto"/>
          </w:tcPr>
          <w:p>
            <w:pPr>
              <w:jc w:val="center"/>
              <w:rPr>
                <w:szCs w:val="24"/>
              </w:rPr>
            </w:pPr>
          </w:p>
          <w:p>
            <w:pPr>
              <w:jc w:val="center"/>
              <w:rPr>
                <w:szCs w:val="24"/>
              </w:rPr>
            </w:pPr>
            <w:r>
              <w:rPr>
                <w:szCs w:val="24"/>
              </w:rPr>
              <w:t>&gt; 10,0%</w:t>
            </w:r>
          </w:p>
        </w:tc>
        <w:tc>
          <w:tcPr>
            <w:tcW w:w="3969" w:type="dxa"/>
            <w:shd w:val="clear" w:color="auto" w:fill="auto"/>
          </w:tcPr>
          <w:p>
            <w:pPr>
              <w:tabs>
                <w:tab w:val="left" w:pos="567"/>
              </w:tabs>
              <w:rPr>
                <w:szCs w:val="24"/>
              </w:rPr>
            </w:pPr>
            <w:r>
              <w:rPr>
                <w:szCs w:val="24"/>
              </w:rPr>
              <w:t>Gaminiai tirpiklių pagrindu: pvz., nagų emaliai</w:t>
            </w:r>
          </w:p>
        </w:tc>
      </w:tr>
      <w:tr>
        <w:trPr>
          <w:trHeight w:val="430"/>
        </w:trPr>
        <w:tc>
          <w:tcPr>
            <w:tcW w:w="756" w:type="dxa"/>
            <w:shd w:val="clear" w:color="auto" w:fill="auto"/>
          </w:tcPr>
          <w:p>
            <w:pPr>
              <w:tabs>
                <w:tab w:val="left" w:pos="567"/>
              </w:tabs>
              <w:rPr>
                <w:szCs w:val="24"/>
              </w:rPr>
            </w:pPr>
            <w:r>
              <w:rPr>
                <w:szCs w:val="24"/>
              </w:rPr>
              <w:t>5.3.</w:t>
            </w:r>
          </w:p>
        </w:tc>
        <w:tc>
          <w:tcPr>
            <w:tcW w:w="9592" w:type="dxa"/>
            <w:gridSpan w:val="3"/>
            <w:shd w:val="clear" w:color="auto" w:fill="auto"/>
          </w:tcPr>
          <w:p>
            <w:pPr>
              <w:tabs>
                <w:tab w:val="left" w:pos="567"/>
              </w:tabs>
              <w:rPr>
                <w:szCs w:val="24"/>
              </w:rPr>
            </w:pPr>
            <w:r>
              <w:rPr>
                <w:szCs w:val="24"/>
              </w:rPr>
              <w:t>Šarminiai junginiai:</w:t>
            </w:r>
          </w:p>
          <w:p>
            <w:pPr>
              <w:tabs>
                <w:tab w:val="left" w:pos="567"/>
              </w:tabs>
              <w:rPr>
                <w:szCs w:val="24"/>
              </w:rPr>
            </w:pPr>
          </w:p>
        </w:tc>
      </w:tr>
      <w:tr>
        <w:trPr>
          <w:trHeight w:val="437"/>
        </w:trPr>
        <w:tc>
          <w:tcPr>
            <w:tcW w:w="756" w:type="dxa"/>
            <w:shd w:val="clear" w:color="auto" w:fill="auto"/>
          </w:tcPr>
          <w:p>
            <w:pPr>
              <w:tabs>
                <w:tab w:val="left" w:pos="567"/>
              </w:tabs>
              <w:rPr>
                <w:szCs w:val="24"/>
              </w:rPr>
            </w:pPr>
            <w:r>
              <w:rPr>
                <w:szCs w:val="24"/>
              </w:rPr>
              <w:t>5.3.1.</w:t>
            </w:r>
          </w:p>
        </w:tc>
        <w:tc>
          <w:tcPr>
            <w:tcW w:w="3497" w:type="dxa"/>
            <w:shd w:val="clear" w:color="auto" w:fill="auto"/>
          </w:tcPr>
          <w:p>
            <w:pPr>
              <w:tabs>
                <w:tab w:val="left" w:pos="567"/>
              </w:tabs>
              <w:rPr>
                <w:szCs w:val="24"/>
              </w:rPr>
            </w:pPr>
            <w:r>
              <w:rPr>
                <w:szCs w:val="24"/>
              </w:rPr>
              <w:t>amoniakas (Ammonia)</w:t>
            </w:r>
          </w:p>
          <w:p>
            <w:pPr>
              <w:tabs>
                <w:tab w:val="left" w:pos="567"/>
              </w:tabs>
              <w:rPr>
                <w:szCs w:val="24"/>
              </w:rPr>
            </w:pPr>
          </w:p>
        </w:tc>
        <w:tc>
          <w:tcPr>
            <w:tcW w:w="2126" w:type="dxa"/>
            <w:shd w:val="clear" w:color="auto" w:fill="auto"/>
          </w:tcPr>
          <w:p>
            <w:pPr>
              <w:jc w:val="center"/>
              <w:rPr>
                <w:szCs w:val="24"/>
              </w:rPr>
            </w:pPr>
            <w:r>
              <w:rPr>
                <w:szCs w:val="24"/>
              </w:rPr>
              <w:t>≥ 0,5%</w:t>
            </w:r>
          </w:p>
        </w:tc>
        <w:tc>
          <w:tcPr>
            <w:tcW w:w="3969" w:type="dxa"/>
            <w:vMerge w:val="restart"/>
            <w:shd w:val="clear" w:color="auto" w:fill="auto"/>
          </w:tcPr>
          <w:p>
            <w:pPr>
              <w:tabs>
                <w:tab w:val="left" w:pos="567"/>
              </w:tabs>
              <w:rPr>
                <w:szCs w:val="24"/>
              </w:rPr>
            </w:pPr>
            <w:r>
              <w:rPr>
                <w:szCs w:val="24"/>
              </w:rPr>
              <w:t>Oksiduojantieji gaminiai, plaukų dažai, ilgalaikio formavimo gaminiai</w:t>
            </w:r>
          </w:p>
        </w:tc>
      </w:tr>
      <w:tr>
        <w:tc>
          <w:tcPr>
            <w:tcW w:w="756" w:type="dxa"/>
            <w:shd w:val="clear" w:color="auto" w:fill="auto"/>
          </w:tcPr>
          <w:p>
            <w:pPr>
              <w:tabs>
                <w:tab w:val="left" w:pos="567"/>
              </w:tabs>
              <w:rPr>
                <w:szCs w:val="24"/>
              </w:rPr>
            </w:pPr>
            <w:r>
              <w:rPr>
                <w:szCs w:val="24"/>
              </w:rPr>
              <w:t>5.3.2.</w:t>
            </w:r>
          </w:p>
        </w:tc>
        <w:tc>
          <w:tcPr>
            <w:tcW w:w="3497" w:type="dxa"/>
            <w:shd w:val="clear" w:color="auto" w:fill="auto"/>
          </w:tcPr>
          <w:p>
            <w:pPr>
              <w:tabs>
                <w:tab w:val="left" w:pos="567"/>
              </w:tabs>
              <w:rPr>
                <w:szCs w:val="24"/>
              </w:rPr>
            </w:pPr>
            <w:r>
              <w:rPr>
                <w:szCs w:val="24"/>
              </w:rPr>
              <w:t>monoetanolaminas (Monoethanolamine)</w:t>
            </w:r>
          </w:p>
        </w:tc>
        <w:tc>
          <w:tcPr>
            <w:tcW w:w="2126" w:type="dxa"/>
            <w:shd w:val="clear" w:color="auto" w:fill="auto"/>
          </w:tcPr>
          <w:p>
            <w:pPr>
              <w:jc w:val="center"/>
              <w:rPr>
                <w:szCs w:val="24"/>
              </w:rPr>
            </w:pPr>
            <w:r>
              <w:rPr>
                <w:szCs w:val="24"/>
              </w:rPr>
              <w:t>≥ 1%</w:t>
            </w:r>
          </w:p>
        </w:tc>
        <w:tc>
          <w:tcPr>
            <w:tcW w:w="3969" w:type="dxa"/>
            <w:vMerge/>
            <w:shd w:val="clear" w:color="auto" w:fill="auto"/>
          </w:tcPr>
          <w:p>
            <w:pPr>
              <w:tabs>
                <w:tab w:val="left" w:pos="567"/>
              </w:tabs>
              <w:rPr>
                <w:szCs w:val="24"/>
              </w:rPr>
            </w:pPr>
          </w:p>
        </w:tc>
      </w:tr>
      <w:tr>
        <w:tc>
          <w:tcPr>
            <w:tcW w:w="756" w:type="dxa"/>
            <w:tcBorders>
              <w:bottom w:val="single" w:sz="4" w:space="0" w:color="auto"/>
            </w:tcBorders>
            <w:shd w:val="clear" w:color="auto" w:fill="auto"/>
          </w:tcPr>
          <w:p>
            <w:pPr>
              <w:tabs>
                <w:tab w:val="left" w:pos="567"/>
              </w:tabs>
              <w:rPr>
                <w:szCs w:val="24"/>
              </w:rPr>
            </w:pPr>
            <w:r>
              <w:rPr>
                <w:szCs w:val="24"/>
              </w:rPr>
              <w:t>5.4.</w:t>
            </w:r>
          </w:p>
        </w:tc>
        <w:tc>
          <w:tcPr>
            <w:tcW w:w="3497" w:type="dxa"/>
            <w:tcBorders>
              <w:bottom w:val="single" w:sz="4" w:space="0" w:color="auto"/>
            </w:tcBorders>
            <w:shd w:val="clear" w:color="auto" w:fill="auto"/>
          </w:tcPr>
          <w:p>
            <w:pPr>
              <w:tabs>
                <w:tab w:val="left" w:pos="567"/>
              </w:tabs>
              <w:rPr>
                <w:szCs w:val="24"/>
              </w:rPr>
            </w:pPr>
            <w:r>
              <w:rPr>
                <w:szCs w:val="24"/>
              </w:rPr>
              <w:t>aliuminio chlorhidratas (Aluminium chlorohydrate)</w:t>
            </w:r>
          </w:p>
        </w:tc>
        <w:tc>
          <w:tcPr>
            <w:tcW w:w="2126" w:type="dxa"/>
            <w:tcBorders>
              <w:bottom w:val="single" w:sz="4" w:space="0" w:color="auto"/>
            </w:tcBorders>
            <w:shd w:val="clear" w:color="auto" w:fill="auto"/>
          </w:tcPr>
          <w:p>
            <w:pPr>
              <w:jc w:val="center"/>
              <w:rPr>
                <w:szCs w:val="24"/>
              </w:rPr>
            </w:pPr>
            <w:r>
              <w:rPr>
                <w:szCs w:val="24"/>
              </w:rPr>
              <w:t>≥ 25%</w:t>
            </w:r>
          </w:p>
        </w:tc>
        <w:tc>
          <w:tcPr>
            <w:tcW w:w="3969" w:type="dxa"/>
            <w:tcBorders>
              <w:bottom w:val="single" w:sz="4" w:space="0" w:color="auto"/>
            </w:tcBorders>
            <w:shd w:val="clear" w:color="auto" w:fill="auto"/>
          </w:tcPr>
          <w:p>
            <w:pPr>
              <w:tabs>
                <w:tab w:val="left" w:pos="567"/>
              </w:tabs>
              <w:rPr>
                <w:szCs w:val="24"/>
              </w:rPr>
            </w:pPr>
            <w:r>
              <w:rPr>
                <w:szCs w:val="24"/>
              </w:rPr>
              <w:t>Antiperspirantai</w:t>
            </w:r>
          </w:p>
        </w:tc>
      </w:tr>
      <w:tr>
        <w:tc>
          <w:tcPr>
            <w:tcW w:w="756" w:type="dxa"/>
            <w:shd w:val="clear" w:color="auto" w:fill="auto"/>
          </w:tcPr>
          <w:p>
            <w:pPr>
              <w:tabs>
                <w:tab w:val="left" w:pos="567"/>
              </w:tabs>
              <w:rPr>
                <w:szCs w:val="24"/>
              </w:rPr>
            </w:pPr>
            <w:r>
              <w:rPr>
                <w:szCs w:val="24"/>
              </w:rPr>
              <w:t>5.5.</w:t>
            </w:r>
          </w:p>
        </w:tc>
        <w:tc>
          <w:tcPr>
            <w:tcW w:w="3497" w:type="dxa"/>
            <w:shd w:val="clear" w:color="auto" w:fill="auto"/>
          </w:tcPr>
          <w:p>
            <w:pPr>
              <w:tabs>
                <w:tab w:val="left" w:pos="567"/>
              </w:tabs>
              <w:rPr>
                <w:szCs w:val="24"/>
              </w:rPr>
            </w:pPr>
            <w:r>
              <w:rPr>
                <w:szCs w:val="24"/>
              </w:rPr>
              <w:t xml:space="preserve">vandenilio peroksidas </w:t>
            </w:r>
          </w:p>
          <w:p>
            <w:pPr>
              <w:tabs>
                <w:tab w:val="left" w:pos="567"/>
              </w:tabs>
              <w:rPr>
                <w:szCs w:val="24"/>
              </w:rPr>
            </w:pPr>
            <w:r>
              <w:rPr>
                <w:szCs w:val="24"/>
              </w:rPr>
              <w:t>(Hydrogen peroxyde)</w:t>
            </w:r>
          </w:p>
        </w:tc>
        <w:tc>
          <w:tcPr>
            <w:tcW w:w="2126" w:type="dxa"/>
            <w:shd w:val="clear" w:color="auto" w:fill="auto"/>
          </w:tcPr>
          <w:p>
            <w:pPr>
              <w:jc w:val="center"/>
              <w:rPr>
                <w:szCs w:val="24"/>
              </w:rPr>
            </w:pPr>
            <w:r>
              <w:rPr>
                <w:szCs w:val="24"/>
              </w:rPr>
              <w:t>≥ 3%</w:t>
            </w:r>
          </w:p>
        </w:tc>
        <w:tc>
          <w:tcPr>
            <w:tcW w:w="3969" w:type="dxa"/>
            <w:shd w:val="clear" w:color="auto" w:fill="auto"/>
          </w:tcPr>
          <w:p>
            <w:pPr>
              <w:tabs>
                <w:tab w:val="left" w:pos="567"/>
              </w:tabs>
              <w:rPr>
                <w:szCs w:val="24"/>
              </w:rPr>
            </w:pPr>
            <w:r>
              <w:rPr>
                <w:szCs w:val="24"/>
              </w:rPr>
              <w:t>Plaukų šviesinimo gaminiai</w:t>
            </w:r>
          </w:p>
        </w:tc>
      </w:tr>
      <w:tr>
        <w:tc>
          <w:tcPr>
            <w:tcW w:w="756" w:type="dxa"/>
            <w:vMerge w:val="restart"/>
            <w:shd w:val="clear" w:color="auto" w:fill="auto"/>
          </w:tcPr>
          <w:p>
            <w:pPr>
              <w:tabs>
                <w:tab w:val="left" w:pos="567"/>
              </w:tabs>
              <w:rPr>
                <w:szCs w:val="24"/>
              </w:rPr>
            </w:pPr>
            <w:r>
              <w:rPr>
                <w:szCs w:val="24"/>
              </w:rPr>
              <w:t>6.</w:t>
            </w:r>
          </w:p>
        </w:tc>
        <w:tc>
          <w:tcPr>
            <w:tcW w:w="9592" w:type="dxa"/>
            <w:gridSpan w:val="3"/>
            <w:shd w:val="clear" w:color="auto" w:fill="auto"/>
          </w:tcPr>
          <w:p>
            <w:pPr>
              <w:tabs>
                <w:tab w:val="left" w:pos="567"/>
              </w:tabs>
              <w:rPr>
                <w:szCs w:val="24"/>
              </w:rPr>
            </w:pPr>
            <w:r>
              <w:rPr>
                <w:szCs w:val="24"/>
              </w:rPr>
              <w:t>Kosmetikos gaminio gamybos sąlygos</w:t>
            </w:r>
          </w:p>
          <w:p>
            <w:pPr>
              <w:tabs>
                <w:tab w:val="left" w:pos="567"/>
              </w:tabs>
              <w:rPr>
                <w:szCs w:val="24"/>
              </w:rPr>
            </w:pPr>
          </w:p>
        </w:tc>
      </w:tr>
      <w:tr>
        <w:tc>
          <w:tcPr>
            <w:tcW w:w="756" w:type="dxa"/>
            <w:vMerge/>
            <w:shd w:val="clear" w:color="auto" w:fill="auto"/>
          </w:tcPr>
          <w:p>
            <w:pPr>
              <w:tabs>
                <w:tab w:val="left" w:pos="567"/>
              </w:tabs>
              <w:rPr>
                <w:szCs w:val="24"/>
              </w:rPr>
            </w:pPr>
          </w:p>
        </w:tc>
        <w:tc>
          <w:tcPr>
            <w:tcW w:w="3497" w:type="dxa"/>
            <w:shd w:val="clear" w:color="auto" w:fill="auto"/>
          </w:tcPr>
          <w:p>
            <w:pPr>
              <w:tabs>
                <w:tab w:val="left" w:pos="567"/>
              </w:tabs>
              <w:rPr>
                <w:szCs w:val="24"/>
              </w:rPr>
            </w:pPr>
            <w:r>
              <w:rPr>
                <w:szCs w:val="24"/>
              </w:rPr>
              <w:t>kosmetikos gaminio temperatūra gamybos proceso metu</w:t>
            </w:r>
          </w:p>
        </w:tc>
        <w:tc>
          <w:tcPr>
            <w:tcW w:w="2126" w:type="dxa"/>
            <w:shd w:val="clear" w:color="auto" w:fill="auto"/>
          </w:tcPr>
          <w:p>
            <w:pPr>
              <w:jc w:val="center"/>
              <w:rPr>
                <w:szCs w:val="24"/>
              </w:rPr>
            </w:pPr>
            <w:r>
              <w:rPr>
                <w:szCs w:val="24"/>
              </w:rPr>
              <w:t>≥ 65,0</w:t>
            </w:r>
            <w:r>
              <w:rPr>
                <w:szCs w:val="24"/>
                <w:vertAlign w:val="superscript"/>
              </w:rPr>
              <w:t>0</w:t>
            </w:r>
            <w:r>
              <w:rPr>
                <w:szCs w:val="24"/>
              </w:rPr>
              <w:t>C</w:t>
            </w:r>
          </w:p>
        </w:tc>
        <w:tc>
          <w:tcPr>
            <w:tcW w:w="3969" w:type="dxa"/>
            <w:shd w:val="clear" w:color="auto" w:fill="auto"/>
          </w:tcPr>
          <w:p>
            <w:pPr>
              <w:tabs>
                <w:tab w:val="left" w:pos="567"/>
              </w:tabs>
              <w:rPr>
                <w:szCs w:val="24"/>
              </w:rPr>
            </w:pPr>
            <w:r>
              <w:rPr>
                <w:szCs w:val="24"/>
              </w:rPr>
              <w:t>Lūpų balzamas, lūpų dažai, skaistalai</w:t>
            </w:r>
          </w:p>
        </w:tc>
      </w:tr>
    </w:tbl>
    <w:p>
      <w:pPr>
        <w:jc w:val="both"/>
        <w:rPr>
          <w:color w:val="222222"/>
          <w:szCs w:val="24"/>
          <w:lang w:eastAsia="lt-LT"/>
        </w:rPr>
      </w:pPr>
    </w:p>
    <w:p>
      <w:pPr>
        <w:ind w:firstLine="709"/>
        <w:jc w:val="both"/>
        <w:rPr>
          <w:color w:val="222222"/>
          <w:szCs w:val="24"/>
          <w:lang w:eastAsia="lt-LT"/>
        </w:rPr>
      </w:pPr>
      <w:r>
        <w:rPr>
          <w:color w:val="222222"/>
          <w:szCs w:val="24"/>
          <w:lang w:eastAsia="lt-LT"/>
        </w:rPr>
        <w:t>12</w:t>
      </w:r>
      <w:r>
        <w:rPr>
          <w:color w:val="222222"/>
          <w:szCs w:val="24"/>
          <w:lang w:eastAsia="lt-LT"/>
        </w:rPr>
        <w:t xml:space="preserve">. Jei įtariama, kad dėl kosmetikos gaminių gamybos ir (ar) laikymo sąlygų, nustatytų </w:t>
      </w:r>
      <w:r>
        <w:rPr>
          <w:szCs w:val="24"/>
        </w:rPr>
        <w:t>Reglamente (EB) Nr. 1223/2009 nesilaikymo,</w:t>
      </w:r>
      <w:r>
        <w:rPr>
          <w:color w:val="222222"/>
          <w:szCs w:val="24"/>
          <w:lang w:eastAsia="lt-LT"/>
        </w:rPr>
        <w:t xml:space="preserve"> galimas mažos mikrobiologinės rizikos kosmetikos gaminių mikrobinis užterštumas, kosmetikos gaminių gamybos ir rinkos priežiūrą vykdančios institucijos, vadovaudamosi teisės aktų </w:t>
      </w:r>
      <w:r>
        <w:rPr>
          <w:szCs w:val="24"/>
        </w:rPr>
        <w:t xml:space="preserve">[5.1 ir 5.4] reikalavimais, organizuoja </w:t>
      </w:r>
      <w:r>
        <w:rPr>
          <w:color w:val="222222"/>
          <w:szCs w:val="24"/>
          <w:lang w:eastAsia="lt-LT"/>
        </w:rPr>
        <w:t>mažos mikrobiologinės rizikos kosmetikos gaminių mikrobinio užterštumo nustatymo tyrimų atlikimą.</w:t>
      </w:r>
    </w:p>
    <w:p>
      <w:pPr>
        <w:jc w:val="both"/>
        <w:rPr>
          <w:color w:val="222222"/>
          <w:szCs w:val="24"/>
          <w:lang w:eastAsia="lt-LT"/>
        </w:rPr>
      </w:pP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39d002bee11e78397ae072f58c508">
        <w:r w:rsidRPr="00532B9F">
          <w:rPr>
            <w:rFonts w:ascii="Times New Roman" w:eastAsia="MS Mincho" w:hAnsi="Times New Roman"/>
            <w:sz w:val="20"/>
            <w:i/>
            <w:iCs/>
            <w:color w:val="0000FF" w:themeColor="hyperlink"/>
            <w:u w:val="single"/>
          </w:rPr>
          <w:t>V-473</w:t>
        </w:r>
      </w:fldSimple>
      <w:r>
        <w:rPr>
          <w:rFonts w:ascii="Times New Roman" w:eastAsia="MS Mincho" w:hAnsi="Times New Roman"/>
          <w:sz w:val="20"/>
          <w:i/>
          <w:iCs/>
        </w:rPr>
        <w:t>,
2017-04-27,
paskelbta TAR 2017-04-28, i. k. 2017-07162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239d002bee11e78397ae072f58c508">
        <w:r w:rsidRPr="00532B9F">
          <w:rPr>
            <w:rFonts w:ascii="Times New Roman" w:eastAsia="MS Mincho" w:hAnsi="Times New Roman"/>
            <w:sz w:val="20"/>
            <w:iCs/>
            <w:color w:val="0000FF" w:themeColor="hyperlink"/>
            <w:u w:val="single"/>
          </w:rPr>
          <w:t>V-473</w:t>
        </w:r>
      </w:fldSimple>
      <w:r>
        <w:rPr>
          <w:rFonts w:ascii="Times New Roman" w:eastAsia="MS Mincho" w:hAnsi="Times New Roman"/>
          <w:sz w:val="20"/>
          <w:iCs/>
        </w:rPr>
        <w:t>,
2017-04-27,
paskelbta TAR 2017-04-28, i. k. 2017-07162                </w:t>
      </w:r>
    </w:p>
    <w:p>
      <w:pPr>
        <w:jc w:val="both"/>
        <w:rPr>
          <w:rFonts w:ascii="Times New Roman" w:hAnsi="Times New Roman"/>
        </w:rPr>
      </w:pPr>
      <w:r>
        <w:rPr>
          <w:rFonts w:ascii="Times New Roman" w:hAnsi="Times New Roman"/>
          <w:sz w:val="20"/>
        </w:rPr>
        <w:t>Dėl Lietuvos Respublikos sveikatos apsaugos ministro 2001 m. gegužės 15 d. įsakymo Nr. 288 „Dėl Lietuvos higienos normos HN 64-1:2001 „Kosmetikos ir asmens higienos gaminiai. Didžiausias leidžiamas mikrobinio užterštumo lygis“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5b86c03ad911e7b66ae890e1368363">
        <w:r w:rsidRPr="00532B9F">
          <w:rPr>
            <w:rFonts w:ascii="Times New Roman" w:eastAsia="MS Mincho" w:hAnsi="Times New Roman"/>
            <w:sz w:val="20"/>
            <w:iCs/>
            <w:color w:val="0000FF" w:themeColor="hyperlink"/>
            <w:u w:val="single"/>
          </w:rPr>
          <w:t>V-559</w:t>
        </w:r>
      </w:fldSimple>
      <w:r>
        <w:rPr>
          <w:rFonts w:ascii="Times New Roman" w:eastAsia="MS Mincho" w:hAnsi="Times New Roman"/>
          <w:sz w:val="20"/>
          <w:iCs/>
        </w:rPr>
        <w:t>,
2017-05-16,
paskelbta TAR 2017-05-17, i. k. 2017-08280                </w:t>
      </w:r>
    </w:p>
    <w:p>
      <w:pPr>
        <w:jc w:val="both"/>
        <w:rPr>
          <w:rFonts w:ascii="Times New Roman" w:hAnsi="Times New Roman"/>
        </w:rPr>
      </w:pPr>
      <w:r>
        <w:rPr>
          <w:rFonts w:ascii="Times New Roman" w:hAnsi="Times New Roman"/>
          <w:sz w:val="20"/>
        </w:rPr>
        <w:t>Dėl Lietuvos Respublikos sveikatos apsaugos ministro 2001 m. gegužės 15 d. įsakymo Nr. 288 „Dėl Lietuvos higienos normos HN 64:2016 „Kosmetikos gaminiai. Mikrobinio užterštumo ribinės vertės“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95C1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footer" Target="footer7.xml"/>
  <Relationship Id="rId3" Type="http://schemas.openxmlformats.org/officeDocument/2006/relationships/footer" Target="footer8.xml"/>
  <Relationship Id="rId4" Type="http://schemas.openxmlformats.org/officeDocument/2006/relationships/header" Target="header6.xml"/>
  <Relationship Id="rId5" Type="http://schemas.openxmlformats.org/officeDocument/2006/relationships/footer" Target="footer9.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6473</Words>
  <Characters>3691</Characters>
  <Application>Microsoft Office Word</Application>
  <DocSecurity>0</DocSecurity>
  <Lines>30</Lines>
  <Paragraphs>20</Paragraphs>
  <ScaleCrop>false</ScaleCrop>
  <Company/>
  <LinksUpToDate>false</LinksUpToDate>
  <CharactersWithSpaces>10144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2015-07-03T13:25:00Z</dcterms:created>
  <dc:creator>Tadeuš Buivid</dc:creator>
  <lastModifiedBy>PETRAUSKAITĖ Girmantė</lastModifiedBy>
  <dcterms:modified xsi:type="dcterms:W3CDTF">2017-05-18T05:52:00Z</dcterms:modified>
  <revision>7</revision>
</coreProperties>
</file>