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2023-01-01 iki 2023-07-14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8d006e5d03d8403491065ca054188474"/>
                <w:lock w:val="sdtLocked"/>
                <w:richText/>
              </w:sdtPr>
              <w:sdtContent>
                <w:p>
                  <w:pPr>
                    <w:ind w:firstLine="720"/>
                    <w:jc w:val="both"/>
                    <w:rPr>
                      <w:szCs w:val="24"/>
                      <w:lang w:eastAsia="lt-LT"/>
                    </w:rPr>
                  </w:pPr>
                  <w:sdt>
                    <w:sdtPr>
                      <w:alias w:val="Numeris"/>
                      <w:tag w:val="nr_8d006e5d03d8403491065ca054188474"/>
                      <w:lock w:val="sdtLocked"/>
                      <w:richText/>
                    </w:sdtPr>
                    <w:sdtContent>
                      <w:r>
                        <w:rPr>
                          <w:szCs w:val="24"/>
                          <w:lang w:eastAsia="lt-LT"/>
                        </w:rPr>
                        <w:t>10</w:t>
                      </w:r>
                    </w:sdtContent>
                  </w:sdt>
                  <w:r>
                    <w:rPr>
                      <w:szCs w:val="24"/>
                      <w:lang w:eastAsia="lt-LT"/>
                    </w:rPr>
                    <w:t>. Minimalus dienos kompensuojamasis uždarbis ligos išmokos dydžiui nustatyti apskaičiuojamas 15 procentų šalies vidutinio mėnesinio darbo užmokesčio, galiojusio užpraeitą ketvirtį iki teisės gauti ligos išmoką atsiradimo dienos, dydį, o motinystės, tėvystės, vaiko priežiūros išmokų dydžiui nustatyti – 6 bazinių socialinių išmokų, galiojusių praeitą ketvirtį iki teisės gauti motinystės, tėvystės ir vaiko priežiūros išmoką atsiradimo dienos, dydį dalijant iš teisės į atitinkamą išmoką atsiradimo metų vidutinio mėnesio darbo dienų skaičiaus (taikoma 5 darbo dienų savaitė). Jeigu per praeitą ketvirtį iki teisės gauti motinystės, tėvystės ir vaiko priežiūros išmoką atsiradimo dienos galiojęs bazinės socialinės išmokos dydis keitėsi, apskaičiuojant minimalų dienos kompensuojamąjį uždarbį motinystės, tėvystės ir vaiko priežiūros išmokų dydžiui nustatyti, taikomas paskutinis Lietuvos Respublikos Vyriausybės patvirtintas bazinės socialinės išmokos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f9c3b7e245d4284b6d0f279731ef6e4"/>
                <w:lock w:val="sdtLocked"/>
                <w:richText/>
              </w:sdtPr>
              <w:sdtContent>
                <w:p>
                  <w:pPr>
                    <w:widowControl w:val="0"/>
                    <w:tabs>
                      <w:tab w:val="left" w:pos="1276"/>
                      <w:tab w:val="left" w:pos="1560"/>
                    </w:tabs>
                    <w:ind w:firstLine="720"/>
                    <w:jc w:val="both"/>
                    <w:rPr>
                      <w:szCs w:val="24"/>
                      <w:lang w:eastAsia="lt-LT"/>
                    </w:rPr>
                  </w:pPr>
                  <w:sdt>
                    <w:sdtPr>
                      <w:alias w:val="Numeris"/>
                      <w:tag w:val="nr_5f9c3b7e245d4284b6d0f279731ef6e4"/>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9-1 p."/>
                <w:tag w:val="part_6b848118e0234ec0b5c650f8a88a43e7"/>
                <w:lock w:val="sdtLocked"/>
                <w:richText/>
              </w:sdtPr>
              <w:sdtContent>
                <w:p>
                  <w:pPr>
                    <w:widowControl w:val="0"/>
                    <w:tabs>
                      <w:tab w:val="left" w:pos="1276"/>
                    </w:tabs>
                    <w:ind w:firstLine="720"/>
                    <w:jc w:val="both"/>
                  </w:pPr>
                  <w:sdt>
                    <w:sdtPr>
                      <w:alias w:val="Numeris"/>
                      <w:tag w:val="nr_6b848118e0234ec0b5c650f8a88a43e7"/>
                      <w:lock w:val="sdtLocked"/>
                      <w:richText/>
                    </w:sdtPr>
                    <w:sdtContent>
                      <w:r>
                        <w:rPr>
                          <w:rFonts w:eastAsia="Calibri"/>
                          <w:szCs w:val="24"/>
                          <w:lang w:eastAsia="lt-LT"/>
                        </w:rPr>
                        <w:t>49</w:t>
                      </w:r>
                      <w:r>
                        <w:rPr>
                          <w:rFonts w:eastAsia="Calibri"/>
                          <w:szCs w:val="24"/>
                          <w:vertAlign w:val="superscript"/>
                          <w:lang w:val="en-US"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 xml:space="preserve">Tėvystės išmoka asmenims, turintiems teisę į tėvystės išmoką, skiriama ir mokama už ne ilgesnį kaip 30 kalendorinių dienų laikotarpį, kuris gali būti skaidomas į ne daugiau kaip dvi dalis. Įvaikinus vaiką (-us), 30 kalendorinių dienų laikotarpis gali būti skaidomas į ne daugiau kaip dvi dalis per vienus metus nuo </w:t>
                  </w:r>
                  <w:r>
                    <w:rPr>
                      <w:rFonts w:eastAsia="Calibri"/>
                      <w:color w:val="000000"/>
                      <w:szCs w:val="24"/>
                      <w:lang w:eastAsia="lt-LT"/>
                    </w:rPr>
                    <w:t>teismo sprendimo įvaikinti įsiteisėjimo (skubaus vykdymo atveju –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2 p."/>
                <w:tag w:val="part_d74b2d17b54e42c8bd45d1b6e3b6828e"/>
                <w:lock w:val="sdtLocked"/>
                <w:richText/>
              </w:sdtPr>
              <w:sdtContent>
                <w:p>
                  <w:pPr>
                    <w:widowControl w:val="0"/>
                    <w:tabs>
                      <w:tab w:val="left" w:pos="1276"/>
                    </w:tabs>
                    <w:ind w:firstLine="720"/>
                    <w:jc w:val="both"/>
                  </w:pPr>
                  <w:sdt>
                    <w:sdtPr>
                      <w:alias w:val="Numeris"/>
                      <w:tag w:val="nr_d74b2d17b54e42c8bd45d1b6e3b6828e"/>
                      <w:lock w:val="sdtLocked"/>
                      <w:richText/>
                    </w:sdtPr>
                    <w:sdtContent>
                      <w:r>
                        <w:rPr>
                          <w:rFonts w:eastAsia="Calibri"/>
                          <w:szCs w:val="24"/>
                          <w:lang w:eastAsia="lt-LT"/>
                        </w:rPr>
                        <w:t>49</w:t>
                      </w:r>
                      <w:r>
                        <w:rPr>
                          <w:rFonts w:eastAsia="Calibri"/>
                          <w:szCs w:val="24"/>
                          <w:vertAlign w:val="superscript"/>
                          <w:lang w:eastAsia="lt-LT"/>
                        </w:rPr>
                        <w:t>2</w:t>
                      </w:r>
                    </w:sdtContent>
                  </w:sdt>
                  <w:r>
                    <w:rPr>
                      <w:rFonts w:eastAsia="Calibri"/>
                      <w:szCs w:val="24"/>
                      <w:lang w:eastAsia="lt-LT"/>
                    </w:rPr>
                    <w:t>. Tėvystės išmoka už gimusį vaiką (-us), nepriklausomai nuo vienu kartu gimusių vaikų skaičiaus, skiriama ir mokama už ne ilgesnį kaip 30 kalendorinių dienų tėvystės atostogų ar tėvystės laikotarpį, kuris gali būti suteiktas ar pasirinktas laikotarpiu nuo vaiko (-ų) gimimo, iki vaikui (-ams) sukanka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4 p."/>
                <w:tag w:val="part_54edf50cb9354ddf87533a0ea96bfda7"/>
                <w:lock w:val="sdtLocked"/>
                <w:richText/>
              </w:sdtPr>
              <w:sdtContent>
                <w:p>
                  <w:pPr>
                    <w:widowControl w:val="0"/>
                    <w:tabs>
                      <w:tab w:val="left" w:pos="1276"/>
                    </w:tabs>
                    <w:ind w:firstLine="720"/>
                    <w:jc w:val="both"/>
                  </w:pPr>
                  <w:sdt>
                    <w:sdtPr>
                      <w:alias w:val="Numeris"/>
                      <w:tag w:val="nr_54edf50cb9354ddf87533a0ea96bfda7"/>
                      <w:lock w:val="sdtLocked"/>
                      <w:richText/>
                    </w:sdtPr>
                    <w:sdtContent>
                      <w:r>
                        <w:rPr>
                          <w:rFonts w:eastAsia="Calibri"/>
                          <w:szCs w:val="24"/>
                          <w:lang w:eastAsia="lt-LT"/>
                        </w:rPr>
                        <w:t>49</w:t>
                      </w:r>
                      <w:r>
                        <w:rPr>
                          <w:rFonts w:eastAsia="Calibri"/>
                          <w:szCs w:val="24"/>
                          <w:vertAlign w:val="superscript"/>
                          <w:lang w:eastAsia="lt-LT"/>
                        </w:rPr>
                        <w:t>4</w:t>
                      </w:r>
                    </w:sdtContent>
                  </w:sdt>
                  <w:r>
                    <w:rPr>
                      <w:rFonts w:eastAsia="Calibri"/>
                      <w:szCs w:val="24"/>
                      <w:lang w:eastAsia="lt-LT"/>
                    </w:rPr>
                    <w:t xml:space="preserve">. Jei apdraustasis asmuo už tą patį gimusį ar įvaikintą vaiką pasirinko tėvystės atostogas arba tėvystės laikotarpį skaidyti į dvi dalis su pertrauka, teisė į antrą tėvystės išmokos dalį nustatoma ir </w:t>
                  </w:r>
                  <w:r>
                    <w:rPr>
                      <w:rFonts w:eastAsia="Calibri"/>
                      <w:color w:val="000000"/>
                      <w:szCs w:val="24"/>
                      <w:lang w:eastAsia="lt-LT"/>
                    </w:rPr>
                    <w:t>asmens vidutinis mėnesinis kompensuojamasis uždarbis, apribotas minimaliu ir maksimaliu kompensuojamojo uždarbio dydžiu, apskaičiuojamas</w:t>
                  </w:r>
                  <w:r>
                    <w:rPr>
                      <w:rFonts w:eastAsia="Calibri"/>
                      <w:szCs w:val="24"/>
                      <w:lang w:eastAsia="lt-LT"/>
                    </w:rPr>
                    <w:t xml:space="preserve">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8658928eb8d5460faa0a293c4e96c7ca"/>
                <w:lock w:val="sdtLocked"/>
                <w:richText/>
              </w:sdtPr>
              <w:sdtContent>
                <w:p>
                  <w:pPr>
                    <w:tabs>
                      <w:tab w:val="center" w:pos="4153"/>
                      <w:tab w:val="right" w:pos="8306"/>
                    </w:tabs>
                    <w:ind w:firstLine="720"/>
                    <w:jc w:val="both"/>
                  </w:pPr>
                  <w:sdt>
                    <w:sdtPr>
                      <w:alias w:val="Numeris"/>
                      <w:tag w:val="nr_8658928eb8d5460faa0a293c4e96c7ca"/>
                      <w:lock w:val="sdtLocked"/>
                      <w:richText/>
                    </w:sdtPr>
                    <w:sdtContent>
                      <w:r>
                        <w:rPr>
                          <w:szCs w:val="24"/>
                          <w:lang w:eastAsia="lt-LT"/>
                        </w:rPr>
                        <w:t>56</w:t>
                      </w:r>
                    </w:sdtContent>
                  </w:sdt>
                  <w:r>
                    <w:rPr>
                      <w:szCs w:val="24"/>
                      <w:lang w:eastAsia="lt-LT"/>
                    </w:rPr>
                    <w:t>. Jeigu asmuo, gaunantis (gavęs pirmaisiais vaiko auginimo metais)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išmoką gaunančiam (gavusiam pirmaisiais vaiko auginimo metais) asmeniui šios išmokos mokėjimo trukmė keičiama,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048a8734cc5c4a9ea8796fd2ccca5124"/>
                <w:lock w:val="sdtLocked"/>
                <w:richText/>
              </w:sdtPr>
              <w:sdtContent>
                <w:p>
                  <w:pPr>
                    <w:widowControl w:val="0"/>
                    <w:tabs>
                      <w:tab w:val="left" w:pos="1276"/>
                    </w:tabs>
                    <w:ind w:firstLine="720"/>
                    <w:jc w:val="both"/>
                    <w:rPr>
                      <w:szCs w:val="24"/>
                      <w:lang w:eastAsia="lt-LT"/>
                    </w:rPr>
                  </w:pPr>
                  <w:sdt>
                    <w:sdtPr>
                      <w:alias w:val="Numeris"/>
                      <w:tag w:val="nr_048a8734cc5c4a9ea8796fd2ccca5124"/>
                      <w:lock w:val="sdtLocked"/>
                      <w:richText/>
                    </w:sdtPr>
                    <w:sdtContent>
                      <w:r>
                        <w:rPr>
                          <w:rFonts w:eastAsia="Calibri"/>
                          <w:szCs w:val="24"/>
                          <w:lang w:eastAsia="lt-LT"/>
                        </w:rPr>
                        <w:t>57</w:t>
                      </w:r>
                    </w:sdtContent>
                  </w:sdt>
                  <w:r>
                    <w:rPr>
                      <w:rFonts w:eastAsia="Calibri"/>
                      <w:szCs w:val="24"/>
                      <w:lang w:eastAsia="lt-LT"/>
                    </w:rPr>
                    <w:t>. Įstatymo 22 straipsnio 8 dalyje nustatytais atvejais skiriant išmoką, laikotarpis, pagal kurio draudžiamąsias pajamas apskaičiuojamas kompensuojamasis uždarbis, maksimalus ir minimalus mėnesinis kompensuojamasis uždarbis ir minimalus išmokos dydis, nustatomas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9d601ca501b049fc91a61c8dc4d1f1f0"/>
                    <w:lock w:val="sdtLocked"/>
                    <w:richText/>
                  </w:sdtPr>
                  <w:sdtContent>
                    <w:p>
                      <w:pPr>
                        <w:widowControl w:val="0"/>
                        <w:tabs>
                          <w:tab w:val="left" w:pos="1276"/>
                        </w:tabs>
                        <w:ind w:firstLine="720"/>
                        <w:jc w:val="both"/>
                        <w:rPr>
                          <w:szCs w:val="24"/>
                          <w:lang w:eastAsia="lt-LT"/>
                        </w:rPr>
                      </w:pPr>
                      <w:sdt>
                        <w:sdtPr>
                          <w:alias w:val="Numeris"/>
                          <w:tag w:val="nr_9d601ca501b049fc91a61c8dc4d1f1f0"/>
                          <w:lock w:val="sdtLocked"/>
                          <w:richText/>
                        </w:sdtPr>
                        <w:sdtContent>
                          <w:r>
                            <w:rPr>
                              <w:rFonts w:eastAsia="Calibri"/>
                              <w:szCs w:val="24"/>
                              <w:lang w:eastAsia="lt-LT"/>
                            </w:rPr>
                            <w:t>69.4</w:t>
                          </w:r>
                        </w:sdtContent>
                      </w:sdt>
                      <w:r>
                        <w:rPr>
                          <w:rFonts w:eastAsia="Calibri"/>
                          <w:szCs w:val="24"/>
                          <w:lang w:eastAsia="lt-LT"/>
                        </w:rPr>
                        <w:t xml:space="preserve">. tėvystės išmokai – prašymas, įsakymo (potvarkio) dėl tėvystės atostogų </w:t>
                      </w:r>
                      <w:r>
                        <w:rPr>
                          <w:lang w:eastAsia="lt-LT"/>
                        </w:rPr>
                        <w:br/>
                      </w:r>
                      <w:r>
                        <w:rPr>
                          <w:rFonts w:eastAsia="Calibri"/>
                          <w:szCs w:val="24"/>
                          <w:lang w:eastAsia="lt-LT"/>
                        </w:rPr>
                        <w:t>suteikimo kopija, nuorašas ar išrašas (jeigu nepateiktas pranešimas apie apdraustajam asmeniui suteiktas (atšauktas) tėvystės atostogas arba atostogas vaikui prižiūrėti (forma 9-SD), vaiko (-ų) gimimo ir tėvystės, įvaikinimo ar globos faktą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9.5 pp."/>
                    <w:tag w:val="part_c71e350ec22b4e2bb6fc254d6171183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1e350ec22b4e2bb6fc254d61711834"/>
                          <w:lock w:val="sdtLocked"/>
                          <w:richText/>
                        </w:sdtPr>
                        <w:sdtContent>
                          <w:r>
                            <w:rPr>
                              <w:szCs w:val="24"/>
                              <w:lang w:eastAsia="lt-LT"/>
                            </w:rPr>
                            <w:t>69.5</w:t>
                          </w:r>
                        </w:sdtContent>
                      </w:sdt>
                      <w:r>
                        <w:rPr>
                          <w:szCs w:val="24"/>
                          <w:lang w:eastAsia="lt-LT"/>
                        </w:rPr>
                        <w:t xml:space="preserve">. vaiko priežiūros išmokai – prašymas, vaiko (-ų) gimimo, įvaikinimo ar globos </w:t>
                      </w:r>
                      <w:r>
                        <w:rPr>
                          <w:lang w:eastAsia="lt-LT"/>
                        </w:rPr>
                        <w:br/>
                      </w:r>
                      <w:r>
                        <w:rPr>
                          <w:szCs w:val="24"/>
                          <w:lang w:eastAsia="lt-LT"/>
                        </w:rPr>
                        <w:t xml:space="preserve">faktą patvirtinantys dokumentai ir įsakymo (potvarkio) dėl vaiko (-ų) priežiūros atostogų suteikimo kopija (-os), nuorašas (-ai) ar išrašas (-ai) (jeigu nepateiktas </w:t>
                      </w:r>
                      <w:r>
                        <w:rPr>
                          <w:rFonts w:eastAsia="Calibri"/>
                          <w:szCs w:val="24"/>
                          <w:lang w:eastAsia="lt-LT"/>
                        </w:rPr>
                        <w:t xml:space="preserve">pranešimas (-ai) apie apdraustajam asmeniui suteiktas (atšauktas) tėvystės atostogas arba atostogas vaikui prižiūrėti (forma 9-SD); asmenys, nurodyti Įstatymo 22 straipsnio 4 dalyje, turi pateikti ir Įstatymo </w:t>
                      </w:r>
                      <w:r>
                        <w:rPr>
                          <w:lang w:eastAsia="lt-LT"/>
                        </w:rPr>
                        <w:br/>
                      </w:r>
                      <w:r>
                        <w:rPr>
                          <w:rFonts w:eastAsia="Calibri"/>
                          <w:szCs w:val="24"/>
                          <w:lang w:eastAsia="lt-LT"/>
                        </w:rPr>
                        <w:t xml:space="preserve">22 straipsnio 5 dalyje nurodytų aplinkybių buvimą pagrindžiančių dokumentų kopijas ar išrašus, jeigu šių duomenų nėra </w:t>
                      </w:r>
                      <w:r>
                        <w:rPr>
                          <w:rFonts w:eastAsia="Calibri"/>
                          <w:szCs w:val="22"/>
                          <w:lang w:eastAsia="lt-LT"/>
                        </w:rPr>
                        <w:t>valstybės ar žinybiniuose registruose, valstybės ir savivaldybės informacinėse sistemose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b7017b5ffdde4b24aa796e6612df8864"/>
                    <w:lock w:val="sdtLocked"/>
                    <w:richText/>
                  </w:sdtPr>
                  <w:sdtContent>
                    <w:p>
                      <w:pPr>
                        <w:widowControl w:val="0"/>
                        <w:tabs>
                          <w:tab w:val="left" w:pos="1276"/>
                        </w:tabs>
                        <w:ind w:firstLine="720"/>
                        <w:jc w:val="both"/>
                        <w:rPr>
                          <w:szCs w:val="24"/>
                          <w:lang w:eastAsia="lt-LT"/>
                        </w:rPr>
                      </w:pPr>
                      <w:sdt>
                        <w:sdtPr>
                          <w:alias w:val="Numeris"/>
                          <w:tag w:val="nr_b7017b5ffdde4b24aa796e6612df8864"/>
                          <w:lock w:val="sdtLocked"/>
                          <w:richText/>
                        </w:sdtPr>
                        <w:sdtContent>
                          <w:r>
                            <w:rPr>
                              <w:rFonts w:eastAsia="Calibri"/>
                              <w:szCs w:val="24"/>
                              <w:lang w:eastAsia="lt-LT"/>
                            </w:rPr>
                            <w:t>70.4</w:t>
                          </w:r>
                        </w:sdtContent>
                      </w:sdt>
                      <w:r>
                        <w:rPr>
                          <w:rFonts w:eastAsia="Calibri"/>
                          <w:szCs w:val="24"/>
                          <w:lang w:eastAsia="lt-LT"/>
                        </w:rPr>
                        <w:t>. tėvystės išmokai – prašymą su pranešimu (-ais) apie pasirinktą tėvystės laikotarpį ar vaiko priežiūros laikotarpį, vaiko (-ų) gimimo ir tėvystės, įvaikinimo ar globos faktą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0.5 pp."/>
                    <w:tag w:val="part_eeb00a3f4f0a4a1fa06bc488044263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eb00a3f4f0a4a1fa06bc488044263a5"/>
                          <w:lock w:val="sdtLocked"/>
                          <w:richText/>
                        </w:sdtPr>
                        <w:sdtContent>
                          <w:r>
                            <w:rPr>
                              <w:szCs w:val="24"/>
                              <w:lang w:eastAsia="lt-LT"/>
                            </w:rPr>
                            <w:t>70.5</w:t>
                          </w:r>
                        </w:sdtContent>
                      </w:sdt>
                      <w:r>
                        <w:rPr>
                          <w:szCs w:val="24"/>
                          <w:lang w:eastAsia="lt-LT"/>
                        </w:rPr>
                        <w:t>. vaiko priežiūros išmokai – prašymą su pranešimu (-ais) apie pasirinktą tėvystės laikotarpį ar vaiko priežiūros laikotarpį, vaiko (-ų) gimimo, įvaikinimo ar globos faktą patvirtinančius dokumentus;</w:t>
                      </w:r>
                      <w:r>
                        <w:rPr>
                          <w:rFonts w:eastAsia="Calibri"/>
                          <w:szCs w:val="24"/>
                          <w:lang w:eastAsia="lt-LT"/>
                        </w:rPr>
                        <w:t xml:space="preserve"> asmenys, nurodyti Įstatymo 22 straipsnio 4 dalyje, turi pateikti ir Įstatymo 22 straipsnio 5 dalyje nurodytų aplinkybių buvimą pagrindžiančių dokumentų kopijas ar išrašus, jeigu šių duomenų nėra </w:t>
                      </w:r>
                      <w:r>
                        <w:rPr>
                          <w:rFonts w:eastAsia="Calibri"/>
                          <w:szCs w:val="22"/>
                          <w:lang w:eastAsia="lt-LT"/>
                        </w:rPr>
                        <w:t>valstybės ar žinybiniuose registruose, valstybės ir savivaldybės informacinėse sistemose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3-1 p."/>
                <w:tag w:val="part_d87d71fbbb8b43b7aeb7d192fd941b1b"/>
                <w:lock w:val="sdtLocked"/>
                <w:richText/>
              </w:sdtPr>
              <w:sdtContent>
                <w:p>
                  <w:pPr>
                    <w:widowControl w:val="0"/>
                    <w:tabs>
                      <w:tab w:val="left" w:pos="1276"/>
                    </w:tabs>
                    <w:ind w:firstLine="720"/>
                    <w:jc w:val="both"/>
                    <w:rPr>
                      <w:strike/>
                      <w:szCs w:val="24"/>
                      <w:lang w:eastAsia="lt-LT"/>
                    </w:rPr>
                  </w:pPr>
                  <w:sdt>
                    <w:sdtPr>
                      <w:alias w:val="Numeris"/>
                      <w:tag w:val="nr_d87d71fbbb8b43b7aeb7d192fd941b1b"/>
                      <w:lock w:val="sdtLocked"/>
                      <w:richText/>
                    </w:sdtPr>
                    <w:sdtContent>
                      <w:r>
                        <w:rPr>
                          <w:rFonts w:eastAsia="Calibri"/>
                          <w:szCs w:val="24"/>
                          <w:lang w:eastAsia="lt-LT"/>
                        </w:rPr>
                        <w:t>73</w:t>
                      </w:r>
                      <w:r>
                        <w:rPr>
                          <w:rFonts w:eastAsia="Calibri"/>
                          <w:szCs w:val="24"/>
                          <w:vertAlign w:val="superscript"/>
                          <w:lang w:eastAsia="lt-LT"/>
                        </w:rPr>
                        <w:t>1</w:t>
                      </w:r>
                    </w:sdtContent>
                  </w:sdt>
                  <w:r>
                    <w:rPr>
                      <w:rFonts w:eastAsia="Calibri"/>
                      <w:szCs w:val="24"/>
                      <w:lang w:eastAsia="lt-LT"/>
                    </w:rPr>
                    <w:t xml:space="preserve">. Įstatymo 22 straipsnio 5 dalyje nurodytos aplinkybės nustatomos pagal </w:t>
                  </w:r>
                  <w:r>
                    <w:rPr>
                      <w:rFonts w:eastAsia="Calibri"/>
                      <w:szCs w:val="22"/>
                      <w:lang w:eastAsia="lt-LT"/>
                    </w:rPr>
                    <w:t>valstybės ar žinybinių registrų, valstybės ir savivaldybės informacinių sistemų duomenis</w:t>
                  </w:r>
                  <w:r>
                    <w:rPr>
                      <w:rFonts w:eastAsia="Calibri"/>
                      <w:szCs w:val="24"/>
                      <w:lang w:eastAsia="lt-LT"/>
                    </w:rPr>
                    <w:t xml:space="preserve"> arba apdraustojo asmens pateiktas Įstatymo 22 straipsnio 5 dalyje nurodytų aplinkybių buvimą pagrindžiančių dokumentų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3-1 p."/>
                <w:tag w:val="part_41a5c7cf4f2944b0a7349feb619b94cd"/>
                <w:lock w:val="sdtLocked"/>
                <w:richText/>
              </w:sdtPr>
              <w:sdtContent>
                <w:p>
                  <w:pPr>
                    <w:widowControl w:val="0"/>
                    <w:tabs>
                      <w:tab w:val="left" w:pos="1276"/>
                    </w:tabs>
                    <w:ind w:firstLine="720"/>
                    <w:jc w:val="both"/>
                    <w:rPr>
                      <w:rFonts w:eastAsia="Calibri"/>
                      <w:szCs w:val="22"/>
                      <w:lang w:eastAsia="lt-LT"/>
                    </w:rPr>
                  </w:pPr>
                  <w:sdt>
                    <w:sdtPr>
                      <w:alias w:val="Numeris"/>
                      <w:tag w:val="nr_41a5c7cf4f2944b0a7349feb619b94cd"/>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7 dalyje nustatytu atveju asmenų vidutinio mėnesinio kompensuojamojo uždarbio, apriboto minimaliu ir maksimaliu kompensuojamojo uždarbio dydžiu, pagal kurį buvo nustatytas vaiko priežiūros išmokos dydis,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w:t>
                  </w:r>
                  <w:r>
                    <w:rPr>
                      <w:lang w:eastAsia="lt-LT"/>
                    </w:rPr>
                    <w:br/>
                  </w:r>
                  <w:r>
                    <w:rPr>
                      <w:rFonts w:eastAsia="Calibri"/>
                      <w:szCs w:val="24"/>
                      <w:lang w:eastAsia="lt-LT"/>
                    </w:rPr>
                    <w:t>24 straipsnio 7 dalyje, suma.</w:t>
                  </w:r>
                  <w:r>
                    <w:rPr>
                      <w:rFonts w:eastAsia="Calibri"/>
                      <w:szCs w:val="22"/>
                      <w:lang w:eastAsia="lt-LT"/>
                    </w:rPr>
                    <w:t xml:space="preserve"> </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f374e8068cf542718a5d12b7d3387079"/>
                <w:lock w:val="sdtLocked"/>
                <w:richText/>
              </w:sdtPr>
              <w:sdtContent>
                <w:p>
                  <w:pPr>
                    <w:ind w:firstLine="720"/>
                    <w:jc w:val="both"/>
                    <w:rPr>
                      <w:szCs w:val="24"/>
                      <w:lang w:eastAsia="lt-LT"/>
                    </w:rPr>
                  </w:pPr>
                  <w:sdt>
                    <w:sdtPr>
                      <w:alias w:val="Numeris"/>
                      <w:tag w:val="nr_f374e8068cf542718a5d12b7d3387079"/>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arba sportininko, kuriam </w:t>
                  </w:r>
                  <w:r>
                    <w:rPr>
                      <w:color w:val="000000"/>
                      <w:szCs w:val="24"/>
                      <w:lang w:eastAsia="lt-LT"/>
                    </w:rPr>
                    <w:t>Sporto įstatymo nustatyta tvarka yra mokama valstybės stipendija,</w:t>
                  </w:r>
                  <w:r>
                    <w:rPr>
                      <w:szCs w:val="22"/>
                      <w:lang w:eastAsia="lt-LT"/>
                    </w:rPr>
                    <w:t xml:space="preserve"> </w:t>
                  </w:r>
                  <w:r>
                    <w:rPr>
                      <w:szCs w:val="24"/>
                      <w:lang w:eastAsia="lt-LT"/>
                    </w:rPr>
                    <w:t xml:space="preserve">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E4907"/>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8d006e5d03d8403491065ca054188474"/>
      <Part Type="punktas" Nr="11" Abbr="11 p." DocPartId="e9b55ef1ba694a33a74c9b2de854a5d1" PartId="454f4bdb4669492cb2f1f01a607b19fc"/>
      <Part Type="punktas" Nr="12" Abbr="12 p." DocPartId="ae7894b0c70347b88a8218e00da25a60" PartId="5f9c3b7e245d4284b6d0f279731ef6e4"/>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6b848118e0234ec0b5c650f8a88a43e7"/>
      <Part Type="punktas" Nr="49-2" Abbr="49-2 p." DocPartId="71130699902241bbbeb086d63020cec7" PartId="d74b2d17b54e42c8bd45d1b6e3b6828e"/>
      <Part Type="punktas" Nr="49-3" Abbr="49-3 p." DocPartId="217824c787a948a2819deefad76085f6" PartId="804664bf1bf44a30ba72bc9a1df83f19"/>
      <Part Type="punktas" Nr="49-4" Abbr="49-4 p." DocPartId="d4e7e5440fe241c5b040a6f3a57f2c95" PartId="54edf50cb9354ddf87533a0ea96bfda7"/>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6" Abbr="56 p." DocPartId="8131ef80bb6f4828972e532855226416" PartId="8658928eb8d5460faa0a293c4e96c7ca"/>
      <Part Type="punktas" Nr="56-1" Abbr="56-1 p." DocPartId="87424c54d2ec4b728f12109e0010b74f" PartId="1c206c454b694d2a8592d7e1ff795e46"/>
      <Part Type="punktas" Nr="57" Abbr="57 p." DocPartId="ca53aeb683534be7bb29a0085effd0e9" PartId="048a8734cc5c4a9ea8796fd2ccca5124"/>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9d601ca501b049fc91a61c8dc4d1f1f0"/>
        <Part Type="papunktis" Nr="69.5" Abbr="69.5 pp." DocPartId="e7b63cf28a264b64a7d4e55fbc96d0b2" PartId="c71e350ec22b4e2bb6fc254d61711834"/>
      </Part>
      <Part Type="punktas" Nr="70" Abbr="70 p." DocPartId="3a9ab5729c1a4793a45b58815eb7035c" PartId="54808679667443099948ca5388c68a19">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b7017b5ffdde4b24aa796e6612df8864"/>
        <Part Type="papunktis" Nr="70.5" Abbr="70.5 pp." DocPartId="b341cc237c574cc988ed6c5f16ca1c08" PartId="eeb00a3f4f0a4a1fa06bc488044263a5"/>
      </Part>
      <Part Type="punktas" Nr="71" Abbr="71 p." DocPartId="81cdebf62b6b493d9f400ee38a3663cc" PartId="2a13063eb89343d6a45cb5345f9d78bd"/>
      <Part Type="punktas" Nr="72" Abbr="72 p." DocPartId="40415a58d99045eea6a82f8f977a8fb4" PartId="9862a28929d147dc9402f1368969de4a"/>
      <Part Type="punktas" Nr="73" Abbr="73 p." DocPartId="7e7eebe0efa0492990aff5a5e0fa604a" PartId="0c2ed334ded0461795f5853ac09d9e8a"/>
      <Part Type="punktas" Nr="73-1" Abbr="73-1 p." DocPartId="199ae01c5e8f4f6691ff5ad140d4abfe" PartId="d87d71fbbb8b43b7aeb7d192fd941b1b"/>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41a5c7cf4f2944b0a7349feb619b94cd"/>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4" Abbr="94 p." DocPartId="ff2e5e33e37e46a9b8e5d6703e4d7aa2" PartId="0e1be4e8b90f4810955b1a863be80869"/>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f374e8068cf542718a5d12b7d3387079"/>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E6F98579-86D7-4EFB-8CC4-3B61300F6B75}">
  <ds:schemaRefs>
    <ds:schemaRef ds:uri="http://lrs.lt/TAIS/DocParts"/>
  </ds:schemaRefs>
</ds:datastoreItem>
</file>

<file path=docProps/app.xml><?xml version="1.0" encoding="utf-8"?>
<Properties xmlns="http://schemas.openxmlformats.org/officeDocument/2006/extended-properties">
  <Template>Normal.dotm</Template>
  <TotalTime>154</TotalTime>
  <Pages>16</Pages>
  <Words>39821</Words>
  <Characters>22698</Characters>
  <Application>Microsoft Office Word</Application>
  <DocSecurity>0</DocSecurity>
  <Lines>189</Lines>
  <Paragraphs>124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62395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2023-02-20T10:00:00Z</dcterms:modified>
  <revision>86</revision>
</coreProperties>
</file>