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Arial" w:hAnsi="Arial"/>
            </w:rPr>
          </w:pPr>
          <w:r>
            <w:rPr>
              <w:rFonts w:ascii="Arial" w:hAnsi="Arial"/>
              <w:b/>
              <w:i/>
            </w:rPr>
            <w:t>Suvestinė redakcija nuo 2024-06-18 iki 2024-06-30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Žin. 2001, Nr. </w:t>
          </w:r>
          <w:fldSimple w:instr="HYPERLINK https://www.e-tar.lt/portal/legalAct.html?documentId=TAR.4707C1616570">
            <w:r w:rsidRPr="00532B9F">
              <w:rPr>
                <w:rFonts w:ascii="Arial" w:eastAsia="MS Mincho" w:hAnsi="Arial"/>
                <w:sz w:val="20"/>
                <w:i/>
                <w:iCs/>
                <w:color w:val="0000FF" w:themeColor="hyperlink"/>
                <w:u w:val="single"/>
              </w:rPr>
              <w:t>10-284</w:t>
            </w:r>
          </w:fldSimple>
          <w:r>
            <w:rPr>
              <w:rFonts w:ascii="Arial" w:eastAsia="MS Mincho" w:hAnsi="Arial"/>
              <w:sz w:val="20"/>
              <w:i/>
              <w:iCs/>
            </w:rPr>
            <w:t>, i. k. 1011100NUTA00000086</w:t>
          </w:r>
        </w:p>
        <w:p>
          <w:pPr>
            <w:jc w:val="both"/>
            <w:rPr>
              <w:rFonts w:ascii="Arial" w:hAnsi="Arial"/>
              <w:sz w:val="20"/>
            </w:rPr>
          </w:pPr>
        </w:p>
        <w:p>
          <w:pPr>
            <w:rPr>
              <w:rFonts w:ascii="Arial" w:hAnsi="Arial"/>
              <w:sz w:val="20"/>
              <w:b/>
              <w:i/>
            </w:rPr>
          </w:pPr>
          <w:r>
            <w:rPr>
              <w:rFonts w:ascii="Arial" w:hAnsi="Arial"/>
              <w:sz w:val="20"/>
              <w:b/>
              <w:i/>
            </w:rPr>
            <w:t>Nauja redakcija nuo 2017-04-21:</w:t>
          </w:r>
        </w:p>
        <w:p>
          <w:pPr>
            <w:rPr>
              <w:rFonts w:ascii="Arial" w:hAnsi="Arial"/>
              <w:sz w:val="20"/>
              <w:i/>
            </w:rPr>
          </w:pPr>
          <w:r>
            <w:rPr>
              <w:rFonts w:ascii="Arial" w:hAnsi="Arial"/>
              <w:sz w:val="20"/>
              <w:i/>
            </w:rPr>
            <w:t xml:space="preserve">Nr. </w:t>
          </w:r>
          <w:fldSimple w:instr="HYPERLINK https://www.e-tar.lt/portal/legalAct.html?documentId=c3d9b680258611e78397ae072f58c508">
            <w:r w:rsidRPr="00532B9F">
              <w:rPr>
                <w:rFonts w:ascii="Arial" w:eastAsia="MS Mincho" w:hAnsi="Arial"/>
                <w:sz w:val="20"/>
                <w:i/>
                <w:iCs/>
                <w:color w:val="0000FF" w:themeColor="hyperlink"/>
                <w:u w:val="single"/>
              </w:rPr>
              <w:t>283</w:t>
            </w:r>
          </w:fldSimple>
          <w:r>
            <w:rPr>
              <w:rFonts w:ascii="Arial" w:eastAsia="MS Mincho" w:hAnsi="Arial"/>
              <w:sz w:val="20"/>
              <w:i/>
              <w:iCs/>
            </w:rPr>
            <w:t>,
2017-04-12,
paskelbta TAR 2017-04-20, i. k. 2017-06646                </w:t>
          </w:r>
        </w:p>
        <w:p>
          <w:pPr>
            <w:rPr>
              <w:rFonts w:ascii="Arial" w:hAnsi="Arial"/>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b28e03d9b1d94c5499281a21b6e90735"/>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r>
              <w:r>
                <w:rPr>
                  <w:rFonts w:eastAsia="Calibri"/>
                  <w:color w:val="000000"/>
                  <w:szCs w:val="22"/>
                  <w:bdr w:val="none" w:sz="0" w:space="0" w:color="auto" w:frame="1"/>
                  <w:lang w:eastAsia="lt-LT"/>
                </w:rPr>
                <w:t xml:space="preserve">22 straipsnio 5 dalimi, </w:t>
              </w:r>
              <w:r>
                <w:rPr>
                  <w:rFonts w:eastAsia="Calibri"/>
                  <w:color w:val="000000"/>
                  <w:szCs w:val="24"/>
                  <w:lang w:eastAsia="lt-LT"/>
                </w:rPr>
                <w:t>23 straipsnio 5 dalimi, 24 straipsnio 7, 8 ir 16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a838c000a9e11e9a5eaf2cd290f1944">
                <w:r w:rsidRPr="00532B9F">
                  <w:rPr>
                    <w:rFonts w:ascii="Arial" w:eastAsia="MS Mincho" w:hAnsi="Arial"/>
                    <w:sz w:val="20"/>
                    <w:i/>
                    <w:iCs/>
                    <w:color w:val="0000FF" w:themeColor="hyperlink"/>
                    <w:u w:val="single"/>
                  </w:rPr>
                  <w:t>1360</w:t>
                </w:r>
              </w:fldSimple>
              <w:r>
                <w:rPr>
                  <w:rFonts w:ascii="Arial" w:eastAsia="MS Mincho" w:hAnsi="Arial"/>
                  <w:sz w:val="20"/>
                  <w:i/>
                  <w:iCs/>
                </w:rPr>
                <w:t>,
2018-12-27,
paskelbta TAR 2018-12-28, i. k. 2018-21858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28566d0dfaf11eb9f09e7df20500045">
                <w:r w:rsidRPr="00532B9F">
                  <w:rPr>
                    <w:rFonts w:ascii="Arial" w:eastAsia="MS Mincho" w:hAnsi="Arial"/>
                    <w:sz w:val="20"/>
                    <w:i/>
                    <w:iCs/>
                    <w:color w:val="0000FF" w:themeColor="hyperlink"/>
                    <w:u w:val="single"/>
                  </w:rPr>
                  <w:t>529</w:t>
                </w:r>
              </w:fldSimple>
              <w:r>
                <w:rPr>
                  <w:rFonts w:ascii="Arial" w:eastAsia="MS Mincho" w:hAnsi="Arial"/>
                  <w:sz w:val="20"/>
                  <w:i/>
                  <w:iCs/>
                </w:rPr>
                <w:t>,
2021-07-07,
paskelbta TAR 2021-07-08, i. k. 2021-15480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9caf37230d0043218af85903909b3358"/>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p>
              <w:pPr>
                <w:tabs>
                  <w:tab w:val="right" w:pos="9639"/>
                </w:tabs>
                <w:rPr>
                  <w:caps/>
                </w:rPr>
              </w:pPr>
            </w:p>
          </w:sdtContent>
        </w:sdt>
        <w:p/>
      </w:sdtContent>
    </w:sdt>
    <w:sdt>
      <w:sdtPr>
        <w:alias w:val="patvirtinta"/>
        <w:tag w:val="part_2a4eb8efbe7744c4a3241cdba795a4fc"/>
        <w:lock w:val="sdtLocked"/>
        <w:richText/>
      </w:sdtPr>
      <w:sdtContent>
        <w:p>
          <w:pPr>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2a4eb8efbe7744c4a3241cdba795a4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3 p."/>
                <w:tag w:val="part_92ab4265e4984813ad14b1aa1529d4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ab4265e4984813ad14b1aa1529d465"/>
                      <w:lock w:val="sdtLocked"/>
                      <w:richText/>
                    </w:sdtPr>
                    <w:sdtContent>
                      <w:r>
                        <w:rPr>
                          <w:szCs w:val="24"/>
                          <w:lang w:eastAsia="lt-LT"/>
                        </w:rPr>
                        <w:t>3</w:t>
                      </w:r>
                    </w:sdtContent>
                  </w:sdt>
                  <w:r>
                    <w:rPr>
                      <w:szCs w:val="24"/>
                      <w:lang w:eastAsia="lt-LT"/>
                    </w:rPr>
                    <w:t>. Ligos socialiniu draudimu draudžiami asmenys, nurodyti Valstybinio socialinio draudimo įstatymo 4 straipsnio 1–4 dalyse (turintys darbo ar tarnybos santykius asmenys), 5 straipsnio 1 ir 2 dalyse (neturintys darbo ar tarnybos santykių asmenys) bei 6 straipsnio 7 ir 11 dalyse (neturintys darbo ar tarnybos santykių asmenys).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sdtContent>
            </w:sdt>
            <w:sdt>
              <w:sdtPr>
                <w:alias w:val="4 p."/>
                <w:tag w:val="part_fc3774d53a6a420489fbeb944ad858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c3774d53a6a420489fbeb944ad858bf"/>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7 ir 11 dalyse (neturintys darbo ar tarnybos santykių asmenys) ir 4 dalyje (turintys darbo ar tarnybos santykius asmenys).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10 p."/>
                <w:tag w:val="part_060ccc6355604f05bddeed23bdf2b614"/>
                <w:lock w:val="sdtLocked"/>
                <w:richText/>
              </w:sdtPr>
              <w:sdtContent>
                <w:p>
                  <w:pPr>
                    <w:widowControl w:val="0"/>
                    <w:tabs>
                      <w:tab w:val="left" w:pos="1276"/>
                      <w:tab w:val="left" w:pos="1560"/>
                    </w:tabs>
                    <w:ind w:firstLine="720"/>
                    <w:jc w:val="both"/>
                    <w:rPr>
                      <w:szCs w:val="24"/>
                      <w:lang w:eastAsia="lt-LT"/>
                    </w:rPr>
                  </w:pPr>
                  <w:sdt>
                    <w:sdtPr>
                      <w:alias w:val="Numeris"/>
                      <w:tag w:val="nr_060ccc6355604f05bddeed23bdf2b614"/>
                      <w:lock w:val="sdtLocked"/>
                      <w:richText/>
                    </w:sdtPr>
                    <w:sdtContent>
                      <w:r>
                        <w:rPr>
                          <w:rFonts w:eastAsia="Calibri"/>
                          <w:szCs w:val="24"/>
                          <w:lang w:eastAsia="lt-LT"/>
                        </w:rPr>
                        <w:t>10</w:t>
                      </w:r>
                    </w:sdtContent>
                  </w:sdt>
                  <w:r>
                    <w:rPr>
                      <w:rFonts w:eastAsia="Calibri"/>
                      <w:szCs w:val="24"/>
                      <w:lang w:eastAsia="lt-LT"/>
                    </w:rPr>
                    <w:t>. Minimali dienos ligos išmoka apskaičiuojama 11,64 procento šalies vidutinio mėnesinio darbo užmokesčio, galiojusio užpraeitą ketvirtį iki teisės gauti ligos išmoką atsiradimo dienos, dydį, o minimali dienos motinystės, tėvystės, vaiko priežiūros išmoka – 8 bazinių socialinių išmokų, galiojusių praeitą mėnesį iki teisės gauti motinystės, tėvystės ir vaiko priežiūros išmoką atsiradimo dienos, dydį dalijant iš teisės į atitinkamą išmoką atsiradimo metų vidutinio mėnesio darbo dienų skaičiaus (taikoma 5 darbo dienų savaitė).</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48a6a0f2c311ec8fa7d02a65c371ad">
                    <w:r w:rsidRPr="00532B9F">
                      <w:rPr>
                        <w:rFonts w:ascii="Arial" w:eastAsia="MS Mincho" w:hAnsi="Arial"/>
                        <w:sz w:val="20"/>
                        <w:i/>
                        <w:iCs/>
                        <w:color w:val="0000FF" w:themeColor="hyperlink"/>
                        <w:u w:val="single"/>
                      </w:rPr>
                      <w:t>652</w:t>
                    </w:r>
                  </w:fldSimple>
                  <w:r>
                    <w:rPr>
                      <w:rFonts w:ascii="Arial" w:eastAsia="MS Mincho" w:hAnsi="Arial"/>
                      <w:sz w:val="20"/>
                      <w:i/>
                      <w:iCs/>
                    </w:rPr>
                    <w:t>,
2022-06-22,
paskelbta TAR 2022-06-23, i. k. 2022-13436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1 p."/>
                <w:tag w:val="part_ffb4f39ff1e344e1869cff779620ce9d"/>
                <w:lock w:val="sdtLocked"/>
                <w:richText/>
              </w:sdtPr>
              <w:sdtContent>
                <w:p>
                  <w:pPr>
                    <w:widowControl w:val="0"/>
                    <w:tabs>
                      <w:tab w:val="left" w:pos="1276"/>
                      <w:tab w:val="left" w:pos="1560"/>
                    </w:tabs>
                    <w:ind w:firstLine="720"/>
                    <w:jc w:val="both"/>
                  </w:pPr>
                  <w:sdt>
                    <w:sdtPr>
                      <w:alias w:val="Numeris"/>
                      <w:tag w:val="nr_ffb4f39ff1e344e1869cff779620ce9d"/>
                      <w:lock w:val="sdtLocked"/>
                      <w:richText/>
                    </w:sdtPr>
                    <w:sdtContent>
                      <w:r>
                        <w:rPr>
                          <w:rFonts w:eastAsia="Calibri"/>
                          <w:szCs w:val="22"/>
                          <w:lang w:eastAsia="lt-LT"/>
                        </w:rPr>
                        <w:t>11</w:t>
                      </w:r>
                    </w:sdtContent>
                  </w:sdt>
                  <w:r>
                    <w:rPr>
                      <w:rFonts w:eastAsia="Calibri"/>
                      <w:szCs w:val="22"/>
                      <w:lang w:eastAsia="lt-LT"/>
                    </w:rPr>
                    <w:t xml:space="preserve">. </w:t>
                  </w:r>
                  <w:r>
                    <w:rPr>
                      <w:rFonts w:eastAsia="Calibri"/>
                      <w:szCs w:val="24"/>
                      <w:lang w:eastAsia="lt-LT"/>
                    </w:rPr>
                    <w:t>Minimali dienos profesinės reabilitacijos išmoka apskaičiuojama profesinės reabilitacijos programos pradžios mėnesį galiojusių 2 valstybinių socialinio draudimo bazinių pensijų sumą dalijant iš teisės į atitinkamą išmoką atsiradimo metų vidutinio mėnesio darbo dienų skaičiaus (taikoma 5 darbo dienų savaitė).</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1-1 p."/>
                <w:tag w:val="part_7201bfa4ef2440e49f100856e929aefc"/>
                <w:lock w:val="sdtLocked"/>
                <w:richText/>
              </w:sdtPr>
              <w:sdtContent>
                <w:p>
                  <w:pPr>
                    <w:widowControl w:val="0"/>
                    <w:tabs>
                      <w:tab w:val="left" w:pos="1276"/>
                      <w:tab w:val="left" w:pos="1560"/>
                    </w:tabs>
                    <w:ind w:firstLine="720"/>
                    <w:jc w:val="both"/>
                    <w:rPr>
                      <w:szCs w:val="24"/>
                      <w:lang w:eastAsia="lt-LT"/>
                    </w:rPr>
                  </w:pPr>
                  <w:sdt>
                    <w:sdtPr>
                      <w:alias w:val="Numeris"/>
                      <w:tag w:val="nr_7201bfa4ef2440e49f100856e929aefc"/>
                      <w:lock w:val="sdtLocked"/>
                      <w:richText/>
                    </w:sdtPr>
                    <w:sdtContent>
                      <w:r>
                        <w:rPr>
                          <w:rFonts w:eastAsia="Calibri"/>
                          <w:szCs w:val="24"/>
                          <w:lang w:eastAsia="lt-LT"/>
                        </w:rPr>
                        <w:t>11</w:t>
                      </w:r>
                      <w:r>
                        <w:rPr>
                          <w:rFonts w:eastAsia="Calibri"/>
                          <w:szCs w:val="24"/>
                          <w:vertAlign w:val="superscript"/>
                          <w:lang w:eastAsia="lt-LT"/>
                        </w:rPr>
                        <w:t>1</w:t>
                      </w:r>
                    </w:sdtContent>
                  </w:sdt>
                  <w:r>
                    <w:rPr>
                      <w:rFonts w:eastAsia="Calibri"/>
                      <w:szCs w:val="24"/>
                      <w:lang w:eastAsia="lt-LT"/>
                    </w:rPr>
                    <w:t xml:space="preserve">. </w:t>
                  </w:r>
                  <w:r>
                    <w:rPr>
                      <w:rFonts w:eastAsia="Calibri"/>
                      <w:szCs w:val="22"/>
                      <w:lang w:eastAsia="lt-LT"/>
                    </w:rPr>
                    <w:t>Minimali dienos išmoka, nurodyta Nuostatų 10 ir 11 punktuose, taikoma, jei ji yra didesnė už atitinkamą dienos ligos, profesinės reabilitacijos, motinystės, tėvystės ar vaiko priežiūros išmoką, apskaičiuotą pagal vidutinį dienos kompensuojamąjį uždarbį, vadovaujantis Nuostatų 7 ir 8 punktais.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2 p."/>
                <w:tag w:val="part_968c090fba144dedba69d15f1ca2d905"/>
                <w:lock w:val="sdtLocked"/>
                <w:richText/>
              </w:sdtPr>
              <w:sdtContent>
                <w:p>
                  <w:pPr>
                    <w:widowControl w:val="0"/>
                    <w:tabs>
                      <w:tab w:val="left" w:pos="1276"/>
                      <w:tab w:val="left" w:pos="1560"/>
                    </w:tabs>
                    <w:ind w:firstLine="720"/>
                    <w:jc w:val="both"/>
                    <w:rPr>
                      <w:szCs w:val="24"/>
                      <w:lang w:eastAsia="lt-LT"/>
                    </w:rPr>
                  </w:pPr>
                  <w:sdt>
                    <w:sdtPr>
                      <w:alias w:val="Numeris"/>
                      <w:tag w:val="nr_968c090fba144dedba69d15f1ca2d905"/>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(ar)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51db50b03611ec8d9390588bf2de65">
                    <w:r w:rsidRPr="00532B9F">
                      <w:rPr>
                        <w:rFonts w:ascii="Arial" w:eastAsia="MS Mincho" w:hAnsi="Arial"/>
                        <w:sz w:val="20"/>
                        <w:i/>
                        <w:iCs/>
                        <w:color w:val="0000FF" w:themeColor="hyperlink"/>
                        <w:u w:val="single"/>
                      </w:rPr>
                      <w:t>279</w:t>
                    </w:r>
                  </w:fldSimple>
                  <w:r>
                    <w:rPr>
                      <w:rFonts w:ascii="Arial" w:eastAsia="MS Mincho" w:hAnsi="Arial"/>
                      <w:sz w:val="20"/>
                      <w:i/>
                      <w:iCs/>
                    </w:rPr>
                    <w:t>,
2022-03-30,
paskelbta TAR 2022-03-30, i. k. 2022-06331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5b8cc84562a4079943c55218ba06723"/>
                    <w:lock w:val="sdtLocked"/>
                    <w:richText/>
                  </w:sdtPr>
                  <w:sdtContent>
                    <w:p>
                      <w:pPr>
                        <w:widowControl w:val="0"/>
                        <w:tabs>
                          <w:tab w:val="left" w:pos="1276"/>
                          <w:tab w:val="left" w:pos="1418"/>
                        </w:tabs>
                        <w:ind w:firstLine="720"/>
                        <w:jc w:val="both"/>
                        <w:rPr>
                          <w:szCs w:val="24"/>
                          <w:lang w:eastAsia="lt-LT"/>
                        </w:rPr>
                      </w:pPr>
                      <w:sdt>
                        <w:sdtPr>
                          <w:alias w:val="Numeris"/>
                          <w:tag w:val="nr_35b8cc84562a4079943c55218ba06723"/>
                          <w:lock w:val="sdtLocked"/>
                          <w:richText/>
                        </w:sdtPr>
                        <w:sdtContent>
                          <w:r>
                            <w:rPr>
                              <w:color w:val="000000"/>
                              <w:szCs w:val="24"/>
                            </w:rPr>
                            <w:t>17.3</w:t>
                          </w:r>
                        </w:sdtContent>
                      </w:sdt>
                      <w:r>
                        <w:rPr>
                          <w:color w:val="000000"/>
                          <w:szCs w:val="24"/>
                        </w:rPr>
                        <w:t xml:space="preserve">. </w:t>
                      </w:r>
                      <w:r>
                        <w:rPr>
                          <w:szCs w:val="24"/>
                        </w:rPr>
                        <w:t>iki pirmosios tėvystės atostogų dienos už juos buvo sumokėtos motinystės socialinio draudimo įmokos nuo ne mažesnės negu 6 MMA dydžio draudžiamųjų pajamų sumos per paskutinius 24 mėnesius (Įstatymo 19 straipsnio 1 dalies 3 punktas);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Content>
            </w:sdt>
            <w:sdt>
              <w:sdtPr>
                <w:alias w:val="17.4 pp."/>
                <w:tag w:val="part_f7155a2a3a464c959def2ef273fb92f0"/>
                <w:lock w:val="sdtLocked"/>
                <w:richText/>
              </w:sdtPr>
              <w:sdtContent>
                <w:p>
                  <w:pPr>
                    <w:widowControl w:val="0"/>
                    <w:tabs>
                      <w:tab w:val="left" w:pos="1276"/>
                      <w:tab w:val="left" w:pos="1418"/>
                    </w:tabs>
                    <w:ind w:firstLine="720"/>
                    <w:jc w:val="both"/>
                  </w:pPr>
                  <w:sdt>
                    <w:sdtPr>
                      <w:alias w:val="Numeris"/>
                      <w:tag w:val="nr_f7155a2a3a464c959def2ef273fb92f0"/>
                      <w:lock w:val="sdtLocked"/>
                      <w:richText/>
                    </w:sdtPr>
                    <w:sdtContent>
                      <w:r>
                        <w:rPr>
                          <w:szCs w:val="24"/>
                        </w:rPr>
                        <w:t>17.4</w:t>
                      </w:r>
                    </w:sdtContent>
                  </w:sdt>
                  <w:r>
                    <w:rPr>
                      <w:szCs w:val="24"/>
                    </w:rPr>
                    <w:t>. iki pirmosios atostogų vaikui prižiūrėti (toliau – vaiko priežiūros atostogos) dienos už juos buvo sumokėtos motinystės socialinio draudimo įmokos nuo ne mažesnės negu 12 MMA dydžio draudžiamųjų pajamų sumos per paskutinius 24 mėnesius (Įstatymo 22 straipsnio 1 dalies 3 punktas).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fe4ca06b818443058f2cb19bc1a6ed56"/>
                    <w:lock w:val="sdtLocked"/>
                    <w:richText/>
                  </w:sdtPr>
                  <w:sdtContent>
                    <w:p>
                      <w:pPr>
                        <w:tabs>
                          <w:tab w:val="center" w:pos="4153"/>
                          <w:tab w:val="right" w:pos="8306"/>
                        </w:tabs>
                        <w:ind w:firstLine="720"/>
                        <w:jc w:val="both"/>
                        <w:rPr>
                          <w:strike/>
                          <w:szCs w:val="24"/>
                          <w:lang w:eastAsia="lt-LT"/>
                        </w:rPr>
                      </w:pPr>
                      <w:sdt>
                        <w:sdtPr>
                          <w:alias w:val="Numeris"/>
                          <w:tag w:val="nr_fe4ca06b818443058f2cb19bc1a6ed56"/>
                          <w:lock w:val="sdtLocked"/>
                          <w:richText/>
                        </w:sdtPr>
                        <w:sdtContent>
                          <w:r>
                            <w:rPr>
                              <w:szCs w:val="24"/>
                            </w:rPr>
                            <w:t>18.3</w:t>
                          </w:r>
                        </w:sdtContent>
                      </w:sdt>
                      <w:r>
                        <w:rPr>
                          <w:szCs w:val="24"/>
                        </w:rPr>
                        <w:t>. iki pirmosios tėvystės atostogų dienos už juos buvo priskaičiuotos motinystės socialinio draudimo įmokos nuo ne mažesnės negu 6 MMA dydžio draudžiamųjų pajamų sumos per paskutinius 24 mėnesius (Įstatymo 19 straipsnio 1 dalies 3 punktas);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Content>
            </w:sdt>
            <w:sdt>
              <w:sdtPr>
                <w:alias w:val="18.4 pp."/>
                <w:tag w:val="part_3acc424d3769438bb4de851b337b32ca"/>
                <w:lock w:val="sdtLocked"/>
                <w:richText/>
              </w:sdtPr>
              <w:sdtContent>
                <w:p>
                  <w:pPr>
                    <w:tabs>
                      <w:tab w:val="center" w:pos="4153"/>
                      <w:tab w:val="right" w:pos="8306"/>
                    </w:tabs>
                    <w:ind w:firstLine="720"/>
                    <w:jc w:val="both"/>
                  </w:pPr>
                  <w:sdt>
                    <w:sdtPr>
                      <w:alias w:val="Numeris"/>
                      <w:tag w:val="nr_3acc424d3769438bb4de851b337b32ca"/>
                      <w:lock w:val="sdtLocked"/>
                      <w:richText/>
                    </w:sdtPr>
                    <w:sdtContent>
                      <w:r>
                        <w:rPr>
                          <w:szCs w:val="24"/>
                        </w:rPr>
                        <w:t>18.4</w:t>
                      </w:r>
                    </w:sdtContent>
                  </w:sdt>
                  <w:r>
                    <w:rPr>
                      <w:szCs w:val="24"/>
                    </w:rPr>
                    <w:t>. iki pirmosios vaiko priežiūros atostogų dienos už juos buvo priskaičiuotos motinystės socialinio draudimo įmokos nuo ne mažesnės negu 12 MMA dydžio draudžiamųjų pajamų sumos per paskutinius 24 mėnesius (Įstatymo 22 straipsnio 1 dalies 3 punktas);</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52e450465f11e9a221b04854b985af">
                    <w:r w:rsidRPr="00532B9F">
                      <w:rPr>
                        <w:rFonts w:ascii="Arial" w:eastAsia="MS Mincho" w:hAnsi="Arial"/>
                        <w:sz w:val="20"/>
                        <w:i/>
                        <w:iCs/>
                        <w:color w:val="0000FF" w:themeColor="hyperlink"/>
                        <w:u w:val="single"/>
                      </w:rPr>
                      <w:t>228</w:t>
                    </w:r>
                  </w:fldSimple>
                  <w:r>
                    <w:rPr>
                      <w:rFonts w:ascii="Arial" w:eastAsia="MS Mincho" w:hAnsi="Arial"/>
                      <w:sz w:val="20"/>
                      <w:i/>
                      <w:iCs/>
                    </w:rPr>
                    <w:t>,
2019-03-06,
paskelbta TAR 2019-03-14, i. k. 2019-04108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Arial" w:hAnsi="Arial"/>
                      <w:b/>
                      <w:bCs/>
                      <w:sz w:val="22"/>
                    </w:rPr>
                  </w:pPr>
                  <w:r>
                    <w:rPr>
                      <w:rFonts w:ascii="Arial" w:hAnsi="Arial"/>
                      <w:sz w:val="22"/>
                    </w:rPr>
                    <w:t>20</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Arial" w:hAnsi="Arial"/>
                      <w:b/>
                      <w:bCs/>
                      <w:sz w:val="22"/>
                    </w:rPr>
                  </w:pPr>
                  <w:r>
                    <w:rPr>
                      <w:rFonts w:ascii="Arial" w:hAnsi="Arial"/>
                      <w:sz w:val="22"/>
                    </w:rPr>
                    <w:t>22</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Arial" w:hAnsi="Arial"/>
                      <w:b/>
                      <w:bCs/>
                      <w:sz w:val="22"/>
                    </w:rPr>
                  </w:pPr>
                  <w:r>
                    <w:rPr>
                      <w:rFonts w:ascii="Arial" w:hAnsi="Arial"/>
                      <w:sz w:val="22"/>
                    </w:rPr>
                    <w:t>23</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Arial" w:hAnsi="Arial"/>
                      <w:b/>
                      <w:bCs/>
                      <w:sz w:val="22"/>
                    </w:rPr>
                  </w:pPr>
                  <w:r>
                    <w:rPr>
                      <w:rFonts w:ascii="Arial" w:hAnsi="Arial"/>
                      <w:sz w:val="22"/>
                    </w:rPr>
                    <w:t>24</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Arial" w:hAnsi="Arial"/>
                      <w:b/>
                      <w:bCs/>
                      <w:sz w:val="22"/>
                    </w:rPr>
                  </w:pPr>
                  <w:r>
                    <w:rPr>
                      <w:rFonts w:ascii="Arial" w:hAnsi="Arial"/>
                      <w:sz w:val="22"/>
                    </w:rPr>
                    <w:t>25</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Arial" w:hAnsi="Arial"/>
                      <w:b/>
                      <w:bCs/>
                      <w:sz w:val="22"/>
                    </w:rPr>
                  </w:pPr>
                  <w:r>
                    <w:rPr>
                      <w:rFonts w:ascii="Arial" w:hAnsi="Arial"/>
                      <w:sz w:val="22"/>
                    </w:rPr>
                    <w:t>26</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Arial" w:hAnsi="Arial"/>
                      <w:b/>
                      <w:bCs/>
                      <w:sz w:val="22"/>
                    </w:rPr>
                  </w:pPr>
                  <w:r>
                    <w:rPr>
                      <w:rFonts w:ascii="Arial" w:hAnsi="Arial"/>
                      <w:sz w:val="22"/>
                    </w:rPr>
                    <w:t>27</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Arial" w:hAnsi="Arial"/>
                      <w:b/>
                      <w:bCs/>
                      <w:sz w:val="22"/>
                    </w:rPr>
                  </w:pPr>
                  <w:r>
                    <w:rPr>
                      <w:rFonts w:ascii="Arial" w:hAnsi="Arial"/>
                      <w:sz w:val="22"/>
                    </w:rPr>
                    <w:t>28</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Arial" w:hAnsi="Arial"/>
                      <w:b/>
                      <w:bCs/>
                      <w:sz w:val="22"/>
                    </w:rPr>
                  </w:pPr>
                  <w:r>
                    <w:rPr>
                      <w:rFonts w:ascii="Arial" w:hAnsi="Arial"/>
                      <w:sz w:val="22"/>
                    </w:rPr>
                    <w:t>32</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Arial" w:hAnsi="Arial"/>
                      <w:b/>
                      <w:bCs/>
                      <w:sz w:val="22"/>
                    </w:rPr>
                  </w:pPr>
                  <w:r>
                    <w:rPr>
                      <w:rFonts w:ascii="Arial" w:hAnsi="Arial"/>
                      <w:sz w:val="22"/>
                    </w:rPr>
                    <w:t>33</w:t>
                  </w:r>
                  <w:r>
                    <w:rPr>
                      <w:rFonts w:ascii="Arial" w:hAnsi="Arial"/>
                      <w:sz w:val="22"/>
                    </w:rPr>
                    <w:t>.</w:t>
                  </w:r>
                  <w:r>
                    <w:rPr>
                      <w:rFonts w:ascii="Arial" w:eastAsia="MS Mincho" w:hAnsi="Arial"/>
                      <w:sz w:val="20"/>
                      <w:i/>
                      <w:iCs/>
                    </w:rPr>
                    <w:t xml:space="preserve"> Neteko galios nuo 2022-04-01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51db50b03611ec8d9390588bf2de65">
                    <w:r w:rsidRPr="00532B9F">
                      <w:rPr>
                        <w:rFonts w:ascii="Arial" w:eastAsia="MS Mincho" w:hAnsi="Arial"/>
                        <w:sz w:val="20"/>
                        <w:i/>
                        <w:iCs/>
                        <w:color w:val="0000FF" w:themeColor="hyperlink"/>
                        <w:u w:val="single"/>
                      </w:rPr>
                      <w:t>279</w:t>
                    </w:r>
                  </w:fldSimple>
                  <w:r>
                    <w:rPr>
                      <w:rFonts w:ascii="Arial" w:eastAsia="MS Mincho" w:hAnsi="Arial"/>
                      <w:sz w:val="20"/>
                      <w:i/>
                      <w:iCs/>
                    </w:rPr>
                    <w:t>,
2022-03-30,
paskelbta TAR 2022-03-30, i. k. 2022-06331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Arial" w:hAnsi="Arial"/>
                      <w:b/>
                      <w:bCs/>
                      <w:sz w:val="22"/>
                    </w:rPr>
                  </w:pPr>
                  <w:r>
                    <w:rPr>
                      <w:rFonts w:ascii="Arial" w:hAnsi="Arial"/>
                      <w:sz w:val="22"/>
                    </w:rPr>
                    <w:t>34</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Arial" w:hAnsi="Arial"/>
                      <w:b/>
                      <w:bCs/>
                      <w:sz w:val="22"/>
                    </w:rPr>
                  </w:pPr>
                  <w:r>
                    <w:rPr>
                      <w:rFonts w:ascii="Arial" w:hAnsi="Arial"/>
                      <w:sz w:val="22"/>
                    </w:rPr>
                    <w:t>35</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Arial" w:hAnsi="Arial"/>
                      <w:b/>
                      <w:bCs/>
                      <w:sz w:val="22"/>
                    </w:rPr>
                  </w:pPr>
                  <w:r>
                    <w:rPr>
                      <w:rFonts w:ascii="Arial" w:hAnsi="Arial"/>
                      <w:sz w:val="22"/>
                    </w:rPr>
                    <w:t>37</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38 p."/>
                <w:tag w:val="part_aa05e3ce7dc941d08fd4edbfb6b6b3cb"/>
                <w:lock w:val="sdtLocked"/>
                <w:richText/>
              </w:sdtPr>
              <w:sdtContent>
                <w:p>
                  <w:pPr>
                    <w:ind w:firstLine="720"/>
                    <w:jc w:val="both"/>
                  </w:pPr>
                  <w:sdt>
                    <w:sdtPr>
                      <w:alias w:val="Numeris"/>
                      <w:tag w:val="nr_aa05e3ce7dc941d08fd4edbfb6b6b3cb"/>
                      <w:lock w:val="sdtLocked"/>
                      <w:richText/>
                    </w:sdtPr>
                    <w:sdtContent>
                      <w:r>
                        <w:rPr>
                          <w:szCs w:val="24"/>
                        </w:rPr>
                        <w:t>38</w:t>
                      </w:r>
                    </w:sdtContent>
                  </w:sdt>
                  <w:r>
                    <w:rPr>
                      <w:szCs w:val="24"/>
                    </w:rPr>
                    <w:t xml:space="preserve">. </w:t>
                  </w:r>
                  <w: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tvirtinamose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rPr>
                    <w:t xml:space="preserve">Pateisinamomis priežastimis laikoma: ūmus asmens sveikatos sutrikimas, stichinė nelaimė, nelaimingas atsitikimas, šeimos nario mirtis, ūmi liga, kitos objektyvios aplinkybės, </w:t>
                  </w:r>
                  <w:r>
                    <w:t>dėl kurių buvo pažeistos elgesio nedarbingumo metu taisyklės</w:t>
                  </w:r>
                  <w:r>
                    <w:rPr>
                      <w:szCs w:val="24"/>
                    </w:rPr>
                    <w:t>.</w:t>
                  </w:r>
                  <w:r>
                    <w:t xml:space="preserve"> Priežastys pripažįstamos pateisinamomis, kai pateikiami ir (ar) gaunami jas patvirtinantys dokumentai ir (ar) duomenys</w:t>
                  </w:r>
                  <w:r>
                    <w:rPr>
                      <w:szCs w:val="24"/>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38-1 p."/>
                <w:tag w:val="part_8f41c115dfbf45219b4af2be53017213"/>
                <w:lock w:val="sdtLocked"/>
                <w:richText/>
              </w:sdtPr>
              <w:sdtContent>
                <w:p>
                  <w:pPr>
                    <w:ind w:firstLine="720"/>
                    <w:jc w:val="both"/>
                    <w:rPr>
                      <w:szCs w:val="24"/>
                      <w:lang w:eastAsia="lt-LT"/>
                    </w:rPr>
                  </w:pPr>
                  <w:sdt>
                    <w:sdtPr>
                      <w:alias w:val="Numeris"/>
                      <w:tag w:val="nr_8f41c115dfbf45219b4af2be53017213"/>
                      <w:lock w:val="sdtLocked"/>
                      <w:richText/>
                    </w:sdtPr>
                    <w:sdtContent>
                      <w:r>
                        <w:t>38</w:t>
                      </w:r>
                      <w:r>
                        <w:rPr>
                          <w:vertAlign w:val="superscript"/>
                        </w:rPr>
                        <w:t>1</w:t>
                      </w:r>
                    </w:sdtContent>
                  </w:sdt>
                  <w:r>
                    <w:t xml:space="preserve">. Jei elgesio nedarbingumo metu taisyklių, nustatytų sveikatos apsaugos ministro ir socialinės apsaugos ir darbo ministro tvirtinamose elektroninių nedarbingumo pažymėjimų bei elektroninių nėštumo ir gimdymo atostogų pažymėjimų išdavimo taisyklėse, pažeidimus nustato darbdavys, sudaręs komisiją, jis duomenis apie elgesio nedarbingumo metu taisyklių pažeidimus (asmens vardą, pavardę, gimimo datą, pažeistas elgesio nedarbingumo metu taisykles) ir </w:t>
                  </w:r>
                  <w:r>
                    <w:rPr>
                      <w:color w:val="000000"/>
                    </w:rPr>
                    <w:t xml:space="preserve">dokumentus, įrodančius </w:t>
                  </w:r>
                  <w:r>
                    <w:t>elgesio nedarbingumo metu taisyklių pažeidimus,</w:t>
                  </w:r>
                  <w:r>
                    <w:rPr>
                      <w:color w:val="000000"/>
                    </w:rPr>
                    <w:t xml:space="preserve"> pateikia Valstybinio socialinio draudimo fondo valdybos teritoriniam skyriui. Jei Valstybinio socialinio draudimo fondo valdybos teritorinis skyrius, remdamasis pateiktais ir (ar) gautais dokumentais ir (ar) duomenimis, nenustato pateisinamų priežasčių, nurodytų Nuostatų 38 punkte, jo sprendimu ligos išmoka neskiriama arba jos mokėjimas nutraukiamas nuo pažeidimo padarymo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39 p."/>
                <w:tag w:val="part_ea8b38004f8d4ccaa0cc530d412fabb3"/>
                <w:lock w:val="sdtLocked"/>
                <w:richText/>
              </w:sdtPr>
              <w:sdtContent>
                <w:p>
                  <w:pPr>
                    <w:widowControl w:val="0"/>
                    <w:tabs>
                      <w:tab w:val="left" w:pos="993"/>
                      <w:tab w:val="left" w:pos="1276"/>
                    </w:tabs>
                    <w:ind w:firstLine="720"/>
                    <w:jc w:val="both"/>
                    <w:rPr>
                      <w:szCs w:val="24"/>
                      <w:lang w:eastAsia="lt-LT"/>
                    </w:rPr>
                  </w:pPr>
                  <w:sdt>
                    <w:sdtPr>
                      <w:alias w:val="Numeris"/>
                      <w:tag w:val="nr_ea8b38004f8d4ccaa0cc530d412fabb3"/>
                      <w:lock w:val="sdtLocked"/>
                      <w:richText/>
                    </w:sdtPr>
                    <w:sdtContent>
                      <w:r>
                        <w:t>39</w:t>
                      </w:r>
                    </w:sdtContent>
                  </w:sdt>
                  <w:r>
                    <w:t xml:space="preserve">. Duomenis apie pareigūnų ar karių elgesio nedarbingumo metu taisyklių, nustatytų sveikatos apsaugos ministro ir socialinės apsaugos ir darbo ministro tvirtinamose elektroninių nedarbingumo pažymėjimų bei elektroninių nėštumo ir gimdymo atostogų pažymėjimų išdavimo taisyklėse, pažeidimus (pareigūno ar kario vardą, pavardę, gimimo datą, pažeistas elgesio nedarbingumo metu taisykles) ir informaciją apie tai, kad elgesio nedarbingumo metu taisyklės pažeistos dėl nepateisinamų priežasčių, Fondo valdybos Vilniaus skyriui pateikia institucijos, kuriose tarnauja pareigūnai ar kariai. </w:t>
                  </w:r>
                  <w:r>
                    <w:rPr>
                      <w:color w:val="000000"/>
                      <w:szCs w:val="24"/>
                    </w:rPr>
                    <w:t>Pateisinamomis priežastimis laikomos priežastys, nurodytos Nuostatų 38 punkte.</w:t>
                  </w:r>
                  <w:r>
                    <w:t xml:space="preserve"> Remiantis pateiktais duomenimis ir informacija, ligos išmoka Fondo valdybos Vilniaus skyriaus sprendimu neskiriama arba jos mokėjimas nutraukiamas nuo pažeidimo padarymo dienos.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Arial" w:hAnsi="Arial"/>
                      <w:b/>
                      <w:bCs/>
                      <w:sz w:val="22"/>
                    </w:rPr>
                  </w:pPr>
                  <w:r>
                    <w:rPr>
                      <w:rFonts w:ascii="Arial" w:hAnsi="Arial"/>
                      <w:sz w:val="22"/>
                    </w:rPr>
                    <w:t>40</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Arial" w:hAnsi="Arial"/>
                      <w:b/>
                      <w:bCs/>
                      <w:sz w:val="22"/>
                    </w:rPr>
                  </w:pPr>
                  <w:r>
                    <w:rPr>
                      <w:rFonts w:ascii="Arial" w:hAnsi="Arial"/>
                      <w:sz w:val="22"/>
                    </w:rPr>
                    <w:t>41</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Arial" w:hAnsi="Arial"/>
                      <w:b/>
                      <w:bCs/>
                      <w:sz w:val="22"/>
                    </w:rPr>
                  </w:pPr>
                  <w:r>
                    <w:rPr>
                      <w:rFonts w:ascii="Arial" w:hAnsi="Arial"/>
                      <w:sz w:val="22"/>
                    </w:rPr>
                    <w:t>45</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Arial" w:hAnsi="Arial"/>
                      <w:b/>
                      <w:bCs/>
                      <w:sz w:val="22"/>
                    </w:rPr>
                  </w:pPr>
                  <w:r>
                    <w:rPr>
                      <w:rFonts w:ascii="Arial" w:hAnsi="Arial"/>
                      <w:sz w:val="22"/>
                    </w:rPr>
                    <w:t>47</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Arial" w:hAnsi="Arial"/>
                      <w:b/>
                      <w:bCs/>
                      <w:sz w:val="22"/>
                    </w:rPr>
                  </w:pPr>
                  <w:r>
                    <w:rPr>
                      <w:rFonts w:ascii="Arial" w:hAnsi="Arial"/>
                      <w:sz w:val="22"/>
                    </w:rPr>
                    <w:t>48</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Arial" w:hAnsi="Arial"/>
                      <w:b/>
                      <w:bCs/>
                      <w:sz w:val="22"/>
                    </w:rPr>
                  </w:pPr>
                  <w:r>
                    <w:rPr>
                      <w:rFonts w:ascii="Arial" w:hAnsi="Arial"/>
                      <w:sz w:val="22"/>
                    </w:rPr>
                    <w:t>49</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49-1 p."/>
                <w:tag w:val="part_34470853afec4764bf20a6430fd3f970"/>
                <w:lock w:val="sdtLocked"/>
                <w:richText/>
              </w:sdtPr>
              <w:sdtContent>
                <w:p>
                  <w:pPr>
                    <w:widowControl w:val="0"/>
                    <w:tabs>
                      <w:tab w:val="left" w:pos="993"/>
                      <w:tab w:val="left" w:pos="1276"/>
                    </w:tabs>
                    <w:ind w:firstLine="720"/>
                    <w:jc w:val="both"/>
                  </w:pPr>
                  <w:sdt>
                    <w:sdtPr>
                      <w:alias w:val="Numeris"/>
                      <w:tag w:val="nr_34470853afec4764bf20a6430fd3f970"/>
                      <w:lock w:val="sdtLocked"/>
                      <w:richText/>
                    </w:sdtPr>
                    <w:sdtContent>
                      <w:r>
                        <w:rPr>
                          <w:color w:val="000000"/>
                          <w:szCs w:val="24"/>
                        </w:rPr>
                        <w:t>49</w:t>
                      </w:r>
                      <w:r>
                        <w:rPr>
                          <w:color w:val="000000"/>
                          <w:szCs w:val="24"/>
                          <w:vertAlign w:val="superscript"/>
                        </w:rPr>
                        <w:t>1</w:t>
                      </w:r>
                    </w:sdtContent>
                  </w:sdt>
                  <w:r>
                    <w:rPr>
                      <w:color w:val="000000"/>
                      <w:szCs w:val="24"/>
                    </w:rPr>
                    <w:t>.</w:t>
                  </w:r>
                  <w:r>
                    <w:rPr>
                      <w:i/>
                      <w:iCs/>
                      <w:color w:val="000000"/>
                      <w:szCs w:val="24"/>
                    </w:rPr>
                    <w:t> </w:t>
                  </w:r>
                  <w:r>
                    <w:rPr>
                      <w:color w:val="000000"/>
                      <w:szCs w:val="24"/>
                    </w:rPr>
                    <w:t>Tėvystės išmoka asmenims, turintiems teisę į tėvystės išmoką, už gimusį ar įvaikintą vaiką (-us), nepriklausomai nuo vienu kartu gimusių ar įvaikintų vaikų skaičiaus, skiriama ir mokama už ne ilgesnį kaip 30 kalendorinių dienų laikotarpį, kuris gali būti skaidomas į ne daugiau kaip dvi dalis. Įvaikinus vaiką (-us), 30 kalendorinių dienų laikotarpis gali būti skaidomas į ne daugiau kaip dvi dalis per vienus metus nuo teismo sprendimo įvaikinti įsiteisėjimo (skubaus vykdymo atveju – nuo sprendimo vykdymo pradžios) dienos. Jei, pasinaudojus tėvystės atostogų ar tėvystės laikotarpio dalimi, šios atostogos ar šis laikotarpis be pertraukos pratęsiami</w:t>
                  </w:r>
                  <w:r>
                    <w:t xml:space="preserve"> ir kartu su pratęsimu sudaro ne daugiau kaip 29 kalendorines dienas</w:t>
                  </w:r>
                  <w:r>
                    <w:rPr>
                      <w:color w:val="000000"/>
                      <w:szCs w:val="24"/>
                    </w:rPr>
                    <w:t>, laikoma, kad asmuo pasinaudojo viena tėvystės atostogų ar tėvystės laikotarpio dalimi.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49-2 p."/>
                <w:tag w:val="part_e3f5db0ab16f4d7a8ac76f58ace6427e"/>
                <w:lock w:val="sdtLocked"/>
                <w:richText/>
              </w:sdtPr>
              <w:sdtContent>
                <w:p>
                  <w:pPr>
                    <w:widowControl w:val="0"/>
                    <w:tabs>
                      <w:tab w:val="left" w:pos="993"/>
                      <w:tab w:val="left" w:pos="1276"/>
                    </w:tabs>
                    <w:ind w:firstLine="720"/>
                    <w:jc w:val="both"/>
                  </w:pPr>
                  <w:sdt>
                    <w:sdtPr>
                      <w:alias w:val="Numeris"/>
                      <w:tag w:val="nr_e3f5db0ab16f4d7a8ac76f58ace6427e"/>
                      <w:lock w:val="sdtLocked"/>
                      <w:richText/>
                    </w:sdtPr>
                    <w:sdtContent>
                      <w:r>
                        <w:rPr>
                          <w:color w:val="000000"/>
                          <w:szCs w:val="24"/>
                        </w:rPr>
                        <w:t>49</w:t>
                      </w:r>
                      <w:r>
                        <w:rPr>
                          <w:color w:val="000000"/>
                          <w:szCs w:val="24"/>
                          <w:vertAlign w:val="superscript"/>
                        </w:rPr>
                        <w:t>2</w:t>
                      </w:r>
                    </w:sdtContent>
                  </w:sdt>
                  <w:r>
                    <w:rPr>
                      <w:color w:val="000000"/>
                      <w:szCs w:val="24"/>
                    </w:rPr>
                    <w:t>. Tėvystės išmoka už gimusį vaiką (-us) skiriama ir mokama už ne ilgesnį kaip 30 kalendorinių dienų tėvystės atostogų ar tėvystės laikotarpį nuo vaiko (-ų) gimimo, iki vaikui (-ams) sukanka vieni metai.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49-3 p."/>
                <w:tag w:val="part_804664bf1bf44a30ba72bc9a1df83f19"/>
                <w:lock w:val="sdtLocked"/>
                <w:richText/>
              </w:sdtPr>
              <w:sdtContent>
                <w:p>
                  <w:pPr>
                    <w:ind w:firstLine="720"/>
                    <w:jc w:val="both"/>
                  </w:pPr>
                  <w:sdt>
                    <w:sdtPr>
                      <w:alias w:val="Numeris"/>
                      <w:tag w:val="nr_804664bf1bf44a30ba72bc9a1df83f19"/>
                      <w:lock w:val="sdtLocked"/>
                      <w:richText/>
                    </w:sdtPr>
                    <w:sdtContent>
                      <w:r>
                        <w:rPr>
                          <w:color w:val="000000"/>
                          <w:szCs w:val="24"/>
                          <w:lang w:eastAsia="lt-LT"/>
                        </w:rPr>
                        <w:t>49</w:t>
                      </w:r>
                      <w:r>
                        <w:rPr>
                          <w:color w:val="000000"/>
                          <w:szCs w:val="24"/>
                          <w:vertAlign w:val="superscript"/>
                          <w:lang w:eastAsia="lt-LT"/>
                        </w:rPr>
                        <w:t>3</w:t>
                      </w:r>
                    </w:sdtContent>
                  </w:sdt>
                  <w:r>
                    <w:rPr>
                      <w:color w:val="000000"/>
                      <w:szCs w:val="24"/>
                      <w:lang w:eastAsia="lt-LT"/>
                    </w:rPr>
                    <w:t>. Įvaikinus vaiką (-us), tėvystės išmoka už antrą tėvystės atostogų dalį ar pasirenkamą antrą tėvystės laikotarpio dalį mokama tik tuo atveju, jeigu pirma tėvystės atostogų dalis ar pasirenkama pirma tėvystės laikotarpio dalis prasidėjo ne vėliau kaip per vieną mėnesį nuo</w:t>
                  </w:r>
                  <w:r>
                    <w:rPr>
                      <w:szCs w:val="24"/>
                      <w:lang w:eastAsia="lt-LT"/>
                    </w:rPr>
                    <w:t xml:space="preserve"> </w:t>
                  </w:r>
                  <w:r>
                    <w:rPr>
                      <w:color w:val="000000"/>
                      <w:szCs w:val="24"/>
                      <w:lang w:eastAsia="lt-LT"/>
                    </w:rPr>
                    <w:t>teismo sprendimo įvaikinti įsiteisėjimo (skubaus vykdymo atveju – per vieną mėnesį nuo sprendimo vykdymo pradžios)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49-4 p."/>
                <w:tag w:val="part_8977b786314449b5ac6650c549089794"/>
                <w:lock w:val="sdtLocked"/>
                <w:richText/>
              </w:sdtPr>
              <w:sdtContent>
                <w:p>
                  <w:pPr>
                    <w:widowControl w:val="0"/>
                    <w:tabs>
                      <w:tab w:val="left" w:pos="1276"/>
                    </w:tabs>
                    <w:ind w:firstLine="720"/>
                    <w:jc w:val="both"/>
                  </w:pPr>
                  <w:sdt>
                    <w:sdtPr>
                      <w:alias w:val="Numeris"/>
                      <w:tag w:val="nr_8977b786314449b5ac6650c549089794"/>
                      <w:lock w:val="sdtLocked"/>
                      <w:richText/>
                    </w:sdtPr>
                    <w:sdtContent>
                      <w:r>
                        <w:rPr>
                          <w:rFonts w:eastAsia="Calibri"/>
                          <w:color w:val="000000"/>
                          <w:szCs w:val="22"/>
                          <w:lang w:eastAsia="lt-LT"/>
                        </w:rPr>
                        <w:t>49</w:t>
                      </w:r>
                      <w:r>
                        <w:rPr>
                          <w:rFonts w:eastAsia="Calibri"/>
                          <w:color w:val="000000"/>
                          <w:szCs w:val="22"/>
                          <w:vertAlign w:val="superscript"/>
                          <w:lang w:eastAsia="lt-LT"/>
                        </w:rPr>
                        <w:t>4</w:t>
                      </w:r>
                    </w:sdtContent>
                  </w:sdt>
                  <w:r>
                    <w:rPr>
                      <w:rFonts w:eastAsia="Calibri"/>
                      <w:color w:val="000000"/>
                      <w:szCs w:val="22"/>
                      <w:lang w:eastAsia="lt-LT"/>
                    </w:rPr>
                    <w:t>. Jei apdraustasis asmuo už tą patį gimusį ar įvaikintą vaiką pasirinko tėvystės atostogas arba tėvystės laikotarpį skaidyti į dvi dalis su pertrauka, teisė į antrą tėvystės išmokos dalį nustatoma ir asmens vidutinis dienos kompensuojamasis uždarbis, apribotas maksimaliu dienos kompensuojamojo uždarbio dydžiu, bei minimali dienos tėvystės išmoka apskaičiuojami iš naujo.</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50 p."/>
                <w:tag w:val="part_d755d40d3e0e473aa6776146ba2b24eb"/>
                <w:lock w:val="sdtLocked"/>
                <w:richText/>
              </w:sdtPr>
              <w:sdtContent>
                <w:p>
                  <w:pPr>
                    <w:widowControl w:val="0"/>
                    <w:tabs>
                      <w:tab w:val="left" w:pos="1276"/>
                    </w:tabs>
                    <w:ind w:firstLine="720"/>
                    <w:jc w:val="both"/>
                  </w:pPr>
                  <w:sdt>
                    <w:sdtPr>
                      <w:alias w:val="Numeris"/>
                      <w:tag w:val="nr_d755d40d3e0e473aa6776146ba2b24eb"/>
                      <w:lock w:val="sdtLocked"/>
                      <w:richText/>
                    </w:sdtPr>
                    <w:sdtContent>
                      <w:r>
                        <w:rPr>
                          <w:rFonts w:eastAsia="Calibri"/>
                          <w:szCs w:val="24"/>
                          <w:lang w:eastAsia="lt-LT"/>
                        </w:rPr>
                        <w:t>50</w:t>
                      </w:r>
                    </w:sdtContent>
                  </w:sdt>
                  <w:r>
                    <w:rPr>
                      <w:rFonts w:eastAsia="Calibri"/>
                      <w:szCs w:val="24"/>
                      <w:lang w:eastAsia="lt-LT"/>
                    </w:rPr>
                    <w:t>. Jeigu apdraustasis asmuo iki vaiko vienų metų sukakties arba per pirmuosius vaiko įvaikinimo metus pasinaudoja ne visomis tėvystės atostogomis ar ne visu tėvystės laikotarpiu, o tik dalimi, tėvystės išmoka mokama už šią atostogų ar laikotarpio dalį.</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0-1 p."/>
                <w:tag w:val="part_660520a9652844fa8200d99c0a4e1412"/>
                <w:lock w:val="sdtLocked"/>
                <w:richText/>
              </w:sdtPr>
              <w:sdtContent>
                <w:p>
                  <w:pPr>
                    <w:widowControl w:val="0"/>
                    <w:tabs>
                      <w:tab w:val="left" w:pos="1276"/>
                    </w:tabs>
                    <w:ind w:firstLine="720"/>
                    <w:jc w:val="both"/>
                  </w:pPr>
                  <w:sdt>
                    <w:sdtPr>
                      <w:alias w:val="Numeris"/>
                      <w:tag w:val="nr_660520a9652844fa8200d99c0a4e1412"/>
                      <w:lock w:val="sdtLocked"/>
                      <w:richText/>
                    </w:sdtPr>
                    <w:sdtContent>
                      <w:r>
                        <w:rPr>
                          <w:rFonts w:eastAsia="Calibri"/>
                          <w:szCs w:val="24"/>
                          <w:lang w:eastAsia="lt-LT"/>
                        </w:rPr>
                        <w:t>50</w:t>
                      </w:r>
                      <w:r>
                        <w:rPr>
                          <w:rFonts w:eastAsia="Calibri"/>
                          <w:color w:val="000000"/>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Įstatymo 19 straipsnio 3 dalyje nustatytu atveju, jei gimęs vaikas miršta arba jei gimsta negyvas vaikas ir dar nebuvo prasidėjusios apdraustojo asmens tėvystės atostogos ar tėvystės laikotarpis (ar jų dalis), tėvystės išmoka turintiems teisę ją gauti asmenims išmokama vienu kartu už visą ne ilgesnį nei 30 kalendorinių dienų laikotarpį arba už likusį nepanaudotą iki 30 kalendorinių dienų laikotarpį, jeigu iki gimusio vaiko mirties jau buvo pasinaudota pirma tėvystės atostogų dalimi ar pirma pasirinkto tėvystės laikotarpio dalimi.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0-2 p."/>
                <w:tag w:val="part_97629be0d58b463aaa448a52d545a1d3"/>
                <w:lock w:val="sdtLocked"/>
                <w:richText/>
              </w:sdtPr>
              <w:sdtContent>
                <w:p>
                  <w:pPr>
                    <w:widowControl w:val="0"/>
                    <w:tabs>
                      <w:tab w:val="left" w:pos="1276"/>
                    </w:tabs>
                    <w:ind w:firstLine="720"/>
                    <w:jc w:val="both"/>
                    <w:rPr>
                      <w:szCs w:val="24"/>
                      <w:lang w:eastAsia="lt-LT"/>
                    </w:rPr>
                  </w:pPr>
                  <w:sdt>
                    <w:sdtPr>
                      <w:alias w:val="Numeris"/>
                      <w:tag w:val="nr_97629be0d58b463aaa448a52d545a1d3"/>
                      <w:lock w:val="sdtLocked"/>
                      <w:richText/>
                    </w:sdtPr>
                    <w:sdtContent>
                      <w:r>
                        <w:rPr>
                          <w:rFonts w:eastAsia="Calibri"/>
                          <w:color w:val="000000"/>
                          <w:szCs w:val="24"/>
                          <w:lang w:eastAsia="lt-LT"/>
                        </w:rPr>
                        <w:t>50</w:t>
                      </w:r>
                      <w:r>
                        <w:rPr>
                          <w:rFonts w:eastAsia="Calibri"/>
                          <w:color w:val="000000"/>
                          <w:szCs w:val="24"/>
                          <w:vertAlign w:val="superscript"/>
                          <w:lang w:eastAsia="lt-LT"/>
                        </w:rPr>
                        <w:t>2</w:t>
                      </w:r>
                    </w:sdtContent>
                  </w:sdt>
                  <w:r>
                    <w:rPr>
                      <w:rFonts w:eastAsia="Calibri"/>
                      <w:color w:val="000000"/>
                      <w:szCs w:val="24"/>
                      <w:lang w:eastAsia="lt-LT"/>
                    </w:rPr>
                    <w:t xml:space="preserve">. Jei, suteikus dalį tėvystės atostogų ar pasirinkus dalį tėvystės laikotarpio, jų metu vaikas miršta, tėvystės išmoka skiriama ir mokama iki tėvystės atostogų arba tėvystės laikotarpio pabaigos ir tais atvejais, kai prasidėjusios tėvystės atostogos ar tėvystės laikotarpis pratęsiami </w:t>
                  </w:r>
                  <w:r>
                    <w:rPr>
                      <w:rFonts w:eastAsia="Calibri"/>
                      <w:szCs w:val="22"/>
                      <w:lang w:eastAsia="lt-LT"/>
                    </w:rPr>
                    <w:t>likusiam nepanaudotam iki 30 kalendorinių dienų</w:t>
                  </w:r>
                  <w:r>
                    <w:rPr>
                      <w:rFonts w:eastAsia="Calibri"/>
                      <w:color w:val="000000"/>
                      <w:szCs w:val="24"/>
                      <w:lang w:eastAsia="lt-LT"/>
                    </w:rPr>
                    <w:t xml:space="preserve"> laikotarpiui.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1 p."/>
                <w:tag w:val="part_fe44fb6207bc47e694d27f7491eee612"/>
                <w:lock w:val="sdtLocked"/>
                <w:richText/>
              </w:sdtPr>
              <w:sdtContent>
                <w:p>
                  <w:pPr>
                    <w:pStyle w:val="PlainText"/>
                    <w:ind w:firstLine="567"/>
                    <w:jc w:val="both"/>
                    <w:rPr>
                      <w:rFonts w:ascii="Arial" w:hAnsi="Arial"/>
                      <w:b/>
                      <w:bCs/>
                      <w:sz w:val="22"/>
                    </w:rPr>
                  </w:pPr>
                  <w:r>
                    <w:rPr>
                      <w:rFonts w:ascii="Arial" w:hAnsi="Arial"/>
                      <w:sz w:val="22"/>
                    </w:rPr>
                    <w:t>51</w:t>
                  </w:r>
                  <w:r>
                    <w:rPr>
                      <w:rFonts w:ascii="Arial" w:hAnsi="Arial"/>
                      <w:sz w:val="22"/>
                    </w:rPr>
                    <w:t>.</w:t>
                  </w:r>
                  <w:r>
                    <w:rPr>
                      <w:rFonts w:ascii="Arial" w:eastAsia="MS Mincho" w:hAnsi="Arial"/>
                      <w:sz w:val="20"/>
                      <w:i/>
                      <w:iCs/>
                    </w:rPr>
                    <w:t xml:space="preserve"> Neteko galios nuo 2023-01-01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2 p."/>
                <w:tag w:val="part_9856b4029b4543bfa679239b1b144917"/>
                <w:lock w:val="sdtLocked"/>
                <w:richText/>
              </w:sdtPr>
              <w:sdtContent>
                <w:p>
                  <w:pPr>
                    <w:pStyle w:val="PlainText"/>
                    <w:ind w:firstLine="567"/>
                    <w:jc w:val="both"/>
                    <w:rPr>
                      <w:rFonts w:ascii="Arial" w:hAnsi="Arial"/>
                      <w:b/>
                      <w:bCs/>
                      <w:sz w:val="22"/>
                    </w:rPr>
                  </w:pPr>
                  <w:r>
                    <w:rPr>
                      <w:rFonts w:ascii="Arial" w:hAnsi="Arial"/>
                      <w:sz w:val="22"/>
                    </w:rPr>
                    <w:t>52</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Arial" w:hAnsi="Arial"/>
                      <w:b/>
                      <w:bCs/>
                      <w:sz w:val="22"/>
                    </w:rPr>
                  </w:pPr>
                  <w:r>
                    <w:rPr>
                      <w:rFonts w:ascii="Arial" w:hAnsi="Arial"/>
                      <w:sz w:val="22"/>
                    </w:rPr>
                    <w:t>53</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54 p."/>
                <w:tag w:val="part_c4182b8324c049a89d57f9e1bcadd872"/>
                <w:lock w:val="sdtLocked"/>
                <w:richText/>
              </w:sdtPr>
              <w:sdtContent>
                <w:p>
                  <w:pPr>
                    <w:widowControl w:val="0"/>
                    <w:tabs>
                      <w:tab w:val="left" w:pos="1276"/>
                    </w:tabs>
                    <w:ind w:firstLine="720"/>
                    <w:jc w:val="both"/>
                    <w:rPr>
                      <w:szCs w:val="24"/>
                      <w:lang w:eastAsia="lt-LT"/>
                    </w:rPr>
                  </w:pPr>
                  <w:sdt>
                    <w:sdtPr>
                      <w:alias w:val="Numeris"/>
                      <w:tag w:val="nr_c4182b8324c049a89d57f9e1bcadd872"/>
                      <w:lock w:val="sdtLocked"/>
                      <w:richText/>
                    </w:sdtPr>
                    <w:sdtContent>
                      <w:r>
                        <w:rPr>
                          <w:rFonts w:eastAsia="Calibri"/>
                          <w:szCs w:val="24"/>
                          <w:lang w:eastAsia="lt-LT"/>
                        </w:rPr>
                        <w:t>54</w:t>
                      </w:r>
                    </w:sdtContent>
                  </w:sdt>
                  <w:r>
                    <w:rPr>
                      <w:rFonts w:eastAsia="Calibri"/>
                      <w:szCs w:val="24"/>
                      <w:lang w:eastAsia="lt-LT"/>
                    </w:rPr>
                    <w:t>. Vaiko priežiūros išmoka mokama Įstatymo 23 straipsnio 1 dalyje nustatyta tvarka, įskaitant dieną, kurią vaikui sueina 18 mėnesių ar 24 mėnesiai.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5-1 p."/>
                <w:tag w:val="part_ce620364520845b6a2c5a78e899a305d"/>
                <w:lock w:val="sdtLocked"/>
                <w:richText/>
              </w:sdtPr>
              <w:sdtContent>
                <w:p>
                  <w:pPr>
                    <w:widowControl w:val="0"/>
                    <w:tabs>
                      <w:tab w:val="left" w:pos="1276"/>
                      <w:tab w:val="left" w:pos="1560"/>
                    </w:tabs>
                    <w:ind w:firstLine="720"/>
                    <w:jc w:val="both"/>
                    <w:rPr>
                      <w:szCs w:val="24"/>
                      <w:lang w:eastAsia="lt-LT"/>
                    </w:rPr>
                  </w:pPr>
                  <w:sdt>
                    <w:sdtPr>
                      <w:alias w:val="Numeris"/>
                      <w:tag w:val="nr_ce620364520845b6a2c5a78e899a305d"/>
                      <w:lock w:val="sdtLocked"/>
                      <w:richText/>
                    </w:sdtPr>
                    <w:sdtContent>
                      <w:r>
                        <w:rPr>
                          <w:rFonts w:eastAsia="Calibri"/>
                          <w:color w:val="000000"/>
                          <w:szCs w:val="22"/>
                          <w:lang w:eastAsia="lt-LT"/>
                        </w:rPr>
                        <w:t>55</w:t>
                      </w:r>
                      <w:r>
                        <w:rPr>
                          <w:rFonts w:eastAsia="Calibri"/>
                          <w:color w:val="000000"/>
                          <w:szCs w:val="22"/>
                          <w:vertAlign w:val="superscript"/>
                          <w:lang w:eastAsia="lt-LT"/>
                        </w:rPr>
                        <w:t>1</w:t>
                      </w:r>
                    </w:sdtContent>
                  </w:sdt>
                  <w:r>
                    <w:rPr>
                      <w:rFonts w:eastAsia="Calibri"/>
                      <w:color w:val="000000"/>
                      <w:szCs w:val="22"/>
                      <w:lang w:eastAsia="lt-LT"/>
                    </w:rPr>
                    <w:t>. Jeigu kitas iš tėvų (įtėvių), globėjų ar senelių kreipiasi dėl vaiko priežiūros išmokos už tą patį vaiką (tuos pačius vaikus), jiems skiriamos išmokos mokėjimo trukmė nustatoma pagal pirmojo iš tėvų (įtėvių), globėjų ar senelių pasirinktą išmokos mokėjimo trukmę.</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56 p."/>
                <w:tag w:val="part_c7734803a34747c69978c845d5e7cb7a"/>
                <w:lock w:val="sdtLocked"/>
                <w:richText/>
              </w:sdtPr>
              <w:sdtContent>
                <w:p>
                  <w:pPr>
                    <w:widowControl w:val="0"/>
                    <w:tabs>
                      <w:tab w:val="left" w:pos="1276"/>
                    </w:tabs>
                    <w:ind w:firstLine="720"/>
                    <w:jc w:val="both"/>
                  </w:pPr>
                  <w:sdt>
                    <w:sdtPr>
                      <w:alias w:val="Numeris"/>
                      <w:tag w:val="nr_c7734803a34747c69978c845d5e7cb7a"/>
                      <w:lock w:val="sdtLocked"/>
                      <w:richText/>
                    </w:sdtPr>
                    <w:sdtContent>
                      <w:r>
                        <w:rPr>
                          <w:rFonts w:eastAsia="Calibri"/>
                          <w:szCs w:val="24"/>
                          <w:lang w:eastAsia="lt-LT"/>
                        </w:rPr>
                        <w:t>56</w:t>
                      </w:r>
                    </w:sdtContent>
                  </w:sdt>
                  <w:r>
                    <w:rPr>
                      <w:rFonts w:eastAsia="Calibri"/>
                      <w:szCs w:val="24"/>
                      <w:lang w:eastAsia="lt-LT"/>
                    </w:rPr>
                    <w:t>. Jeigu asmuo, gaunantis (gavęs pirmaisiais vaiko, gimusio ar įvaikinto iki 2022 m. gruodžio 31 d., auginimo metais arba 18 mėnesių laikotarpiu už vaiką, gimusį ar įvaikintą 2023 m. sausio 1 d. ir vėliau)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išmokos mokėjimo trukmė keičiama šią išmoką gaunančiam (gavusiam pirmaisiais vaiko, gimusio ar įvaikinto iki 2022 m. gruodžio 31 d., auginimo metais arba 18 mėnesių laikotarpiu už vaiką, gimusį ar įvaikintą 2023 m. sausio 1 d. ir vėliau) asmeniui, permokėta suma įskaitoma į mokėtiną išmokos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51db50b03611ec8d9390588bf2de65">
                    <w:r w:rsidRPr="00532B9F">
                      <w:rPr>
                        <w:rFonts w:ascii="Arial" w:eastAsia="MS Mincho" w:hAnsi="Arial"/>
                        <w:sz w:val="20"/>
                        <w:i/>
                        <w:iCs/>
                        <w:color w:val="0000FF" w:themeColor="hyperlink"/>
                        <w:u w:val="single"/>
                      </w:rPr>
                      <w:t>279</w:t>
                    </w:r>
                  </w:fldSimple>
                  <w:r>
                    <w:rPr>
                      <w:rFonts w:ascii="Arial" w:eastAsia="MS Mincho" w:hAnsi="Arial"/>
                      <w:sz w:val="20"/>
                      <w:i/>
                      <w:iCs/>
                    </w:rPr>
                    <w:t>,
2022-03-30,
paskelbta TAR 2022-03-30, i. k. 2022-06331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51db50b03611ec8d9390588bf2de65">
                    <w:r w:rsidRPr="00532B9F">
                      <w:rPr>
                        <w:rFonts w:ascii="Arial" w:eastAsia="MS Mincho" w:hAnsi="Arial"/>
                        <w:sz w:val="20"/>
                        <w:i/>
                        <w:iCs/>
                        <w:color w:val="0000FF" w:themeColor="hyperlink"/>
                        <w:u w:val="single"/>
                      </w:rPr>
                      <w:t>279</w:t>
                    </w:r>
                  </w:fldSimple>
                  <w:r>
                    <w:rPr>
                      <w:rFonts w:ascii="Arial" w:eastAsia="MS Mincho" w:hAnsi="Arial"/>
                      <w:sz w:val="20"/>
                      <w:i/>
                      <w:iCs/>
                    </w:rPr>
                    <w:t>,
2022-03-30,
paskelbta TAR 2022-03-30, i. k. 2022-06331        </w:t>
                  </w:r>
                </w:p>
                <w:p/>
              </w:sdtContent>
            </w:sdt>
            <w:sdt>
              <w:sdtPr>
                <w:alias w:val="57 p."/>
                <w:tag w:val="part_d9827991279f4f2284ee10b11340eed7"/>
                <w:lock w:val="sdtLocked"/>
                <w:richText/>
              </w:sdtPr>
              <w:sdtContent>
                <w:p>
                  <w:pPr>
                    <w:widowControl w:val="0"/>
                    <w:tabs>
                      <w:tab w:val="left" w:pos="1276"/>
                    </w:tabs>
                    <w:ind w:firstLine="720"/>
                    <w:jc w:val="both"/>
                    <w:rPr>
                      <w:szCs w:val="24"/>
                      <w:lang w:eastAsia="lt-LT"/>
                    </w:rPr>
                  </w:pPr>
                  <w:sdt>
                    <w:sdtPr>
                      <w:alias w:val="Numeris"/>
                      <w:tag w:val="nr_d9827991279f4f2284ee10b11340eed7"/>
                      <w:lock w:val="sdtLocked"/>
                      <w:richText/>
                    </w:sdtPr>
                    <w:sdtContent>
                      <w:r>
                        <w:rPr>
                          <w:rFonts w:eastAsia="Calibri"/>
                          <w:color w:val="000000"/>
                          <w:szCs w:val="22"/>
                          <w:lang w:eastAsia="lt-LT"/>
                        </w:rPr>
                        <w:t>57</w:t>
                      </w:r>
                    </w:sdtContent>
                  </w:sdt>
                  <w:r>
                    <w:rPr>
                      <w:rFonts w:eastAsia="Calibri"/>
                      <w:color w:val="000000"/>
                      <w:szCs w:val="22"/>
                      <w:lang w:eastAsia="lt-LT"/>
                    </w:rPr>
                    <w:t>. Įstatymo 22 straipsnio 8 dalyje nustatytais atvejais skiriant vaiko priežiūros išmoką, laikotarpis, pagal kurio draudžiamąsias pajamas apskaičiuojamas asmens vidutinis dienos kompensuojamasis uždarbis, apribotas maksimaliu dienos kompensuojamojo uždarbio dydžiu, nustatomas ir minimali dienos vaiko priežiūros išmoka apskaičiuojama kitą dieną po nėštumo ir gimdymo atostogų pabaigos, o jeigu šių atostogų asmuo neturėjo, – vaiko gimimo, globos ar įvaikinimo dieną.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
              <w:sdtPr>
                <w:alias w:val="59 p."/>
                <w:tag w:val="part_a6fa8367448541b48d12e472279c7b26"/>
                <w:lock w:val="sdtLocked"/>
                <w:richText/>
              </w:sdtPr>
              <w:sdtContent>
                <w:p>
                  <w:pPr>
                    <w:widowControl w:val="0"/>
                    <w:tabs>
                      <w:tab w:val="left" w:pos="1276"/>
                    </w:tabs>
                    <w:ind w:firstLine="720"/>
                    <w:jc w:val="both"/>
                  </w:pPr>
                  <w:sdt>
                    <w:sdtPr>
                      <w:alias w:val="Numeris"/>
                      <w:tag w:val="nr_a6fa8367448541b48d12e472279c7b26"/>
                      <w:lock w:val="sdtLocked"/>
                      <w:richText/>
                    </w:sdtPr>
                    <w:sdtContent>
                      <w:r>
                        <w:rPr>
                          <w:rFonts w:eastAsia="Calibri"/>
                          <w:szCs w:val="24"/>
                          <w:lang w:eastAsia="lt-LT"/>
                        </w:rPr>
                        <w:t>59</w:t>
                      </w:r>
                    </w:sdtContent>
                  </w:sdt>
                  <w:r>
                    <w:rPr>
                      <w:rFonts w:eastAsia="Calibri"/>
                      <w:szCs w:val="24"/>
                      <w:lang w:eastAsia="lt-LT"/>
                    </w:rPr>
                    <w:t>. Jei apdraustajam asmeniui suteikiamos pakartotinės vaiko priežiūros atostogos (įskaitant neperleidžiamų dviejų mėnesių trukmės vaiko priežiūros atostogų, numatytų Lietuvos Respublikos darbo kodekso 134 straipsnio 3 dalyje, dalį) arba jei asmuo pakartotinai pasirenka to paties vaiko priežiūros laikotarpį ir jis turi teisę gauti vaiko priežiūros išmoką, toliau mokama anksčiau paskirta išmoka.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9-1 p."/>
                <w:tag w:val="part_799ab255fbe9457a92112e8d872acd48"/>
                <w:lock w:val="sdtLocked"/>
                <w:richText/>
              </w:sdtPr>
              <w:sdtContent>
                <w:p>
                  <w:pPr>
                    <w:widowControl w:val="0"/>
                    <w:tabs>
                      <w:tab w:val="left" w:pos="1276"/>
                    </w:tabs>
                    <w:ind w:firstLine="720"/>
                    <w:jc w:val="both"/>
                  </w:pPr>
                  <w:sdt>
                    <w:sdtPr>
                      <w:alias w:val="Numeris"/>
                      <w:tag w:val="nr_799ab255fbe9457a92112e8d872acd48"/>
                      <w:lock w:val="sdtLocked"/>
                      <w:richText/>
                    </w:sdtPr>
                    <w:sdtContent>
                      <w:r>
                        <w:rPr>
                          <w:rFonts w:eastAsia="Calibri"/>
                          <w:szCs w:val="24"/>
                          <w:lang w:eastAsia="lt-LT"/>
                        </w:rPr>
                        <w:t>59</w:t>
                      </w:r>
                      <w:r>
                        <w:rPr>
                          <w:rFonts w:eastAsia="Calibri"/>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Nesuėjus terminui, per kurį turėjo būti pasinaudota </w:t>
                  </w:r>
                  <w:r>
                    <w:rPr>
                      <w:rFonts w:eastAsia="Calibri"/>
                      <w:szCs w:val="24"/>
                      <w:lang w:eastAsia="lt-LT"/>
                    </w:rPr>
                    <w:t>neperleidžiamomis dviejų mėnesių trukmės vaiko priežiūros atostogomis, numatytomis Darbo kodekso 134 straipsnio 3 dalyje, v</w:t>
                  </w:r>
                  <w:r>
                    <w:rPr>
                      <w:rFonts w:eastAsia="MS Mincho"/>
                      <w:szCs w:val="24"/>
                      <w:lang w:eastAsia="lt-LT"/>
                    </w:rPr>
                    <w:t xml:space="preserve">ienam iš tėvų (įtėvių, globėjų) netekus teisės gauti vaiko priežiūros išmoką </w:t>
                  </w:r>
                  <w:r>
                    <w:rPr>
                      <w:rFonts w:eastAsia="Calibri"/>
                      <w:szCs w:val="24"/>
                      <w:lang w:eastAsia="lt-LT"/>
                    </w:rPr>
                    <w:t>už neperleidžiamų dviejų mėnesių trukmės vaiko priežiūros atostogų dalį, kitas iš tėvų (įtėvių, globėjų) už šį laikotarpį turi teisę gauti vaiko priežiūros išmoką Įstatymo 22 straipsnio 4 dalyje nustatyta tvarka, jei jis atitinka bent vieną Įstatymo 22 straipsnio 5 dalyje nustatytą sąlygą.</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9-2 p."/>
                <w:tag w:val="part_0a48d9ec08cb4e0e81aed3056830c770"/>
                <w:lock w:val="sdtLocked"/>
                <w:richText/>
              </w:sdtPr>
              <w:sdtContent>
                <w:p>
                  <w:pPr>
                    <w:widowControl w:val="0"/>
                    <w:tabs>
                      <w:tab w:val="left" w:pos="1276"/>
                    </w:tabs>
                    <w:ind w:firstLine="720"/>
                    <w:jc w:val="both"/>
                  </w:pPr>
                  <w:sdt>
                    <w:sdtPr>
                      <w:alias w:val="Numeris"/>
                      <w:tag w:val="nr_0a48d9ec08cb4e0e81aed3056830c770"/>
                      <w:lock w:val="sdtLocked"/>
                      <w:richText/>
                    </w:sdtPr>
                    <w:sdtContent>
                      <w:r>
                        <w:rPr>
                          <w:rFonts w:eastAsia="Calibri"/>
                          <w:szCs w:val="24"/>
                          <w:lang w:eastAsia="lt-LT"/>
                        </w:rPr>
                        <w:t>59</w:t>
                      </w:r>
                      <w:r>
                        <w:rPr>
                          <w:rFonts w:eastAsia="Calibri"/>
                          <w:szCs w:val="24"/>
                          <w:vertAlign w:val="superscript"/>
                          <w:lang w:eastAsia="lt-LT"/>
                        </w:rPr>
                        <w:t>2</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Įvaikinę vaiką (-us), įtėviai turi teisę gauti vaiko priežiūros išmoką </w:t>
                  </w:r>
                  <w:r>
                    <w:rPr>
                      <w:rFonts w:eastAsia="Calibri"/>
                      <w:szCs w:val="24"/>
                      <w:lang w:eastAsia="lt-LT"/>
                    </w:rPr>
                    <w:t xml:space="preserve">už neperleidžiamų dviejų mėnesių trukmės vaiko priežiūros atostogų, numatytų Darbo kodekso 134 straipsnio 3 dalyje, arba vaiko priežiūros laikotarpio dalį per 18 ar 24 mėnesius </w:t>
                  </w:r>
                  <w:r>
                    <w:rPr>
                      <w:rFonts w:eastAsia="Calibri"/>
                      <w:szCs w:val="22"/>
                      <w:lang w:eastAsia="lt-LT"/>
                    </w:rPr>
                    <w:t xml:space="preserve">nuo vaiko priežiūros atostogų, suteiktų per </w:t>
                  </w:r>
                  <w:r>
                    <w:rPr>
                      <w:rFonts w:eastAsia="Calibri"/>
                      <w:szCs w:val="22"/>
                      <w:lang w:val="en-US" w:eastAsia="lt-LT"/>
                    </w:rPr>
                    <w:t>3</w:t>
                  </w:r>
                  <w:r>
                    <w:rPr>
                      <w:rFonts w:eastAsia="Calibri"/>
                      <w:szCs w:val="22"/>
                      <w:lang w:eastAsia="lt-LT"/>
                    </w:rPr>
                    <w:t xml:space="preserve"> mėnesius</w:t>
                  </w:r>
                  <w:r>
                    <w:rPr>
                      <w:rFonts w:eastAsia="Calibri"/>
                      <w:szCs w:val="24"/>
                      <w:lang w:eastAsia="lt-LT"/>
                    </w:rPr>
                    <w:t xml:space="preserve"> nuo </w:t>
                  </w:r>
                  <w:r>
                    <w:rPr>
                      <w:rFonts w:eastAsia="Calibri"/>
                      <w:color w:val="000000"/>
                      <w:szCs w:val="24"/>
                      <w:lang w:eastAsia="lt-LT"/>
                    </w:rPr>
                    <w:t>teismo sprendimo įvaikinti įsiteisėjimo (skubaus vykdymo atveju – per vieną mėnesį nuo sprendimo vykdymo pradžios) dienos, suteikimo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59-3 p."/>
                <w:tag w:val="part_31801cf11a3d4e4bb30cc87018f96a55"/>
                <w:lock w:val="sdtLocked"/>
                <w:richText/>
              </w:sdtPr>
              <w:sdtContent>
                <w:p>
                  <w:pPr>
                    <w:widowControl w:val="0"/>
                    <w:tabs>
                      <w:tab w:val="left" w:pos="1276"/>
                    </w:tabs>
                    <w:ind w:firstLine="720"/>
                    <w:jc w:val="both"/>
                    <w:rPr>
                      <w:szCs w:val="24"/>
                      <w:lang w:eastAsia="lt-LT"/>
                    </w:rPr>
                  </w:pPr>
                  <w:sdt>
                    <w:sdtPr>
                      <w:alias w:val="Numeris"/>
                      <w:tag w:val="nr_31801cf11a3d4e4bb30cc87018f96a55"/>
                      <w:lock w:val="sdtLocked"/>
                      <w:richText/>
                    </w:sdtPr>
                    <w:sdtContent>
                      <w:r>
                        <w:rPr>
                          <w:rFonts w:eastAsia="Calibri"/>
                          <w:color w:val="000000"/>
                          <w:szCs w:val="24"/>
                          <w:lang w:eastAsia="lt-LT"/>
                        </w:rPr>
                        <w:t>59</w:t>
                      </w:r>
                      <w:r>
                        <w:rPr>
                          <w:rFonts w:eastAsia="Calibri"/>
                          <w:color w:val="000000"/>
                          <w:szCs w:val="24"/>
                          <w:vertAlign w:val="superscript"/>
                          <w:lang w:eastAsia="lt-LT"/>
                        </w:rPr>
                        <w:t>3</w:t>
                      </w:r>
                    </w:sdtContent>
                  </w:sdt>
                  <w:r>
                    <w:rPr>
                      <w:rFonts w:eastAsia="Calibri"/>
                      <w:color w:val="000000"/>
                      <w:szCs w:val="24"/>
                      <w:lang w:eastAsia="lt-LT"/>
                    </w:rPr>
                    <w:t xml:space="preserve">. </w:t>
                  </w:r>
                  <w:r>
                    <w:rPr>
                      <w:rFonts w:eastAsia="MS Mincho"/>
                      <w:szCs w:val="24"/>
                      <w:lang w:eastAsia="lt-LT"/>
                    </w:rPr>
                    <w:t>Įvaikinus vaiką (-us),</w:t>
                  </w:r>
                  <w:r>
                    <w:rPr>
                      <w:rFonts w:eastAsia="Calibri"/>
                      <w:szCs w:val="22"/>
                      <w:lang w:eastAsia="lt-LT"/>
                    </w:rPr>
                    <w:t xml:space="preserve"> teisę gauti vaiko priežiūros išmoką išsaugo ir kitas iš vaiko įtėvių, kuriam šio (šių) vaiko (-ų) priežiūros atostogas darbdavys suteikė vėliau nei per 3 mėnesius po teismo sprendimo įvaikinti įsiteisėjimo dienos (skubaus vykdymo atveju – vėliau nei per vieną mėnesį nuo sprendimo vykdymo pirmosios dienos), jeigu pirmajam dėl vaiko priežiūros išmokos besikreipusiam asmeniui (įmotei ar įtėviui) įvaikinto (-ų) vaiko (-ų) priežiūros atostogos buvo suteiktos nepraėjus 3</w:t>
                  </w:r>
                  <w:r>
                    <w:rPr>
                      <w:rFonts w:eastAsia="Calibri"/>
                      <w:szCs w:val="24"/>
                      <w:lang w:eastAsia="lt-LT"/>
                    </w:rPr>
                    <w:t xml:space="preserve"> </w:t>
                  </w:r>
                  <w:r>
                    <w:rPr>
                      <w:rFonts w:eastAsia="Calibri"/>
                      <w:szCs w:val="22"/>
                      <w:lang w:eastAsia="lt-LT"/>
                    </w:rPr>
                    <w:t>mėnesiams po teismo sprendimo įvaikinti įsiteisėjimo dienos (skubaus vykdymo atveju – nepraėjus vienam mėnesiui nuo pirmosios sprendimo vykdymo dienos).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60 p."/>
                <w:tag w:val="part_001bfee645f94f388a97339c92c1cc87"/>
                <w:lock w:val="sdtLocked"/>
                <w:richText/>
              </w:sdtPr>
              <w:sdtContent>
                <w:p>
                  <w:pPr>
                    <w:pStyle w:val="PlainText"/>
                    <w:ind w:firstLine="567"/>
                    <w:jc w:val="both"/>
                    <w:rPr>
                      <w:rFonts w:ascii="Arial" w:hAnsi="Arial"/>
                      <w:b/>
                      <w:bCs/>
                      <w:sz w:val="22"/>
                    </w:rPr>
                  </w:pPr>
                  <w:r>
                    <w:rPr>
                      <w:rFonts w:ascii="Arial" w:hAnsi="Arial"/>
                      <w:sz w:val="22"/>
                    </w:rPr>
                    <w:t>60</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Arial" w:hAnsi="Arial"/>
                      <w:b/>
                      <w:bCs/>
                      <w:sz w:val="22"/>
                    </w:rPr>
                  </w:pPr>
                  <w:r>
                    <w:rPr>
                      <w:rFonts w:ascii="Arial" w:hAnsi="Arial"/>
                      <w:sz w:val="22"/>
                    </w:rPr>
                    <w:t>61</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27dfb4239849488882595a0471b45bb1"/>
                <w:lock w:val="sdtLocked"/>
                <w:richText/>
              </w:sdtPr>
              <w:sdtContent>
                <w:p>
                  <w:pPr>
                    <w:ind w:firstLine="720"/>
                    <w:jc w:val="both"/>
                    <w:rPr>
                      <w:szCs w:val="24"/>
                      <w:lang w:eastAsia="lt-LT"/>
                    </w:rPr>
                  </w:pPr>
                  <w:sdt>
                    <w:sdtPr>
                      <w:alias w:val="Numeris"/>
                      <w:tag w:val="nr_27dfb4239849488882595a0471b45bb1"/>
                      <w:lock w:val="sdtLocked"/>
                      <w:richText/>
                    </w:sdtPr>
                    <w:sdtContent>
                      <w:r>
                        <w:rPr>
                          <w:szCs w:val="22"/>
                        </w:rPr>
                        <w:t>63</w:t>
                      </w:r>
                    </w:sdtContent>
                  </w:sdt>
                  <w:r>
                    <w:rPr>
                      <w:szCs w:val="22"/>
                    </w:rPr>
                    <w:t xml:space="preserve">. Pagrindas skirti profesinės reabilitacijos išmoką yra </w:t>
                  </w:r>
                  <w:r>
                    <w:rPr>
                      <w:color w:val="000000"/>
                      <w:szCs w:val="24"/>
                    </w:rPr>
                    <w:t>Asmens su negalia teisių apsaugos agentūros</w:t>
                  </w:r>
                  <w:r>
                    <w:rPr>
                      <w:szCs w:val="22"/>
                    </w:rPr>
                    <w:t xml:space="preserve"> prie Socialinės apsaugos ir darbo ministerijos sprendimas dėl profesinės reabilitacijos paslaugų poreikio nustatymo ir profesinės reabilitacijos pažymėjimas, išduotas ir pratęstas socialinės apsaugos ir darbo ministro tvirtinamų profesinės reabilitacijos pažymėjimų išdavimo taisyklių nustatyta tvarka. Praradus profesinės reabilitacijos pažymėjimą, profesinės reabilitacijos išmoka mokama pagal jo dublikatą.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64 p."/>
                <w:tag w:val="part_d412acc4732e41b49bd3a5578e82f580"/>
                <w:lock w:val="sdtLocked"/>
                <w:richText/>
              </w:sdtPr>
              <w:sdtContent>
                <w:p>
                  <w:pPr>
                    <w:widowControl w:val="0"/>
                    <w:tabs>
                      <w:tab w:val="left" w:pos="1276"/>
                    </w:tabs>
                    <w:ind w:firstLine="720"/>
                    <w:jc w:val="both"/>
                    <w:rPr>
                      <w:szCs w:val="24"/>
                      <w:lang w:eastAsia="lt-LT"/>
                    </w:rPr>
                  </w:pPr>
                  <w:sdt>
                    <w:sdtPr>
                      <w:alias w:val="Numeris"/>
                      <w:tag w:val="nr_d412acc4732e41b49bd3a5578e82f580"/>
                      <w:lock w:val="sdtLocked"/>
                      <w:richText/>
                    </w:sdtPr>
                    <w:sdtContent>
                      <w:r>
                        <w:rPr>
                          <w:rFonts w:eastAsia="Calibri"/>
                          <w:szCs w:val="22"/>
                          <w:lang w:eastAsia="lt-LT"/>
                        </w:rPr>
                        <w:t>64</w:t>
                      </w:r>
                    </w:sdtContent>
                  </w:sdt>
                  <w:r>
                    <w:rPr>
                      <w:rFonts w:eastAsia="Calibri"/>
                      <w:szCs w:val="22"/>
                      <w:lang w:eastAsia="lt-LT"/>
                    </w:rPr>
                    <w:t>. Darbdavio pranešimo išmokai skirti (forma NP-SD2) ir pranešimo apie apdraustajam asmeniui suteiktas (atšauktas) tėvystės atostogas arba atostogas vaikui prižiūrėti (forma 9-SD) formas, jų pildymo ir pateikimo taisykles tvirtina Valstybinio socialinio draudimo fondo valdybos prie Socialinės apsaugos ir darbo ministerijos direktorius.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6-1 p."/>
                <w:tag w:val="part_ecf6f26c6b12486fba18a71f6b0b41e0"/>
                <w:lock w:val="sdtLocked"/>
                <w:richText/>
              </w:sdtPr>
              <w:sdtContent>
                <w:p>
                  <w:pPr>
                    <w:widowControl w:val="0"/>
                    <w:tabs>
                      <w:tab w:val="left" w:pos="1276"/>
                    </w:tabs>
                    <w:ind w:firstLine="720"/>
                    <w:jc w:val="both"/>
                    <w:rPr>
                      <w:szCs w:val="24"/>
                      <w:lang w:eastAsia="lt-LT"/>
                    </w:rPr>
                  </w:pPr>
                  <w:sdt>
                    <w:sdtPr>
                      <w:alias w:val="Numeris"/>
                      <w:tag w:val="nr_ecf6f26c6b12486fba18a71f6b0b41e0"/>
                      <w:lock w:val="sdtLocked"/>
                      <w:richText/>
                    </w:sdtPr>
                    <w:sdtContent>
                      <w:r>
                        <w:rPr>
                          <w:rFonts w:eastAsia="Calibri"/>
                          <w:szCs w:val="24"/>
                          <w:lang w:eastAsia="lt-LT"/>
                        </w:rPr>
                        <w:t>66</w:t>
                      </w:r>
                      <w:r>
                        <w:rPr>
                          <w:rFonts w:eastAsia="Calibri"/>
                          <w:szCs w:val="24"/>
                          <w:vertAlign w:val="superscript"/>
                          <w:lang w:eastAsia="lt-LT"/>
                        </w:rPr>
                        <w:t>1</w:t>
                      </w:r>
                    </w:sdtContent>
                  </w:sdt>
                  <w:r>
                    <w:rPr>
                      <w:rFonts w:eastAsia="Calibri"/>
                      <w:szCs w:val="24"/>
                      <w:lang w:eastAsia="lt-LT"/>
                    </w:rPr>
                    <w:t>.</w:t>
                  </w:r>
                  <w:r>
                    <w:rPr>
                      <w:rFonts w:eastAsia="MS Mincho"/>
                      <w:i/>
                      <w:iCs/>
                      <w:szCs w:val="22"/>
                      <w:lang w:eastAsia="lt-LT"/>
                    </w:rPr>
                    <w:t xml:space="preserve"> </w:t>
                  </w:r>
                  <w:r>
                    <w:rPr>
                      <w:rFonts w:eastAsia="Calibri"/>
                      <w:szCs w:val="24"/>
                      <w:lang w:eastAsia="lt-LT"/>
                    </w:rPr>
                    <w:t>Jei neperleidžiamų dviejų mėnesių trukmės vaiko priežiūros atostogų, numatytų Darbo kodekso 134 straipsnio 3 dalyje, ar vaiko priežiūros laikotarpio dalis imama visa iš karto, vaiko priežiūros išmoka mokama už 2 kalendorinius mėnesius. Jei neperleidžiamų dviejų mėnesių trukmės vaiko priežiūros atostogų dalis ar vaiko priežiūros laikotarpis imami dalimis, vaiko priežiūros išmoka mokama kalendorinėmis dienomis, taikant 30 kalendorinių dienų mėnesį.</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67 p."/>
                <w:tag w:val="part_637d115b45594cdc8cd4610c74fb21f9"/>
                <w:lock w:val="sdtLocked"/>
                <w:richText/>
              </w:sdtPr>
              <w:sdtContent>
                <w:p>
                  <w:pPr>
                    <w:pStyle w:val="PlainText"/>
                    <w:ind w:firstLine="567"/>
                    <w:jc w:val="both"/>
                    <w:rPr>
                      <w:rFonts w:ascii="Arial" w:hAnsi="Arial"/>
                      <w:b/>
                      <w:bCs/>
                      <w:sz w:val="22"/>
                    </w:rPr>
                  </w:pPr>
                  <w:r>
                    <w:rPr>
                      <w:rFonts w:ascii="Arial" w:hAnsi="Arial"/>
                      <w:sz w:val="22"/>
                    </w:rPr>
                    <w:t>67</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ab5078ee7345497698e7f64977e5298b"/>
                    <w:lock w:val="sdtLocked"/>
                    <w:richText/>
                  </w:sdtPr>
                  <w:sdtContent>
                    <w:p>
                      <w:pPr>
                        <w:widowControl w:val="0"/>
                        <w:tabs>
                          <w:tab w:val="left" w:pos="993"/>
                          <w:tab w:val="left" w:pos="1276"/>
                        </w:tabs>
                        <w:ind w:firstLine="720"/>
                        <w:jc w:val="both"/>
                      </w:pPr>
                      <w:sdt>
                        <w:sdtPr>
                          <w:alias w:val="Numeris"/>
                          <w:tag w:val="nr_ab5078ee7345497698e7f64977e5298b"/>
                          <w:lock w:val="sdtLocked"/>
                          <w:richText/>
                        </w:sdtPr>
                        <w:sdtContent>
                          <w:r>
                            <w:rPr>
                              <w:color w:val="000000"/>
                            </w:rPr>
                            <w:t>69.1</w:t>
                          </w:r>
                        </w:sdtContent>
                      </w:sdt>
                      <w:r>
                        <w:rPr>
                          <w:color w:val="000000"/>
                        </w:rPr>
                        <w:t>. ligos išmokai – prašymas ir darbdavio pranešimas išmokai skirti (forma NP</w:t>
                        <w:noBreakHyphen/>
                        <w:t>SD2); darbdavio patvirtinimas Įstatymo 11</w:t>
                      </w:r>
                      <w:r>
                        <w:rPr>
                          <w:color w:val="000000"/>
                          <w:vertAlign w:val="superscript"/>
                        </w:rPr>
                        <w:t>1</w:t>
                      </w:r>
                      <w:r>
                        <w:rPr>
                          <w:color w:val="000000"/>
                        </w:rPr>
                        <w:t> straipsnio 1 dalyje nustatytais atvejais – užpildyta Darbdavio patvirtinimo, ar darbuotojas tapo laikinai nedarbingas dėl Lietuvos Respublikos Vyriausybės paskelbtos ekstremaliosios situacijos ir (ar) karantino metu vykdytos profesinės veiklos, forma, patvirtinta Valstybinio socialinio draudimo fondo valdybos prie Socialinės apsaugos ir darbo ministerijos direktoriaus (toliau – Patvirtinimo forma); asmenys, nurodyti Įstatymo 8 straipsnio 3 dalyje, turi pateikti ir bendrojo ugdymo programos, profesinio mokymo programos arba aukštojo mokslo studijų programos baigimą ir atitinkamo išsilavinimo ar kvalifikacijos įgijimą patvirtinantį dokumentą (pagrindinio išsilavinimo pažymėjimą, brandos atestatą, profesinio mokymo diplomą, kvalifikacijos pažymėjimą, profesinio bakalauro diplomą, bakalauro diplomą, magistro diplomą ar studijų pažymėjimą arba lygiavertį išsilavinimą ar kvalifikaciją, įgytą pagal užsienio valstybių ar tarptautinių organizacijų švietimo programas, patvirtinančius dokumentus ir jų priedus (jei tokie yra)) ar jo kopiją, jei duomenų apie bendrojo ugdymo programos, profesinio mokymo programos arba aukštojo mokslo studijų programos baigimą ir atitinkamo išsilavinimo ar kvalifikacijos įgijimą patvirtinančio dokumento išdavimą nėra registrų, valstybės ir vidaus administravimo informacinėse sistemose</w:t>
                      </w:r>
                      <w:r>
                        <w:rPr>
                          <w:i/>
                          <w:iCs/>
                          <w:color w:val="000000"/>
                        </w:rPr>
                        <w:t> </w:t>
                      </w:r>
                      <w:r>
                        <w:rPr>
                          <w:color w:val="000000"/>
                        </w:rPr>
                        <w:t>arba šie duomenys negaunami elektroniniu būdu pagal asmens duomenų teikimo sutartį;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28566d0dfaf11eb9f09e7df20500045">
                        <w:r w:rsidRPr="00532B9F">
                          <w:rPr>
                            <w:rFonts w:ascii="Arial" w:eastAsia="MS Mincho" w:hAnsi="Arial"/>
                            <w:sz w:val="20"/>
                            <w:i/>
                            <w:iCs/>
                            <w:color w:val="0000FF" w:themeColor="hyperlink"/>
                            <w:u w:val="single"/>
                          </w:rPr>
                          <w:t>529</w:t>
                        </w:r>
                      </w:fldSimple>
                      <w:r>
                        <w:rPr>
                          <w:rFonts w:ascii="Arial" w:eastAsia="MS Mincho" w:hAnsi="Arial"/>
                          <w:sz w:val="20"/>
                          <w:i/>
                          <w:iCs/>
                        </w:rPr>
                        <w:t>,
2021-07-07,
paskelbta TAR 2021-07-08, i. k. 2021-15480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1e105c5c4d4e491c80af8f39d86fbe20"/>
                    <w:lock w:val="sdtLocked"/>
                    <w:richText/>
                  </w:sdtPr>
                  <w:sdtContent>
                    <w:p>
                      <w:pPr>
                        <w:widowControl w:val="0"/>
                        <w:tabs>
                          <w:tab w:val="left" w:pos="993"/>
                          <w:tab w:val="left" w:pos="1276"/>
                        </w:tabs>
                        <w:ind w:firstLine="720"/>
                        <w:jc w:val="both"/>
                        <w:rPr>
                          <w:szCs w:val="24"/>
                          <w:lang w:eastAsia="lt-LT"/>
                        </w:rPr>
                      </w:pPr>
                      <w:sdt>
                        <w:sdtPr>
                          <w:alias w:val="Numeris"/>
                          <w:tag w:val="nr_1e105c5c4d4e491c80af8f39d86fbe20"/>
                          <w:lock w:val="sdtLocked"/>
                          <w:richText/>
                        </w:sdtPr>
                        <w:sdtContent>
                          <w:r>
                            <w:rPr>
                              <w:rFonts w:eastAsia="Calibri"/>
                              <w:szCs w:val="22"/>
                            </w:rPr>
                            <w:t>69.3</w:t>
                          </w:r>
                        </w:sdtContent>
                      </w:sdt>
                      <w:r>
                        <w:rPr>
                          <w:rFonts w:eastAsia="Calibri"/>
                          <w:szCs w:val="22"/>
                        </w:rPr>
                        <w:t>. motinystės išmokai – prašymas ir darbdavio pranešimas išmokai skirti (forma NP</w:t>
                        <w:noBreakHyphen/>
                        <w:t xml:space="preserve">SD2) arba įsakymo </w:t>
                      </w:r>
                      <w:r>
                        <w:t>(potvarkio) dėl 14 dienų atostogų pagal Darbo kodekso 132 straipsnio 1 dalį suteikimo kopija, nuorašas ar išrašas (</w:t>
                      </w:r>
                      <w:r>
                        <w:rPr>
                          <w:color w:val="000000"/>
                        </w:rPr>
                        <w:t>jeigu nepateiktas pranešimas apie apdraustajam asmeniui suteiktas (atšauktas) tėvystės atostogas arba atostogas vaikui prižiūrėti (forma 9-SD))</w:t>
                      </w:r>
                      <w:r>
                        <w:rPr>
                          <w:rFonts w:eastAsia="Calibri"/>
                          <w:szCs w:val="22"/>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69.4 pp."/>
                    <w:tag w:val="part_9b2eebcc52854d2cbb61abd86203bcc1"/>
                    <w:lock w:val="sdtLocked"/>
                    <w:richText/>
                  </w:sdtPr>
                  <w:sdtContent>
                    <w:p>
                      <w:pPr>
                        <w:widowControl w:val="0"/>
                        <w:tabs>
                          <w:tab w:val="left" w:pos="993"/>
                          <w:tab w:val="left" w:pos="1276"/>
                        </w:tabs>
                        <w:ind w:firstLine="720"/>
                        <w:jc w:val="both"/>
                        <w:rPr>
                          <w:szCs w:val="24"/>
                          <w:lang w:eastAsia="lt-LT"/>
                        </w:rPr>
                      </w:pPr>
                      <w:sdt>
                        <w:sdtPr>
                          <w:alias w:val="Numeris"/>
                          <w:tag w:val="nr_9b2eebcc52854d2cbb61abd86203bcc1"/>
                          <w:lock w:val="sdtLocked"/>
                          <w:richText/>
                        </w:sdtPr>
                        <w:sdtContent>
                          <w:r>
                            <w:rPr>
                              <w:color w:val="000000"/>
                            </w:rPr>
                            <w:t>69.4</w:t>
                          </w:r>
                        </w:sdtContent>
                      </w:sdt>
                      <w:r>
                        <w:rPr>
                          <w:color w:val="000000"/>
                        </w:rPr>
                        <w:t xml:space="preserve">. tėvystės išmokai – prašymas, įsakymo (potvarkio) dėl tėvystės atostogų suteikimo kopija, nuorašas ar išrašas (jeigu nepateiktas pranešimas apie apdraustajam asmeniui suteiktas (atšauktas) tėvystės atostogas arba atostogas vaikui prižiūrėti (forma 9-SD)), vaiko (-ų) gimimo faktą patvirtinantys dokumentai, o jei juose pateiktų duomenų neužtenka tėvystės išmokai skirti, – vaiko (-ų) gimimo įregistravimą patvirtinantys dokumentai, tėvystės ar </w:t>
                      </w:r>
                      <w:r>
                        <w:t xml:space="preserve">vaiko (-ų) </w:t>
                      </w:r>
                      <w:r>
                        <w:rPr>
                          <w:color w:val="000000"/>
                        </w:rPr>
                        <w:t>įvaikinimo faktą patvirtinantys dokumentai;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69.5 pp."/>
                    <w:tag w:val="part_32a175bde64c404bb748baafe46677c5"/>
                    <w:lock w:val="sdtLocked"/>
                    <w:richText/>
                  </w:sdtPr>
                  <w:sdtContent>
                    <w:p>
                      <w:pPr>
                        <w:widowControl w:val="0"/>
                        <w:tabs>
                          <w:tab w:val="left" w:pos="993"/>
                          <w:tab w:val="left" w:pos="1276"/>
                        </w:tabs>
                        <w:ind w:firstLine="720"/>
                        <w:jc w:val="both"/>
                        <w:rPr>
                          <w:szCs w:val="24"/>
                          <w:lang w:eastAsia="lt-LT"/>
                        </w:rPr>
                      </w:pPr>
                      <w:sdt>
                        <w:sdtPr>
                          <w:alias w:val="Numeris"/>
                          <w:tag w:val="nr_32a175bde64c404bb748baafe46677c5"/>
                          <w:lock w:val="sdtLocked"/>
                          <w:richText/>
                        </w:sdtPr>
                        <w:sdtContent>
                          <w:r>
                            <w:rPr>
                              <w:color w:val="000000"/>
                            </w:rPr>
                            <w:t>69.5</w:t>
                          </w:r>
                        </w:sdtContent>
                      </w:sdt>
                      <w:r>
                        <w:rPr>
                          <w:color w:val="000000"/>
                        </w:rPr>
                        <w:t xml:space="preserve">. vaiko priežiūros išmokai – prašymas, vaiko (-ų) gimimo faktą patvirtinantys dokumentai, o jei juose pateiktų duomenų neužtenka vaiko priežiūros išmokai skirti, – vaiko (-ų) gimimo įregistravimą patvirtinantys dokumentai, </w:t>
                      </w:r>
                      <w:r>
                        <w:t xml:space="preserve">vaiko (-ų) </w:t>
                      </w:r>
                      <w:r>
                        <w:rPr>
                          <w:color w:val="000000"/>
                        </w:rPr>
                        <w:t>įvaikinimo ar globos faktą patvirtinantys dokumentai ir įsakymo (potvarkio) dėl vaiko (-ų) priežiūros atostogų suteikimo kopija (-os), nuorašas (-ai) ar išrašas (-ai) (jeigu nepateiktas pranešimas (-ai) apie apdraustajam asmeniui suteiktas (atšauktas) tėvystės atostogas arba atostogas vaikui prižiūrėti (forma 9-SD)); asmenys, nurodyti Įstatymo 22 straipsnio 4 dalyje, turi pateikti ir Įstatymo 22 straipsnio 5 dalyje nurodytų aplinkybių buvimą patvirtinančių dokumentų kopijas ar išrašus, jeigu minėtų duomenų nėra registrų, valstybės ir vidaus administravimo informacinėse sistemose arba šie duomenys negaunami elektroniniu būdu pagal asmens duomenų teikimo sutartį.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Content>
            </w:sdt>
            <w:sdt>
              <w:sdtPr>
                <w:alias w:val="70 p."/>
                <w:tag w:val="part_54808679667443099948ca5388c68a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808679667443099948ca5388c68a19"/>
                      <w:lock w:val="sdtLocked"/>
                      <w:richText/>
                    </w:sdtPr>
                    <w:sdtContent>
                      <w:r>
                        <w:rPr>
                          <w:szCs w:val="24"/>
                          <w:lang w:eastAsia="lt-LT"/>
                        </w:rPr>
                        <w:t>70</w:t>
                      </w:r>
                    </w:sdtContent>
                  </w:sdt>
                  <w:r>
                    <w:rPr>
                      <w:szCs w:val="24"/>
                      <w:lang w:eastAsia="lt-LT"/>
                    </w:rPr>
                    <w:t>. Asmenys, nurodyti Valstybinio socialinio draudimo įstatymo 5 straipsnio 1 ir 2 dalyse bei 6 straipsnio 1, 7 ir 11</w:t>
                  </w:r>
                  <w:r>
                    <w:rPr>
                      <w:b/>
                      <w:bCs/>
                      <w:szCs w:val="24"/>
                      <w:lang w:eastAsia="lt-LT"/>
                    </w:rPr>
                    <w:t xml:space="preserve"> </w:t>
                  </w:r>
                  <w:r>
                    <w:rPr>
                      <w:szCs w:val="24"/>
                      <w:lang w:eastAsia="lt-LT"/>
                    </w:rPr>
                    <w:t>dalyse (neturintys darbo ar tarnybos santykių asmenys), turintys teisę gauti socialinio draudimo išmokas, teritoriniam skyriui pateikia šiuos dokumentus: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sdt>
                  <w:sdtPr>
                    <w:alias w:val="70.1 pp."/>
                    <w:tag w:val="part_a14169fd0e0d467d9f93258314d6be02"/>
                    <w:lock w:val="sdtLocked"/>
                    <w:richText/>
                  </w:sdtPr>
                  <w:sdtContent>
                    <w:p>
                      <w:pPr>
                        <w:widowControl w:val="0"/>
                        <w:tabs>
                          <w:tab w:val="left" w:pos="993"/>
                          <w:tab w:val="left" w:pos="1276"/>
                        </w:tabs>
                        <w:ind w:firstLine="720"/>
                        <w:jc w:val="both"/>
                        <w:rPr>
                          <w:szCs w:val="24"/>
                          <w:lang w:eastAsia="lt-LT"/>
                        </w:rPr>
                      </w:pPr>
                      <w:sdt>
                        <w:sdtPr>
                          <w:alias w:val="Numeris"/>
                          <w:tag w:val="nr_a14169fd0e0d467d9f93258314d6be02"/>
                          <w:lock w:val="sdtLocked"/>
                          <w:richText/>
                        </w:sdtPr>
                        <w:sdtContent>
                          <w:r>
                            <w:rPr>
                              <w:color w:val="000000"/>
                            </w:rPr>
                            <w:t>70.1</w:t>
                          </w:r>
                        </w:sdtContent>
                      </w:sdt>
                      <w:r>
                        <w:rPr>
                          <w:color w:val="000000"/>
                        </w:rPr>
                        <w:t>. ligos išmokai – prašymą; asmenys, nurodyti Įstatymo 8 straipsnio 3 dalyje, turi pateikti ir bendrojo ugdymo programos, profesinio mokymo programos arba aukštojo mokslo studijų programos baigimą ir atitinkamo išsilavinimo ar kvalifikacijos įgijimą patvirtinantį dokumentą (pagrindinio išsilavinimo pažymėjimą, brandos atestatą, profesinio mokymo diplomą, kvalifikacijos pažymėjimą, profesinio bakalauro diplomą, bakalauro diplomą, magistro diplomą ar studijų pažymėjimą arba lygiavertį išsilavinimą ar kvalifikaciją, įgytą pagal užsienio valstybių ar tarptautinių organizacijų švietimo programas, patvirtinančius dokumentus ir jų priedus (jei tokie yra)) ar jo kopiją, jei duomenų apie bendrojo ugdymo programos, profesinio mokymo programos arba aukštojo mokslo studijų programos baigimą ir atitinkamo išsilavinimo ar kvalifikacijos įgijimą patvirtinančio dokumento išdavimą nėra registrų,</w:t>
                      </w:r>
                      <w:r>
                        <w:rPr>
                          <w:b/>
                          <w:bCs/>
                          <w:color w:val="000000"/>
                        </w:rPr>
                        <w:t xml:space="preserve"> </w:t>
                      </w:r>
                      <w:r>
                        <w:rPr>
                          <w:color w:val="000000"/>
                        </w:rPr>
                        <w:t>valstybės ir vidaus administravimo informacinėse sistemose arba šie duomenys negaunami elektroniniu būdu pagal asmens duomenų teikimo sutartį;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afdcfb7bef344cf8b98b9098698ea507"/>
                    <w:lock w:val="sdtLocked"/>
                    <w:richText/>
                  </w:sdtPr>
                  <w:sdtContent>
                    <w:p>
                      <w:pPr>
                        <w:widowControl w:val="0"/>
                        <w:tabs>
                          <w:tab w:val="left" w:pos="142"/>
                          <w:tab w:val="left" w:pos="993"/>
                          <w:tab w:val="left" w:pos="1276"/>
                        </w:tabs>
                        <w:ind w:firstLine="720"/>
                        <w:jc w:val="both"/>
                        <w:rPr>
                          <w:szCs w:val="24"/>
                          <w:lang w:eastAsia="lt-LT"/>
                        </w:rPr>
                      </w:pPr>
                      <w:sdt>
                        <w:sdtPr>
                          <w:alias w:val="Numeris"/>
                          <w:tag w:val="nr_afdcfb7bef344cf8b98b9098698ea507"/>
                          <w:lock w:val="sdtLocked"/>
                          <w:richText/>
                        </w:sdtPr>
                        <w:sdtContent>
                          <w:r>
                            <w:rPr>
                              <w:color w:val="000000"/>
                            </w:rPr>
                            <w:t>70.4</w:t>
                          </w:r>
                        </w:sdtContent>
                      </w:sdt>
                      <w:r>
                        <w:rPr>
                          <w:color w:val="000000"/>
                        </w:rPr>
                        <w:t xml:space="preserve">. tėvystės išmokai – prašymą su pranešimu (-ais) apie pasirinktą tėvystės laikotarpį, vaiko (-ų) gimimo faktą patvirtinančius dokumentus, o jei juose pateiktų duomenų neužtenka tėvystės išmokai skirti, – vaiko (-ų) gimimo įregistravimą patvirtinančius dokumentus, tėvystės ar </w:t>
                      </w:r>
                      <w:r>
                        <w:t>vaiko (-ų)</w:t>
                      </w:r>
                      <w:r>
                        <w:rPr>
                          <w:b/>
                          <w:bCs/>
                        </w:rPr>
                        <w:t xml:space="preserve"> </w:t>
                      </w:r>
                      <w:r>
                        <w:rPr>
                          <w:color w:val="000000"/>
                        </w:rPr>
                        <w:t>įvaikinimo faktą patvirtinančius dokumentus;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70.5 pp."/>
                    <w:tag w:val="part_dabba3161ac04b3a9d036b030dbc00b3"/>
                    <w:lock w:val="sdtLocked"/>
                    <w:richText/>
                  </w:sdtPr>
                  <w:sdtContent>
                    <w:p>
                      <w:pPr>
                        <w:widowControl w:val="0"/>
                        <w:tabs>
                          <w:tab w:val="left" w:pos="142"/>
                          <w:tab w:val="left" w:pos="993"/>
                          <w:tab w:val="left" w:pos="1276"/>
                        </w:tabs>
                        <w:ind w:firstLine="720"/>
                        <w:jc w:val="both"/>
                        <w:rPr>
                          <w:szCs w:val="24"/>
                          <w:lang w:eastAsia="lt-LT"/>
                        </w:rPr>
                      </w:pPr>
                      <w:sdt>
                        <w:sdtPr>
                          <w:alias w:val="Numeris"/>
                          <w:tag w:val="nr_dabba3161ac04b3a9d036b030dbc00b3"/>
                          <w:lock w:val="sdtLocked"/>
                          <w:richText/>
                        </w:sdtPr>
                        <w:sdtContent>
                          <w:r>
                            <w:rPr>
                              <w:color w:val="000000"/>
                            </w:rPr>
                            <w:t>70.5</w:t>
                          </w:r>
                        </w:sdtContent>
                      </w:sdt>
                      <w:r>
                        <w:rPr>
                          <w:color w:val="000000"/>
                        </w:rPr>
                        <w:t xml:space="preserve">. vaiko priežiūros išmokai – prašymą su pranešimu (-ais) apie pasirinktą vaiko priežiūros laikotarpį, vaiko (-ų) gimimo faktą patvirtinančius dokumentus, o jei juose pateiktų duomenų neužtenka vaiko priežiūros išmokai skirti, – vaiko (-ų) gimimo įregistravimą patvirtinančius dokumentus, </w:t>
                      </w:r>
                      <w:r>
                        <w:t xml:space="preserve">vaiko (-ų) </w:t>
                      </w:r>
                      <w:r>
                        <w:rPr>
                          <w:color w:val="000000"/>
                        </w:rPr>
                        <w:t>įvaikinimo ar globos faktą patvirtinančius dokumentus; asmenys, nurodyti Įstatymo 22 straipsnio 4 dalyje, turi pateikti ir Įstatymo 22 straipsnio 5 dalyje nurodytų aplinkybių buvimą patvirtinančių dokumentų kopijas ar išrašus, jeigu minėtų duomenų nėra registrų, valstybės ir vidaus administravimo informacinėse sistemose arba šie duomenys negaunami elektroniniu būdu pagal asmens duomenų teikimo sutartį.</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Content>
            </w:sdt>
            <w:sdt>
              <w:sdtPr>
                <w:alias w:val="71 p."/>
                <w:tag w:val="part_2a13063eb89343d6a45cb5345f9d78bd"/>
                <w:lock w:val="sdtLocked"/>
                <w:richText/>
              </w:sdtPr>
              <w:sdtContent>
                <w:p>
                  <w:pPr>
                    <w:widowControl w:val="0"/>
                    <w:tabs>
                      <w:tab w:val="left" w:pos="1276"/>
                    </w:tabs>
                    <w:ind w:firstLine="720"/>
                    <w:jc w:val="both"/>
                    <w:rPr>
                      <w:szCs w:val="24"/>
                      <w:lang w:eastAsia="lt-LT"/>
                    </w:rPr>
                  </w:pPr>
                  <w:sdt>
                    <w:sdtPr>
                      <w:alias w:val="Numeris"/>
                      <w:tag w:val="nr_2a13063eb89343d6a45cb5345f9d78bd"/>
                      <w:lock w:val="sdtLocked"/>
                      <w:richText/>
                    </w:sdtPr>
                    <w:sdtContent>
                      <w:r>
                        <w:rPr>
                          <w:rFonts w:eastAsia="Calibri"/>
                          <w:szCs w:val="24"/>
                          <w:lang w:eastAsia="lt-LT"/>
                        </w:rPr>
                        <w:t>71</w:t>
                      </w:r>
                    </w:sdtContent>
                  </w:sdt>
                  <w:r>
                    <w:rPr>
                      <w:rFonts w:eastAsia="Calibri"/>
                      <w:szCs w:val="24"/>
                      <w:lang w:eastAsia="lt-LT"/>
                    </w:rPr>
                    <w:t>. Jei vaiko priežiūros išmokos gavėjas, kuriam suteiktos vaiko priežiūros atostogos, kreipiasi dėl vaiko priežiūros išmokos už kitą vaiką, turi būti pateikti įsakymo (potvarkio) dėl vaiko priežiūros atostogų suteikimo vaiko priežiūrai kopija, nuorašas ar išrašas (jeigu nepateiktas pranešimas apie apdraustajam asmeniui suteiktas (atšauktas) tėvystės atostogas arba atostogas vaikui prižiūrėti (forma 9-SD) arba pranešimas apie pasirinktą tėvystės laikotarpį ar vaiko priežiūros laikotarpį) dėl kiekvieno vaiko.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2 p."/>
                <w:tag w:val="part_7b1696135e6449f79577c6b0e65ffeaf"/>
                <w:lock w:val="sdtLocked"/>
                <w:richText/>
              </w:sdtPr>
              <w:sdtContent>
                <w:p>
                  <w:pPr>
                    <w:widowControl w:val="0"/>
                    <w:tabs>
                      <w:tab w:val="left" w:pos="993"/>
                      <w:tab w:val="left" w:pos="1276"/>
                    </w:tabs>
                    <w:ind w:firstLine="720"/>
                    <w:jc w:val="both"/>
                    <w:rPr>
                      <w:szCs w:val="24"/>
                      <w:lang w:eastAsia="lt-LT"/>
                    </w:rPr>
                  </w:pPr>
                  <w:sdt>
                    <w:sdtPr>
                      <w:alias w:val="Numeris"/>
                      <w:tag w:val="nr_7b1696135e6449f79577c6b0e65ffeaf"/>
                      <w:lock w:val="sdtLocked"/>
                      <w:richText/>
                    </w:sdtPr>
                    <w:sdtContent>
                      <w:r>
                        <w:rPr>
                          <w:szCs w:val="24"/>
                        </w:rPr>
                        <w:t>72</w:t>
                      </w:r>
                    </w:sdtContent>
                  </w:sdt>
                  <w:r>
                    <w:rPr>
                      <w:szCs w:val="24"/>
                    </w:rPr>
                    <w:t xml:space="preserve">. Vaiko priežiūros, tėvystės atostogų ir 14 dienų atostogų, suteiktų pagal Darbo kodekso 132 straipsnio 1 dalį, laikotarpis vaiko priežiūros, tėvystės ir motinystės išmokai mokėti nustatomas pagal Apdraustųjų valstybiniu socialiniu draudimu ir valstybinio socialinio draudimo išmokų gavėjų registro duomenis arba apdraustojo asmens pateiktą įsakymo (potvarkio) dėl vaiko priežiūros ar tėvystės atostogų arba </w:t>
                  </w:r>
                  <w:r>
                    <w:t xml:space="preserve">14 dienų atostogų pagal Darbo kodekso 132 straipsnio 1 dalį </w:t>
                  </w:r>
                  <w:r>
                    <w:rPr>
                      <w:szCs w:val="24"/>
                    </w:rPr>
                    <w:t>suteikimo kopiją, nuorašą ar išrašą.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73 p."/>
                <w:tag w:val="part_0c2ed334ded0461795f5853ac09d9e8a"/>
                <w:lock w:val="sdtLocked"/>
                <w:richText/>
              </w:sdtPr>
              <w:sdtContent>
                <w:p>
                  <w:pPr>
                    <w:widowControl w:val="0"/>
                    <w:tabs>
                      <w:tab w:val="left" w:pos="1276"/>
                    </w:tabs>
                    <w:ind w:firstLine="720"/>
                    <w:jc w:val="both"/>
                  </w:pPr>
                  <w:sdt>
                    <w:sdtPr>
                      <w:alias w:val="Numeris"/>
                      <w:tag w:val="nr_0c2ed334ded0461795f5853ac09d9e8a"/>
                      <w:lock w:val="sdtLocked"/>
                      <w:richText/>
                    </w:sdtPr>
                    <w:sdtContent>
                      <w:r>
                        <w:rPr>
                          <w:color w:val="000000"/>
                          <w:lang w:eastAsia="lt-LT"/>
                        </w:rPr>
                        <w:t>73</w:t>
                      </w:r>
                    </w:sdtContent>
                  </w:sdt>
                  <w:r>
                    <w:rPr>
                      <w:color w:val="000000"/>
                      <w:lang w:eastAsia="lt-LT"/>
                    </w:rPr>
                    <w:t>. Jei per Elektroninę gyventojų aptarnavimo sistemą (toliau – EGAS), per Nacionalinę elektroninių siuntų pristatymo, naudojant pašto tinklą, informacinę sistemą (toliau – E. pristatymo sistema), paštu arba atvykęs į bet kurį teritorinį skyrių dėl motinystės ar vaiko priežiūros išmokų kreipiasi asmuo, kurio darbo sutartis nėštumo metu ar nėštumo ir gimdymo atostogų arba vaiko priežiūros atostogų metu pasibaigė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kopiją, nuorašą ar išrašą).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3-1 p."/>
                <w:tag w:val="part_ccb027c131a84ae6910efe0a419baa6f"/>
                <w:lock w:val="sdtLocked"/>
                <w:richText/>
              </w:sdtPr>
              <w:sdtContent>
                <w:p>
                  <w:pPr>
                    <w:widowControl w:val="0"/>
                    <w:tabs>
                      <w:tab w:val="left" w:pos="993"/>
                      <w:tab w:val="left" w:pos="1276"/>
                    </w:tabs>
                    <w:ind w:firstLine="720"/>
                    <w:jc w:val="both"/>
                    <w:rPr>
                      <w:strike/>
                      <w:szCs w:val="24"/>
                      <w:lang w:eastAsia="lt-LT"/>
                    </w:rPr>
                  </w:pPr>
                  <w:sdt>
                    <w:sdtPr>
                      <w:alias w:val="Numeris"/>
                      <w:tag w:val="nr_ccb027c131a84ae6910efe0a419baa6f"/>
                      <w:lock w:val="sdtLocked"/>
                      <w:richText/>
                    </w:sdtPr>
                    <w:sdtContent>
                      <w:r>
                        <w:rPr>
                          <w:szCs w:val="24"/>
                        </w:rPr>
                        <w:t>73</w:t>
                      </w:r>
                      <w:r>
                        <w:rPr>
                          <w:szCs w:val="24"/>
                          <w:vertAlign w:val="superscript"/>
                        </w:rPr>
                        <w:t>1</w:t>
                      </w:r>
                    </w:sdtContent>
                  </w:sdt>
                  <w:r>
                    <w:rPr>
                      <w:szCs w:val="24"/>
                    </w:rPr>
                    <w:t xml:space="preserve">. Įstatymo 22 straipsnio 5 dalyje nurodytos aplinkybės nustatomos pagal registrų, valstybės </w:t>
                  </w:r>
                  <w:r>
                    <w:rPr>
                      <w:color w:val="000000"/>
                    </w:rPr>
                    <w:t xml:space="preserve">ir vidaus administravimo </w:t>
                  </w:r>
                  <w:r>
                    <w:rPr>
                      <w:szCs w:val="24"/>
                    </w:rPr>
                    <w:t>informacinių sistemų duomenis arba apdraustojo asmens pateiktas Įstatymo 22 straipsnio 5 dalyje nurodytų aplinkybių buvimą pagrindžiančių dokumentų kopijas ar išrašus.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acd1002c9c11efbdaea558de59136c">
                    <w:r w:rsidRPr="00532B9F">
                      <w:rPr>
                        <w:rFonts w:ascii="Arial" w:eastAsia="MS Mincho" w:hAnsi="Arial"/>
                        <w:sz w:val="20"/>
                        <w:i/>
                        <w:iCs/>
                        <w:color w:val="0000FF" w:themeColor="hyperlink"/>
                        <w:u w:val="single"/>
                      </w:rPr>
                      <w:t>482</w:t>
                    </w:r>
                  </w:fldSimple>
                  <w:r>
                    <w:rPr>
                      <w:rFonts w:ascii="Arial" w:eastAsia="MS Mincho" w:hAnsi="Arial"/>
                      <w:sz w:val="20"/>
                      <w:i/>
                      <w:iCs/>
                    </w:rPr>
                    <w:t>,
2024-06-12,
paskelbta TAR 2024-06-17, i. k. 2024-10969            </w:t>
                  </w:r>
                </w:p>
                <w:p/>
              </w:sdtContent>
            </w:sdt>
            <w:sdt>
              <w:sdtPr>
                <w:alias w:val="74 p."/>
                <w:tag w:val="part_905da696bd544a18a94281fd2ca5d3f5"/>
                <w:lock w:val="sdtLocked"/>
                <w:richText/>
              </w:sdtPr>
              <w:sdtContent>
                <w:p>
                  <w:pPr>
                    <w:ind w:firstLine="720"/>
                    <w:jc w:val="both"/>
                    <w:rPr>
                      <w:szCs w:val="24"/>
                      <w:lang w:eastAsia="lt-LT"/>
                    </w:rPr>
                  </w:pPr>
                  <w:sdt>
                    <w:sdtPr>
                      <w:alias w:val="Numeris"/>
                      <w:tag w:val="nr_905da696bd544a18a94281fd2ca5d3f5"/>
                      <w:lock w:val="sdtLocked"/>
                      <w:richText/>
                    </w:sdtPr>
                    <w:sdtContent>
                      <w:r>
                        <w:rPr>
                          <w:color w:val="000000"/>
                          <w:szCs w:val="24"/>
                          <w:lang w:eastAsia="lt-LT"/>
                        </w:rPr>
                        <w:t>74</w:t>
                      </w:r>
                    </w:sdtContent>
                  </w:sdt>
                  <w:r>
                    <w:rPr>
                      <w:color w:val="000000"/>
                      <w:szCs w:val="24"/>
                      <w:lang w:eastAsia="lt-LT"/>
                    </w:rPr>
                    <w:t>. Kreipiantis dėl socialinio draudimo išmokos skyrimo atvykus į teritorinį skyrių,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padaro dokumentų, išskyrus asmens tapatybę patvirtinantį dokumentą, Lietuvos Respublikos ilgalaikio gyventojo leidimą gyventi Europos Sąjungoje (teikiami šių dokumentų originalai, kurie, įsitikinus asmens tapatybe, grąžinami juos pateikusiam asmeniui), kopijas, o originalus grąžina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5 p."/>
                <w:tag w:val="part_7f8d32c9096045e7bfaaa030353821cc"/>
                <w:lock w:val="sdtLocked"/>
                <w:richText/>
              </w:sdtPr>
              <w:sdtContent>
                <w:p>
                  <w:pPr>
                    <w:ind w:firstLine="720"/>
                    <w:jc w:val="both"/>
                    <w:rPr>
                      <w:szCs w:val="24"/>
                      <w:lang w:eastAsia="lt-LT"/>
                    </w:rPr>
                  </w:pPr>
                  <w:sdt>
                    <w:sdtPr>
                      <w:alias w:val="Numeris"/>
                      <w:tag w:val="nr_7f8d32c9096045e7bfaaa030353821cc"/>
                      <w:lock w:val="sdtLocked"/>
                      <w:richText/>
                    </w:sdtPr>
                    <w:sdtContent>
                      <w:r>
                        <w:rPr>
                          <w:color w:val="000000"/>
                          <w:szCs w:val="24"/>
                          <w:lang w:eastAsia="lt-LT"/>
                        </w:rPr>
                        <w:t>75</w:t>
                      </w:r>
                    </w:sdtContent>
                  </w:sdt>
                  <w:r>
                    <w:rPr>
                      <w:color w:val="000000"/>
                      <w:szCs w:val="24"/>
                      <w:lang w:eastAsia="lt-LT"/>
                    </w:rPr>
                    <w:t>. Jeigu prašymas skirti socialinio draudimo išmoką siunčiamas paštu, prie jo pridedamos visų reikiamų dokumentų ir asmens tapatybę patvirtinančio dokumento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6 p."/>
                <w:tag w:val="part_b09b18c044bd4088a04571104d72b72b"/>
                <w:lock w:val="sdtLocked"/>
                <w:richText/>
              </w:sdtPr>
              <w:sdtContent>
                <w:p>
                  <w:pPr>
                    <w:ind w:firstLine="720"/>
                    <w:jc w:val="both"/>
                    <w:rPr>
                      <w:szCs w:val="24"/>
                      <w:lang w:eastAsia="lt-LT"/>
                    </w:rPr>
                  </w:pPr>
                  <w:sdt>
                    <w:sdtPr>
                      <w:alias w:val="Numeris"/>
                      <w:tag w:val="nr_b09b18c044bd4088a04571104d72b72b"/>
                      <w:lock w:val="sdtLocked"/>
                      <w:richText/>
                    </w:sdtPr>
                    <w:sdtContent>
                      <w:r>
                        <w:rPr>
                          <w:color w:val="000000"/>
                          <w:szCs w:val="24"/>
                          <w:lang w:eastAsia="lt-LT"/>
                        </w:rPr>
                        <w:t>76</w:t>
                      </w:r>
                    </w:sdtContent>
                  </w:sdt>
                  <w:r>
                    <w:rPr>
                      <w:color w:val="000000"/>
                      <w:szCs w:val="24"/>
                      <w:lang w:eastAsia="lt-LT"/>
                    </w:rPr>
                    <w:t>. Jeigu prašymas skirti socialinio draudimo išmoką teikiamas per EGAS, per E.</w:t>
                  </w:r>
                  <w:r>
                    <w:rPr>
                      <w:rFonts w:eastAsia="Calibri"/>
                      <w:szCs w:val="24"/>
                      <w:lang w:eastAsia="lt-LT"/>
                    </w:rPr>
                    <w:t> </w:t>
                  </w:r>
                  <w:r>
                    <w:rPr>
                      <w:color w:val="000000"/>
                      <w:szCs w:val="24"/>
                      <w:lang w:eastAsia="lt-LT"/>
                    </w:rPr>
                    <w:t>pristatymo sistemą, prie jo pridedamos visų reikiamų dokumentų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3cbdbdfbbe384dec8a21df7a5120bc5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bdbdfbbe384dec8a21df7a5120bc51"/>
                      <w:lock w:val="sdtLocked"/>
                      <w:richText/>
                    </w:sdtPr>
                    <w:sdtContent>
                      <w:r>
                        <w:rPr>
                          <w:szCs w:val="24"/>
                          <w:lang w:eastAsia="lt-LT"/>
                        </w:rPr>
                        <w:t>79</w:t>
                      </w:r>
                    </w:sdtContent>
                  </w:sdt>
                  <w:r>
                    <w:rPr>
                      <w:szCs w:val="24"/>
                      <w:lang w:eastAsia="lt-LT"/>
                    </w:rPr>
                    <w:t>. Įstatymo 18 straipsnio 3 dalyje, 21 straipsnio 3 dalyje ir 24 straipsnio 7 ir 8 dalyse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w:t>
                  </w:r>
                  <w:r>
                    <w:rPr>
                      <w:rFonts w:eastAsia="Calibri"/>
                      <w:szCs w:val="24"/>
                      <w:lang w:eastAsia="lt-LT"/>
                    </w:rPr>
                    <w:t> </w:t>
                  </w:r>
                  <w:r>
                    <w:rPr>
                      <w:szCs w:val="24"/>
                      <w:lang w:eastAsia="lt-LT"/>
                    </w:rPr>
                    <w:t>Valstybinė mokesčių inspekcija) pateiktas metines pajamų deklaracijas, ir (arba) asmens pateiktus dokumentus, patvirtinančius darbinės veiklos pajamas, kurios pagal Įstatymą nėra draudžiamosios pajamos.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2f6ce9783d704e1695c11e272ea952e8"/>
                <w:lock w:val="sdtLocked"/>
                <w:richText/>
              </w:sdtPr>
              <w:sdtContent>
                <w:p>
                  <w:pPr>
                    <w:widowControl w:val="0"/>
                    <w:tabs>
                      <w:tab w:val="left" w:pos="1276"/>
                    </w:tabs>
                    <w:ind w:firstLine="720"/>
                    <w:jc w:val="both"/>
                    <w:rPr>
                      <w:rFonts w:eastAsia="Calibri"/>
                      <w:szCs w:val="24"/>
                      <w:lang w:eastAsia="lt-LT"/>
                    </w:rPr>
                  </w:pPr>
                  <w:sdt>
                    <w:sdtPr>
                      <w:alias w:val="Numeris"/>
                      <w:tag w:val="nr_2f6ce9783d704e1695c11e272ea952e8"/>
                      <w:lock w:val="sdtLocked"/>
                      <w:richText/>
                    </w:sdtPr>
                    <w:sdtContent>
                      <w:r>
                        <w:rPr>
                          <w:rFonts w:eastAsia="Calibri"/>
                          <w:szCs w:val="24"/>
                          <w:lang w:eastAsia="lt-LT"/>
                        </w:rPr>
                        <w:t>83</w:t>
                      </w:r>
                    </w:sdtContent>
                  </w:sdt>
                  <w:r>
                    <w:rPr>
                      <w:rFonts w:eastAsia="Calibri"/>
                      <w:szCs w:val="24"/>
                      <w:lang w:eastAsia="lt-LT"/>
                    </w:rPr>
                    <w:t>. Įstatymo 18 straipsnio 3 dalyje, 21 straipsnio 3 dalyje ir 24 straipsnio 8 dalyje nustatytais atvejais iš</w:t>
                  </w:r>
                  <w:r>
                    <w:rPr>
                      <w:rFonts w:eastAsia="Calibri"/>
                      <w:b/>
                      <w:bCs/>
                      <w:szCs w:val="24"/>
                      <w:lang w:eastAsia="lt-LT"/>
                    </w:rPr>
                    <w:t xml:space="preserve"> </w:t>
                  </w:r>
                  <w:r>
                    <w:rPr>
                      <w:rFonts w:eastAsia="Calibri"/>
                      <w:szCs w:val="24"/>
                      <w:lang w:eastAsia="lt-LT"/>
                    </w:rPr>
                    <w:t>paskirtos motinystės, tėvystės ar vaiko priežiūros išmokos (bendros išmokų sumos) atimamos tą patį mėnesį, už kurį mokama atitinkamai motinystės, tėvystės ar vaiko priežiūros išmokos (bendros išmokų sumos) dalis, apskaičiuotos pajamos ir (ar) išmokos, nurodytos Įstatymo 18 straipsnio 3 dalyje, 21 straipsnio 3 dalyje ir 24 straipsnio 8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p>
                  <w:pPr>
                    <w:widowControl w:val="0"/>
                    <w:tabs>
                      <w:tab w:val="left" w:pos="1276"/>
                    </w:tabs>
                    <w:ind w:firstLine="720"/>
                    <w:jc w:val="both"/>
                  </w:pPr>
                  <w:r>
                    <w:rPr>
                      <w:rFonts w:eastAsia="Calibri"/>
                      <w:bCs/>
                      <w:szCs w:val="22"/>
                      <w:lang w:eastAsia="lt-LT"/>
                    </w:rPr>
                    <w:t>Jei, mokant vaiko priežiūros išmoką, tą patį mėnesį keičiasi išmokos dydis, nurodytas Įstatymo 24 straipsnio 1–4 dalyse, ir asmuo tuo laikotarpiu turi pajamų ir (ar) išmokų, šių pajamų ir (ar) išmokų, gautų ir (ar) mokėtų skirtingais vaiko priežiūros išmokos dydžių galiojimo laikotarpiais, sumos apskaičiuojamos proporcingai pagal kalendorines to mėnesio dienas (visą mėnesio pajamų ir (ar) išmokų sumą dalijant iš to paties mėnesio kalendorinių dienų skaičiaus ir dauginant iš kiekvieno laikotarpio kalendorinių dienų skaičiaus).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83-1 p."/>
                <w:tag w:val="part_9f4f938fbc1543b581f73ed577befd03"/>
                <w:lock w:val="sdtLocked"/>
                <w:richText/>
              </w:sdtPr>
              <w:sdtContent>
                <w:p>
                  <w:pPr>
                    <w:widowControl w:val="0"/>
                    <w:tabs>
                      <w:tab w:val="left" w:pos="1276"/>
                    </w:tabs>
                    <w:ind w:firstLine="720"/>
                    <w:jc w:val="both"/>
                    <w:rPr>
                      <w:rFonts w:eastAsia="Calibri"/>
                      <w:szCs w:val="22"/>
                      <w:lang w:eastAsia="lt-LT"/>
                    </w:rPr>
                  </w:pPr>
                  <w:sdt>
                    <w:sdtPr>
                      <w:alias w:val="Numeris"/>
                      <w:tag w:val="nr_9f4f938fbc1543b581f73ed577befd03"/>
                      <w:lock w:val="sdtLocked"/>
                      <w:richText/>
                    </w:sdtPr>
                    <w:sdtContent>
                      <w:r>
                        <w:rPr>
                          <w:rFonts w:eastAsia="Calibri"/>
                          <w:szCs w:val="24"/>
                          <w:lang w:eastAsia="lt-LT"/>
                        </w:rPr>
                        <w:t>83</w:t>
                      </w:r>
                      <w:r>
                        <w:rPr>
                          <w:rFonts w:eastAsia="Calibri"/>
                          <w:szCs w:val="24"/>
                          <w:vertAlign w:val="superscript"/>
                          <w:lang w:eastAsia="lt-LT"/>
                        </w:rPr>
                        <w:t>1</w:t>
                      </w:r>
                    </w:sdtContent>
                  </w:sdt>
                  <w:r>
                    <w:rPr>
                      <w:rFonts w:eastAsia="Calibri"/>
                      <w:szCs w:val="24"/>
                      <w:lang w:eastAsia="lt-LT"/>
                    </w:rPr>
                    <w:t xml:space="preserve">. Įstatymo 24 straipsnio </w:t>
                  </w:r>
                  <w:r>
                    <w:rPr>
                      <w:color w:val="000000"/>
                      <w:szCs w:val="24"/>
                    </w:rPr>
                    <w:t xml:space="preserve">7 dalyje nustatytu atveju asmenų vidutinio mėnesinio kompensuojamojo uždarbio, apriboto </w:t>
                  </w:r>
                  <w:r>
                    <w:rPr>
                      <w:color w:val="000000"/>
                    </w:rPr>
                    <w:t>Įstatymo 6 straipsnio 5</w:t>
                  </w:r>
                  <w:r>
                    <w:rPr>
                      <w:color w:val="000000"/>
                      <w:vertAlign w:val="superscript"/>
                    </w:rPr>
                    <w:t>1</w:t>
                  </w:r>
                  <w:r>
                    <w:rPr>
                      <w:color w:val="000000"/>
                    </w:rPr>
                    <w:t xml:space="preserve"> dalyje nurodytu</w:t>
                  </w:r>
                  <w:r>
                    <w:rPr>
                      <w:szCs w:val="24"/>
                    </w:rPr>
                    <w:t xml:space="preserve"> </w:t>
                  </w:r>
                  <w:r>
                    <w:rPr>
                      <w:color w:val="000000"/>
                      <w:szCs w:val="24"/>
                    </w:rPr>
                    <w:t>minimaliu ir maksimaliu kompensuojamojo uždarbio dydžiu, dydis (toliau šiame punkte – vidutinis mėnesinis kompensuojamasis uždarbis) lyginamas su atitinkamą mėnesį paskirtos vaiko priežiūros išmokos (bendros šių išmokų sumos) ir tą patį mėnesį, už kurį mokama vaiko priežiūros išmoka (bendra šių išmokų suma), apskaičiuotų pajamų ir (ar) išmokų, nurodytų Įstatymo 24 straipsnio 7 dalyje, suma.</w:t>
                  </w:r>
                </w:p>
                <w:p>
                  <w:pPr>
                    <w:widowControl w:val="0"/>
                    <w:tabs>
                      <w:tab w:val="left" w:pos="1276"/>
                    </w:tabs>
                    <w:ind w:firstLine="720"/>
                    <w:jc w:val="both"/>
                    <w:rPr>
                      <w:rFonts w:eastAsia="Calibri"/>
                      <w:szCs w:val="22"/>
                      <w:lang w:eastAsia="lt-LT"/>
                    </w:rPr>
                  </w:pPr>
                  <w:r>
                    <w:rPr>
                      <w:rFonts w:eastAsia="Calibri"/>
                      <w:szCs w:val="22"/>
                      <w:lang w:eastAsia="lt-LT"/>
                    </w:rPr>
                    <w:t xml:space="preserve">Viso dydžio vaiko priežiūros išmoka </w:t>
                  </w:r>
                  <w:r>
                    <w:rPr>
                      <w:rFonts w:eastAsia="Calibri"/>
                      <w:szCs w:val="24"/>
                      <w:lang w:eastAsia="lt-LT"/>
                    </w:rPr>
                    <w:t xml:space="preserve">(bendra šių išmokų suma) </w:t>
                  </w:r>
                  <w:r>
                    <w:rPr>
                      <w:rFonts w:eastAsia="Calibri"/>
                      <w:szCs w:val="22"/>
                      <w:lang w:eastAsia="lt-LT"/>
                    </w:rPr>
                    <w:t xml:space="preserve">mokama, jei paskirtos vaiko priežiūros išmokos (bendros šių išmokų sumos) ir atitinkamą mėnesį apskaičiuotų pajamų ir (ar) išmokų, nurodytų Įstatymo 24 straipsnio 7 dalyje, suma neviršija asmens vidutinio mėnesinio kompensuojamojo uždarbio arba yra jam lygi. </w:t>
                  </w:r>
                </w:p>
                <w:p>
                  <w:pPr>
                    <w:widowControl w:val="0"/>
                    <w:tabs>
                      <w:tab w:val="left" w:pos="1276"/>
                    </w:tabs>
                    <w:ind w:firstLine="720"/>
                    <w:jc w:val="both"/>
                    <w:rPr>
                      <w:szCs w:val="24"/>
                      <w:lang w:eastAsia="lt-LT"/>
                    </w:rPr>
                  </w:pPr>
                  <w:r>
                    <w:rPr>
                      <w:rFonts w:eastAsia="Calibri"/>
                      <w:szCs w:val="22"/>
                      <w:lang w:eastAsia="lt-LT"/>
                    </w:rPr>
                    <w:t>Vaiko priežiūros išmokos dalis (vidutinio mėnesinio kompensuojamojo uždarbio ir apskaičiuotų pajamų ir (ar) išmokų, nurodytų Įstatymo 24 straipsnio 7 dalyje, skirtumas) mokama, jei apskaičiuotos pajamos ir (ar) išmokos, nurodytos Įstatymo 24</w:t>
                  </w:r>
                  <w:r>
                    <w:rPr>
                      <w:rFonts w:eastAsia="Calibri"/>
                      <w:sz w:val="22"/>
                      <w:lang w:eastAsia="lt-LT"/>
                    </w:rPr>
                    <w:t xml:space="preserve"> </w:t>
                  </w:r>
                  <w:r>
                    <w:rPr>
                      <w:rFonts w:eastAsia="Calibri"/>
                      <w:szCs w:val="22"/>
                      <w:lang w:eastAsia="lt-LT"/>
                    </w:rPr>
                    <w:t xml:space="preserve">straipsnio 7 dalyje, yra mažesnės nei asmens vidutinis mėnesinis kompensuojamasis uždarbis. Jei </w:t>
                  </w:r>
                  <w:r>
                    <w:rPr>
                      <w:rFonts w:eastAsia="Calibri"/>
                      <w:szCs w:val="24"/>
                      <w:lang w:eastAsia="lt-LT"/>
                    </w:rPr>
                    <w:t>apskaičiuotos pajamos ir (ar) išmokos,</w:t>
                  </w:r>
                  <w:r>
                    <w:rPr>
                      <w:rFonts w:eastAsia="Calibri"/>
                      <w:szCs w:val="22"/>
                      <w:lang w:eastAsia="lt-LT"/>
                    </w:rPr>
                    <w:t xml:space="preserve"> </w:t>
                  </w:r>
                  <w:r>
                    <w:rPr>
                      <w:rFonts w:eastAsia="Calibri"/>
                      <w:szCs w:val="24"/>
                      <w:lang w:eastAsia="lt-LT"/>
                    </w:rPr>
                    <w:t>nurodytos Įstatymo 24 straipsnio 7 dalyje, yra lygios vidutiniam mėnesiniam kompensuojamajam uždarbiui arba didesnės už jį, vaiko priežiūros išmoka (bendra šių išmokų suma) nemokama.</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e286d0927211eea5a28c81c82193a8">
                    <w:r w:rsidRPr="00532B9F">
                      <w:rPr>
                        <w:rFonts w:ascii="Arial" w:eastAsia="MS Mincho" w:hAnsi="Arial"/>
                        <w:sz w:val="20"/>
                        <w:i/>
                        <w:iCs/>
                        <w:color w:val="0000FF" w:themeColor="hyperlink"/>
                        <w:u w:val="single"/>
                      </w:rPr>
                      <w:t>928</w:t>
                    </w:r>
                  </w:fldSimple>
                  <w:r>
                    <w:rPr>
                      <w:rFonts w:ascii="Arial" w:eastAsia="MS Mincho" w:hAnsi="Arial"/>
                      <w:sz w:val="20"/>
                      <w:i/>
                      <w:iCs/>
                    </w:rPr>
                    <w:t>,
2023-11-29,
paskelbta TAR 2023-12-04, i. k. 2023-23393            </w:t>
                  </w:r>
                </w:p>
                <w:p/>
              </w:sdtContent>
            </w:sdt>
            <w:sdt>
              <w:sdtPr>
                <w:alias w:val="84 p."/>
                <w:tag w:val="part_dc438e8315d94dee8cd5ab054d0f7053"/>
                <w:lock w:val="sdtLocked"/>
                <w:richText/>
              </w:sdtPr>
              <w:sdtContent>
                <w:p>
                  <w:pPr>
                    <w:widowControl w:val="0"/>
                    <w:tabs>
                      <w:tab w:val="left" w:pos="1276"/>
                    </w:tabs>
                    <w:ind w:firstLine="720"/>
                    <w:jc w:val="both"/>
                    <w:rPr>
                      <w:szCs w:val="24"/>
                      <w:lang w:eastAsia="lt-LT"/>
                    </w:rPr>
                  </w:pPr>
                  <w:sdt>
                    <w:sdtPr>
                      <w:alias w:val="Numeris"/>
                      <w:tag w:val="nr_dc438e8315d94dee8cd5ab054d0f7053"/>
                      <w:lock w:val="sdtLocked"/>
                      <w:richText/>
                    </w:sdtPr>
                    <w:sdtContent>
                      <w:r>
                        <w:rPr>
                          <w:rFonts w:eastAsia="Calibri"/>
                          <w:szCs w:val="24"/>
                          <w:lang w:eastAsia="lt-LT"/>
                        </w:rPr>
                        <w:t>84</w:t>
                      </w:r>
                    </w:sdtContent>
                  </w:sdt>
                  <w:r>
                    <w:rPr>
                      <w:rFonts w:eastAsia="Calibri"/>
                      <w:szCs w:val="24"/>
                      <w:lang w:eastAsia="lt-LT"/>
                    </w:rPr>
                    <w:t xml:space="preserve">. Jei motinystės, tėvystės ar vaiko priežiūros išmokos (bendros išmokų sumos) dalis mokama ne už visą mėnesį, taip pat jei išmokos gavėjui pajamos ir (ar) išmokos apskaičiuotos ne už visą mėnesį, lyginamos tik tos asmens pajamos ir (ar) išmokos, kurios apskaičiuotos motinystės, tėvystės ar vaiko priežiūros išmokos (bendros išmokų sumos) dalies mokėjimo laikotarpiu </w:t>
                  </w:r>
                  <w:r>
                    <w:rPr>
                      <w:lang w:eastAsia="lt-LT"/>
                    </w:rPr>
                    <w:br/>
                  </w:r>
                  <w:r>
                    <w:rPr>
                      <w:rFonts w:eastAsia="Calibri"/>
                      <w:szCs w:val="24"/>
                      <w:lang w:eastAsia="lt-LT"/>
                    </w:rPr>
                    <w:t>pagal asmens pateiktą darbo užmokesčio (darbinės veiklos pajamų) pažymą (-as) ir (ar) dokumentus, patvirtinančius gautų pajamų dydį ir laikotarpį, už kurį jos apskaičiuotos. Jei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apie šias išmokas jis turi pateikti pažymą, kurioje nurodytas gavimo mėnuo. Apskaičiuojant atitinkamos išmokos ir minėtų pajamų skirtumą, užsienyje gautos pajamos perskaičiuojamos pagal Lietuvos Respublikos centrinio banko nustatytą oficialų valiutų kursą atitinkamų pajamų gavimo dieną.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Arial" w:hAnsi="Arial"/>
                      <w:b/>
                      <w:bCs/>
                      <w:sz w:val="22"/>
                    </w:rPr>
                  </w:pPr>
                  <w:r>
                    <w:rPr>
                      <w:rFonts w:ascii="Arial" w:hAnsi="Arial"/>
                      <w:sz w:val="22"/>
                    </w:rPr>
                    <w:t>88</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28566d0dfaf11eb9f09e7df20500045">
                    <w:r w:rsidRPr="00532B9F">
                      <w:rPr>
                        <w:rFonts w:ascii="Arial" w:eastAsia="MS Mincho" w:hAnsi="Arial"/>
                        <w:sz w:val="20"/>
                        <w:i/>
                        <w:iCs/>
                        <w:color w:val="0000FF" w:themeColor="hyperlink"/>
                        <w:u w:val="single"/>
                      </w:rPr>
                      <w:t>529</w:t>
                    </w:r>
                  </w:fldSimple>
                  <w:r>
                    <w:rPr>
                      <w:rFonts w:ascii="Arial" w:eastAsia="MS Mincho" w:hAnsi="Arial"/>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Arial" w:hAnsi="Arial"/>
                      <w:b/>
                      <w:bCs/>
                      <w:sz w:val="22"/>
                    </w:rPr>
                  </w:pPr>
                  <w:r>
                    <w:rPr>
                      <w:rFonts w:ascii="Arial" w:hAnsi="Arial"/>
                      <w:sz w:val="22"/>
                    </w:rPr>
                    <w:t>91</w:t>
                  </w:r>
                  <w:r>
                    <w:rPr>
                      <w:rFonts w:ascii="Arial" w:hAnsi="Arial"/>
                      <w:sz w:val="22"/>
                    </w:rPr>
                    <w:t>.</w:t>
                  </w:r>
                  <w:r>
                    <w:rPr>
                      <w:rFonts w:ascii="Arial" w:eastAsia="MS Mincho" w:hAnsi="Arial"/>
                      <w:sz w:val="20"/>
                      <w:i/>
                      <w:iCs/>
                    </w:rPr>
                    <w:t xml:space="preserve"> Neteko galios nuo 2020-10-21</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3-1 p."/>
                <w:tag w:val="part_e247e391dfd94ba182c79d8412a9140d"/>
                <w:lock w:val="sdtLocked"/>
                <w:richText/>
              </w:sdtPr>
              <w:sdtContent>
                <w:p>
                  <w:pPr>
                    <w:ind w:firstLine="720"/>
                    <w:jc w:val="both"/>
                    <w:rPr>
                      <w:szCs w:val="24"/>
                      <w:lang w:eastAsia="lt-LT"/>
                    </w:rPr>
                  </w:pPr>
                  <w:sdt>
                    <w:sdtPr>
                      <w:alias w:val="Numeris"/>
                      <w:tag w:val="nr_e247e391dfd94ba182c79d8412a9140d"/>
                      <w:lock w:val="sdtLocked"/>
                      <w:richText/>
                    </w:sdtPr>
                    <w:sdtContent>
                      <w:r>
                        <w:rPr>
                          <w:szCs w:val="24"/>
                          <w:lang w:eastAsia="lt-LT"/>
                        </w:rPr>
                        <w:t>93</w:t>
                      </w:r>
                      <w:r>
                        <w:rPr>
                          <w:szCs w:val="24"/>
                          <w:vertAlign w:val="superscript"/>
                          <w:lang w:eastAsia="lt-LT"/>
                        </w:rPr>
                        <w:t>1</w:t>
                      </w:r>
                    </w:sdtContent>
                  </w:sdt>
                  <w:r>
                    <w:rPr>
                      <w:szCs w:val="24"/>
                      <w:lang w:eastAsia="lt-LT"/>
                    </w:rPr>
                    <w:t>. Tėvystės išmoka išmokama pasibaigus tėvystės atostogoms ar tėvystės laikotarpiui, jei suteikiamos nepertraukiamos tėvystės atostogos ar pasirenkamas nepertraukiamas tėvystės laikotarpis, arba pasibaigus kiekvienai tėvystės atostogų ar tėvystės laikotarpio daliai, jei tėvystės atostogos suteikiamos ar tėvystės laikotarpis pasirenkamas dalimis.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94 p."/>
                <w:tag w:val="part_0e1be4e8b90f4810955b1a863be80869"/>
                <w:lock w:val="sdtLocked"/>
                <w:richText/>
              </w:sdtPr>
              <w:sdtContent>
                <w:p>
                  <w:pPr>
                    <w:widowControl w:val="0"/>
                    <w:tabs>
                      <w:tab w:val="left" w:pos="1276"/>
                    </w:tabs>
                    <w:ind w:firstLine="720"/>
                    <w:jc w:val="both"/>
                    <w:rPr>
                      <w:szCs w:val="24"/>
                      <w:lang w:eastAsia="lt-LT"/>
                    </w:rPr>
                  </w:pPr>
                  <w:sdt>
                    <w:sdtPr>
                      <w:alias w:val="Numeris"/>
                      <w:tag w:val="nr_0e1be4e8b90f4810955b1a863be80869"/>
                      <w:lock w:val="sdtLocked"/>
                      <w:richText/>
                    </w:sdtPr>
                    <w:sdtContent>
                      <w:r>
                        <w:rPr>
                          <w:rFonts w:eastAsia="Calibri"/>
                          <w:szCs w:val="24"/>
                          <w:lang w:eastAsia="lt-LT"/>
                        </w:rPr>
                        <w:t>94</w:t>
                      </w:r>
                    </w:sdtContent>
                  </w:sdt>
                  <w:r>
                    <w:rPr>
                      <w:rFonts w:eastAsia="Calibri"/>
                      <w:szCs w:val="24"/>
                      <w:lang w:eastAsia="lt-LT"/>
                    </w:rPr>
                    <w:t>. Jeigu sprendimas dėl tėvystės išmokos skyrimo priimamas nepasibaigus tėvystės atostogoms arba pasirinktam tėvystės laikotarpiui, išmoka per 5 darbo dienas nuo šių atostogų arba pasirinkto tėvystės laikotarpio pabaigos pervedama į išmokos gavėjo nurodytą asmeninę sąskaitą kredito ar mokėjimo įstaigoje.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95 p."/>
                <w:tag w:val="part_0f2113659b2f4c75921998e8c57d8f98"/>
                <w:lock w:val="sdtLocked"/>
                <w:richText/>
              </w:sdtPr>
              <w:sdtContent>
                <w:p>
                  <w:pPr>
                    <w:pStyle w:val="PlainText"/>
                    <w:ind w:firstLine="567"/>
                    <w:jc w:val="both"/>
                    <w:rPr>
                      <w:rFonts w:ascii="Arial" w:hAnsi="Arial"/>
                      <w:b/>
                      <w:bCs/>
                      <w:sz w:val="22"/>
                    </w:rPr>
                  </w:pPr>
                  <w:r>
                    <w:rPr>
                      <w:rFonts w:ascii="Arial" w:hAnsi="Arial"/>
                      <w:sz w:val="22"/>
                    </w:rPr>
                    <w:t>95</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e04e30694211e8ac27abd8fa093003">
                    <w:r w:rsidRPr="00532B9F">
                      <w:rPr>
                        <w:rFonts w:ascii="Arial" w:eastAsia="MS Mincho" w:hAnsi="Arial"/>
                        <w:sz w:val="20"/>
                        <w:i/>
                        <w:iCs/>
                        <w:color w:val="0000FF" w:themeColor="hyperlink"/>
                        <w:u w:val="single"/>
                      </w:rPr>
                      <w:t>524</w:t>
                    </w:r>
                  </w:fldSimple>
                  <w:r>
                    <w:rPr>
                      <w:rFonts w:ascii="Arial" w:eastAsia="MS Mincho" w:hAnsi="Arial"/>
                      <w:sz w:val="20"/>
                      <w:i/>
                      <w:iCs/>
                    </w:rPr>
                    <w:t>,
2018-05-30,
paskelbta TAR 2018-06-06, i. k. 2018-09434            </w:t>
                  </w:r>
                </w:p>
                <w:p/>
              </w:sdtContent>
            </w:sdt>
            <w:sdt>
              <w:sdtPr>
                <w:alias w:val="97 p."/>
                <w:tag w:val="part_125a509ba8634295af9b3b18a9ff11f3"/>
                <w:lock w:val="sdtLocked"/>
                <w:richText/>
              </w:sdtPr>
              <w:sdtContent>
                <w:p>
                  <w:pPr>
                    <w:ind w:right="-54" w:firstLine="720"/>
                    <w:jc w:val="both"/>
                    <w:rPr>
                      <w:szCs w:val="24"/>
                      <w:lang w:eastAsia="lt-LT"/>
                    </w:rPr>
                  </w:pPr>
                  <w:sdt>
                    <w:sdtPr>
                      <w:alias w:val="Numeris"/>
                      <w:tag w:val="nr_125a509ba8634295af9b3b18a9ff11f3"/>
                      <w:lock w:val="sdtLocked"/>
                      <w:richText/>
                    </w:sdtPr>
                    <w:sdtContent>
                      <w:r>
                        <w:rPr>
                          <w:szCs w:val="24"/>
                          <w:lang w:eastAsia="lt-LT"/>
                        </w:rPr>
                        <w:t>97</w:t>
                      </w:r>
                    </w:sdtContent>
                  </w:sdt>
                  <w:r>
                    <w:rPr>
                      <w:szCs w:val="24"/>
                      <w:lang w:eastAsia="lt-LT"/>
                    </w:rPr>
                    <w:t xml:space="preserve">. Meno kūrėjo statusą turintiems darbingo amžiaus asmenims arba sportininkams, kuriems </w:t>
                  </w:r>
                  <w:r>
                    <w:rPr>
                      <w:color w:val="000000"/>
                      <w:szCs w:val="24"/>
                      <w:lang w:eastAsia="lt-LT"/>
                    </w:rPr>
                    <w:t>Lietuvos Respublikos sporto įstatymo nustatyta tvarka yra mokama valstybės stipendija,</w:t>
                  </w:r>
                  <w:r>
                    <w:rPr>
                      <w:szCs w:val="22"/>
                      <w:lang w:eastAsia="lt-LT"/>
                    </w:rPr>
                    <w:t xml:space="preserve"> </w:t>
                  </w:r>
                  <w:r>
                    <w:rPr>
                      <w:szCs w:val="24"/>
                      <w:lang w:eastAsia="lt-LT"/>
                    </w:rPr>
                    <w:t xml:space="preserve">socialinio draudimo išmokos apskaičiuojamos ir mokamos Nuostatų nustatyta </w:t>
                  </w:r>
                  <w:r>
                    <w:rPr>
                      <w:color w:val="000000"/>
                      <w:szCs w:val="24"/>
                      <w:lang w:eastAsia="lt-LT"/>
                    </w:rPr>
                    <w:t xml:space="preserve">tvarka, laikant, kad šie asmenys teisės į socialinio draudimo išmoką atsiradimo dieną draudžiami </w:t>
                  </w:r>
                  <w:r>
                    <w:rPr>
                      <w:szCs w:val="24"/>
                      <w:lang w:eastAsia="lt-LT"/>
                    </w:rPr>
                    <w:t>ligos ir motinystės socialiniu draudimu.</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sdtContent>
            </w:sdt>
            <w:sdt>
              <w:sdtPr>
                <w:alias w:val="98 p."/>
                <w:tag w:val="part_a272d6c0bbcc4dc59d6c33c29ac13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72d6c0bbcc4dc59d6c33c29ac13320"/>
                      <w:lock w:val="sdtLocked"/>
                      <w:richText/>
                    </w:sdtPr>
                    <w:sdtContent>
                      <w:r>
                        <w:rPr>
                          <w:lang w:eastAsia="lt-LT"/>
                        </w:rPr>
                        <w:t>98</w:t>
                      </w:r>
                    </w:sdtContent>
                  </w:sdt>
                  <w:r>
                    <w:rPr>
                      <w:lang w:eastAsia="lt-LT"/>
                    </w:rPr>
                    <w:t xml:space="preserve">. Jeigu laikotarpiu, pagal kurio draudžiamąsias pajamas turi būti apskaičiuojamas kompensuojamasis uždarbis socialinio draudimo išmokų dydžiams nustatyti, meno kūrėjo statusą turintis asmuo </w:t>
                  </w:r>
                  <w:r>
                    <w:rPr>
                      <w:szCs w:val="24"/>
                      <w:lang w:eastAsia="lt-LT"/>
                    </w:rPr>
                    <w:t>arba sportininkas, kuriam Sporto įstatymo nustatyta tvarka yra mokama valstybės stipendija,</w:t>
                  </w:r>
                  <w:r>
                    <w:rPr>
                      <w:szCs w:val="22"/>
                      <w:lang w:eastAsia="lt-LT"/>
                    </w:rPr>
                    <w:t xml:space="preserve"> </w:t>
                  </w:r>
                  <w:r>
                    <w:rPr>
                      <w:lang w:eastAsia="lt-LT"/>
                    </w:rPr>
                    <w:t xml:space="preserve">negavo pajamų arba šio asmens per mėnesį gautos pajamos, nuo kurių skaičiuojamos ligos socialinio draudimo ir motinystės socialinio draudimo įmokos, nesiekia MMA, laikoma, kad šio asmens mėnesio draudžiamosios pajamos meno kūrėjo statuso turėjimo laikotarpiu </w:t>
                  </w:r>
                  <w:r>
                    <w:rPr>
                      <w:szCs w:val="24"/>
                      <w:lang w:eastAsia="lt-LT"/>
                    </w:rPr>
                    <w:t xml:space="preserve">arba laikotarpiu, kuriuo mokama valstybės stipendija, </w:t>
                  </w:r>
                  <w:r>
                    <w:rPr>
                      <w:lang w:eastAsia="lt-LT"/>
                    </w:rPr>
                    <w:t>yra lygios MMA.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sdtContent>
            </w:sdt>
            <w:sdt>
              <w:sdtPr>
                <w:alias w:val="99 p."/>
                <w:tag w:val="part_2cef2ee95d7a480b8d6629156ee5be42"/>
                <w:lock w:val="sdtLocked"/>
                <w:richText/>
              </w:sdtPr>
              <w:sdtContent>
                <w:p>
                  <w:pPr>
                    <w:widowControl w:val="0"/>
                    <w:tabs>
                      <w:tab w:val="left" w:pos="1276"/>
                    </w:tabs>
                    <w:ind w:firstLine="720"/>
                    <w:jc w:val="both"/>
                    <w:rPr>
                      <w:szCs w:val="24"/>
                      <w:lang w:eastAsia="lt-LT"/>
                    </w:rPr>
                  </w:pPr>
                  <w:sdt>
                    <w:sdtPr>
                      <w:alias w:val="Numeris"/>
                      <w:tag w:val="nr_2cef2ee95d7a480b8d6629156ee5be42"/>
                      <w:lock w:val="sdtLocked"/>
                      <w:richText/>
                    </w:sdtPr>
                    <w:sdtContent>
                      <w:r>
                        <w:rPr>
                          <w:lang w:eastAsia="lt-LT"/>
                        </w:rPr>
                        <w:t>99</w:t>
                      </w:r>
                    </w:sdtContent>
                  </w:sdt>
                  <w:r>
                    <w:rPr>
                      <w:lang w:eastAsia="lt-LT"/>
                    </w:rPr>
                    <w:t xml:space="preserve">. Paskirtos socialinio draudimo išmokos neperskaičiuojamos, jei meno kūrėjo statusą turinčio asmens arba sportininko, kuriam </w:t>
                  </w:r>
                  <w:r>
                    <w:rPr>
                      <w:color w:val="000000"/>
                      <w:lang w:eastAsia="lt-LT"/>
                    </w:rPr>
                    <w:t>Sporto įstatymo nustatyta tvarka yra mokama valstybės stipendija,</w:t>
                  </w:r>
                  <w:r>
                    <w:rPr>
                      <w:lang w:eastAsia="lt-LT"/>
                    </w:rPr>
                    <w:t xml:space="preserve"> draudimo valstybės lėšomis suma perskaičiuojama socialinės apsaugos ir darbo ministro tvirtinamose </w:t>
                  </w:r>
                  <w:r>
                    <w:rPr>
                      <w:color w:val="000000"/>
                      <w:lang w:eastAsia="lt-LT"/>
                    </w:rPr>
                    <w:t>valstybės socialinių fondų biudžetų sudarymo ir vykdymo</w:t>
                  </w:r>
                  <w:r>
                    <w:rPr>
                      <w:lang w:eastAsia="lt-LT"/>
                    </w:rPr>
                    <w:t xml:space="preserve"> taisyklėse nustatyta tvarka.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fbf5008b911edb4cae1b158f98ea5">
                    <w:r w:rsidRPr="00532B9F">
                      <w:rPr>
                        <w:rFonts w:ascii="Arial" w:eastAsia="MS Mincho" w:hAnsi="Arial"/>
                        <w:sz w:val="20"/>
                        <w:i/>
                        <w:iCs/>
                        <w:color w:val="0000FF" w:themeColor="hyperlink"/>
                        <w:u w:val="single"/>
                      </w:rPr>
                      <w:t>752</w:t>
                    </w:r>
                  </w:fldSimple>
                  <w:r>
                    <w:rPr>
                      <w:rFonts w:ascii="Arial" w:eastAsia="MS Mincho" w:hAnsi="Arial"/>
                      <w:sz w:val="20"/>
                      <w:i/>
                      <w:iCs/>
                    </w:rPr>
                    <w:t>,
2022-07-20,
paskelbta TAR 2022-07-21, i. k. 2022-15887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a54710221211ee9de9e7e0fd363afc">
                    <w:r w:rsidRPr="00532B9F">
                      <w:rPr>
                        <w:rFonts w:ascii="Arial" w:eastAsia="MS Mincho" w:hAnsi="Arial"/>
                        <w:sz w:val="20"/>
                        <w:i/>
                        <w:iCs/>
                        <w:color w:val="0000FF" w:themeColor="hyperlink"/>
                        <w:u w:val="single"/>
                      </w:rPr>
                      <w:t>547</w:t>
                    </w:r>
                  </w:fldSimple>
                  <w:r>
                    <w:rPr>
                      <w:rFonts w:ascii="Arial" w:eastAsia="MS Mincho" w:hAnsi="Arial"/>
                      <w:sz w:val="20"/>
                      <w:i/>
                      <w:iCs/>
                    </w:rPr>
                    <w:t>,
2023-07-12,
paskelbta TAR 2023-07-14, i. k. 2023-14608            </w:t>
                  </w:r>
                </w:p>
                <w:p/>
              </w:sdtContent>
            </w:sdt>
            <w:sdt>
              <w:sdtPr>
                <w:alias w:val="100 p."/>
                <w:tag w:val="part_c4e48fcedab04aee98aa1f073c77c5d8"/>
                <w:lock w:val="sdtLocked"/>
                <w:richText/>
              </w:sdtPr>
              <w:sdtContent>
                <w:p>
                  <w:pPr>
                    <w:pStyle w:val="PlainText"/>
                    <w:ind w:firstLine="567"/>
                    <w:jc w:val="both"/>
                    <w:rPr>
                      <w:rFonts w:ascii="Arial" w:hAnsi="Arial"/>
                      <w:b/>
                      <w:bCs/>
                      <w:sz w:val="22"/>
                    </w:rPr>
                  </w:pPr>
                  <w:r>
                    <w:rPr>
                      <w:rFonts w:ascii="Arial" w:hAnsi="Arial"/>
                      <w:sz w:val="22"/>
                    </w:rPr>
                    <w:t>100</w:t>
                  </w:r>
                  <w:r>
                    <w:rPr>
                      <w:rFonts w:ascii="Arial" w:hAnsi="Arial"/>
                      <w:sz w:val="22"/>
                    </w:rPr>
                    <w:t>.</w:t>
                  </w:r>
                  <w:r>
                    <w:rPr>
                      <w:rFonts w:ascii="Arial" w:eastAsia="MS Mincho" w:hAnsi="Arial"/>
                      <w:sz w:val="20"/>
                      <w:i/>
                      <w:iCs/>
                    </w:rPr>
                    <w:t xml:space="preserve"> Neteko galios nuo 2021-01-29</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b192200617011eb9dc7b575f08e8bea">
                    <w:r w:rsidRPr="00532B9F">
                      <w:rPr>
                        <w:rFonts w:ascii="Arial" w:eastAsia="MS Mincho" w:hAnsi="Arial"/>
                        <w:sz w:val="20"/>
                        <w:i/>
                        <w:iCs/>
                        <w:color w:val="0000FF" w:themeColor="hyperlink"/>
                        <w:u w:val="single"/>
                      </w:rPr>
                      <w:t>59</w:t>
                    </w:r>
                  </w:fldSimple>
                  <w:r>
                    <w:rPr>
                      <w:rFonts w:ascii="Arial" w:eastAsia="MS Mincho" w:hAnsi="Arial"/>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0013b0012c411ebb74de75171d26d52">
                    <w:r w:rsidRPr="00532B9F">
                      <w:rPr>
                        <w:rFonts w:ascii="Arial" w:eastAsia="MS Mincho" w:hAnsi="Arial"/>
                        <w:sz w:val="20"/>
                        <w:i/>
                        <w:iCs/>
                        <w:color w:val="0000FF" w:themeColor="hyperlink"/>
                        <w:u w:val="single"/>
                      </w:rPr>
                      <w:t>1146</w:t>
                    </w:r>
                  </w:fldSimple>
                  <w:r>
                    <w:rPr>
                      <w:rFonts w:ascii="Arial" w:eastAsia="MS Mincho" w:hAnsi="Arial"/>
                      <w:sz w:val="20"/>
                      <w:i/>
                      <w:iCs/>
                    </w:rPr>
                    <w:t>,
2020-10-14,
paskelbta TAR 2020-10-20, i. k. 2020-21740            </w:t>
                  </w:r>
                </w:p>
                <w:p/>
              </w:sdtContent>
            </w:sdt>
          </w:sdtContent>
        </w:sdt>
        <w:sdt>
          <w:sdtPr>
            <w:alias w:val="skyrius"/>
            <w:tag w:val="part_5d4db61741bc4d269ad7e73ae19b6249"/>
            <w:lock w:val="sdtLocked"/>
            <w:richText/>
          </w:sdtPr>
          <w:sdtContent>
            <w:p>
              <w:pPr>
                <w:jc w:val="center"/>
                <w:rPr>
                  <w:b/>
                  <w:bCs/>
                  <w:color w:val="000000"/>
                  <w:lang w:eastAsia="lt-LT"/>
                </w:rPr>
              </w:pPr>
              <w:sdt>
                <w:sdtPr>
                  <w:alias w:val="Numeris"/>
                  <w:tag w:val="nr_5d4db61741bc4d269ad7e73ae19b6249"/>
                  <w:lock w:val="sdtLocked"/>
                  <w:richText/>
                </w:sdtPr>
                <w:sdtContent>
                  <w:r>
                    <w:rPr>
                      <w:b/>
                      <w:bCs/>
                      <w:color w:val="000000"/>
                      <w:lang w:eastAsia="lt-LT"/>
                    </w:rPr>
                    <w:t>X</w:t>
                  </w:r>
                </w:sdtContent>
              </w:sdt>
              <w:r>
                <w:rPr>
                  <w:b/>
                  <w:bCs/>
                  <w:color w:val="000000"/>
                  <w:lang w:eastAsia="lt-LT"/>
                </w:rPr>
                <w:t xml:space="preserve"> SKYRIUS</w:t>
              </w:r>
            </w:p>
            <w:p>
              <w:pPr>
                <w:jc w:val="center"/>
                <w:rPr>
                  <w:b/>
                  <w:bCs/>
                  <w:color w:val="000000"/>
                  <w:lang w:eastAsia="lt-LT"/>
                </w:rPr>
              </w:pPr>
              <w:sdt>
                <w:sdtPr>
                  <w:alias w:val="Pavadinimas"/>
                  <w:tag w:val="title_5d4db61741bc4d269ad7e73ae19b6249"/>
                  <w:lock w:val="sdtLocked"/>
                  <w:richText/>
                </w:sdtPr>
                <w:sdtContent>
                  <w:r>
                    <w:rPr>
                      <w:b/>
                      <w:bCs/>
                      <w:color w:val="000000"/>
                      <w:lang w:eastAsia="lt-LT"/>
                    </w:rPr>
                    <w:t>ASMENS DUOMENŲ TVARKYMAS IR DOKUMENTŲ SAUGOJIMAS</w:t>
                  </w:r>
                </w:sdtContent>
              </w:sdt>
            </w:p>
            <w:p>
              <w:pPr>
                <w:ind w:firstLine="720"/>
                <w:jc w:val="both"/>
                <w:rPr>
                  <w:color w:val="000000"/>
                  <w:lang w:eastAsia="lt-LT"/>
                </w:rPr>
              </w:pPr>
            </w:p>
            <w:sdt>
              <w:sdtPr>
                <w:alias w:val="102 p."/>
                <w:tag w:val="part_4a167c7acf5742f684eae4ec878c7b90"/>
                <w:lock w:val="sdtLocked"/>
                <w:richText/>
              </w:sdtPr>
              <w:sdtContent>
                <w:p>
                  <w:pPr>
                    <w:ind w:firstLine="720"/>
                    <w:jc w:val="both"/>
                    <w:rPr>
                      <w:color w:val="000000"/>
                      <w:lang w:eastAsia="lt-LT"/>
                    </w:rPr>
                  </w:pPr>
                  <w:sdt>
                    <w:sdtPr>
                      <w:alias w:val="Numeris"/>
                      <w:tag w:val="nr_4a167c7acf5742f684eae4ec878c7b90"/>
                      <w:lock w:val="sdtLocked"/>
                      <w:richText/>
                    </w:sdtPr>
                    <w:sdtContent>
                      <w:r>
                        <w:rPr>
                          <w:color w:val="000000"/>
                          <w:lang w:eastAsia="lt-LT"/>
                        </w:rPr>
                        <w:t>102</w:t>
                      </w:r>
                    </w:sdtContent>
                  </w:sdt>
                  <w:r>
                    <w:rPr>
                      <w:color w:val="000000"/>
                      <w:lang w:eastAsia="lt-LT"/>
                    </w:rPr>
                    <w:t xml:space="preserve">. Asmens duomenų, gautų įgyvendinant Nuostatus, tvarkymo tikslas – asmens identifikavimas, socialinio draudimo išmokų skyrimas, mokėjimas, lėšų, skiriamų socialinio draudimo išmokoms mokėti, apskaita. </w:t>
                  </w:r>
                </w:p>
              </w:sdtContent>
            </w:sdt>
            <w:sdt>
              <w:sdtPr>
                <w:alias w:val="103 p."/>
                <w:tag w:val="part_ae73d26ad79e463097491f3b6ad95418"/>
                <w:lock w:val="sdtLocked"/>
                <w:richText/>
              </w:sdtPr>
              <w:sdtContent>
                <w:p>
                  <w:pPr>
                    <w:ind w:firstLine="720"/>
                    <w:jc w:val="both"/>
                    <w:rPr>
                      <w:color w:val="000000"/>
                      <w:lang w:eastAsia="lt-LT"/>
                    </w:rPr>
                  </w:pPr>
                  <w:sdt>
                    <w:sdtPr>
                      <w:alias w:val="Numeris"/>
                      <w:tag w:val="nr_ae73d26ad79e463097491f3b6ad95418"/>
                      <w:lock w:val="sdtLocked"/>
                      <w:richText/>
                    </w:sdtPr>
                    <w:sdtContent>
                      <w:r>
                        <w:rPr>
                          <w:color w:val="000000"/>
                          <w:lang w:eastAsia="lt-LT"/>
                        </w:rPr>
                        <w:t>103</w:t>
                      </w:r>
                    </w:sdtContent>
                  </w:sdt>
                  <w:r>
                    <w:rPr>
                      <w:color w:val="000000"/>
                      <w:lang w:eastAsia="lt-LT"/>
                    </w:rPr>
                    <w:t xml:space="preserve">. Įgyvendindami Nuostatus, duomenų valdytojai užtikrina, kad jų atliekamas asmens duomenų tvarkymas atitiktų 2016 m. balandžio 27 d. Europos Parlamento ir Tarybos reglamento </w:t>
                  </w:r>
                  <w:r>
                    <w:rPr>
                      <w:lang w:eastAsia="lt-LT"/>
                    </w:rPr>
                    <w:t>(ES) 2016/679</w:t>
                  </w:r>
                  <w:r>
                    <w:rPr>
                      <w:color w:val="000000"/>
                      <w:lang w:eastAsia="lt-LT"/>
                    </w:rPr>
                    <w:t xml:space="preserve"> dėl fizinių asmenų apsaugos tvarkant asmens duomenis ir dėl laisvo tokių duomenų judėjimo ir kuriuo panaikinama Direktyva </w:t>
                  </w:r>
                  <w:r>
                    <w:rPr>
                      <w:lang w:eastAsia="lt-LT"/>
                    </w:rPr>
                    <w:t>95/46/EB</w:t>
                  </w:r>
                  <w:r>
                    <w:rPr>
                      <w:color w:val="000000"/>
                      <w:lang w:eastAsia="lt-LT"/>
                    </w:rPr>
                    <w:t xml:space="preserve"> (Bendrasis duomenų apsaugos reglamentas), Lietuvos Respublikos asmens duomenų teisinės apsaugos įstatymo ir kitų teisės aktų, reglamentuojančių asmens duomenų apsaugą, nuostatas.</w:t>
                  </w:r>
                </w:p>
              </w:sdtContent>
            </w:sdt>
            <w:sdt>
              <w:sdtPr>
                <w:alias w:val="104 p."/>
                <w:tag w:val="part_194894b3e73b4028a40045acba76087d"/>
                <w:lock w:val="sdtLocked"/>
                <w:richText/>
              </w:sdtPr>
              <w:sdtContent>
                <w:p>
                  <w:pPr>
                    <w:ind w:firstLine="720"/>
                    <w:jc w:val="both"/>
                    <w:rPr>
                      <w:color w:val="000000"/>
                      <w:lang w:eastAsia="lt-LT"/>
                    </w:rPr>
                  </w:pPr>
                  <w:sdt>
                    <w:sdtPr>
                      <w:alias w:val="Numeris"/>
                      <w:tag w:val="nr_194894b3e73b4028a40045acba76087d"/>
                      <w:lock w:val="sdtLocked"/>
                      <w:richText/>
                    </w:sdtPr>
                    <w:sdtContent>
                      <w:r>
                        <w:rPr>
                          <w:color w:val="000000"/>
                          <w:lang w:eastAsia="lt-LT"/>
                        </w:rPr>
                        <w:t>104</w:t>
                      </w:r>
                    </w:sdtContent>
                  </w:sdt>
                  <w:r>
                    <w:rPr>
                      <w:color w:val="000000"/>
                      <w:lang w:eastAsia="lt-LT"/>
                    </w:rPr>
                    <w:t xml:space="preserve">. Dokumentai saugomi Lietuvos Respublikos dokumentų ir archyvų įstatymo bei Lietuvos vyriausiojo archyvaro nustatyta tvarka. </w:t>
                  </w:r>
                </w:p>
              </w:sdtContent>
            </w:sdt>
            <w:sdt>
              <w:sdtPr>
                <w:alias w:val="105 p."/>
                <w:tag w:val="part_bb3fae0b503144d69e741820f398195d"/>
                <w:lock w:val="sdtLocked"/>
                <w:richText/>
              </w:sdtPr>
              <w:sdtContent>
                <w:p>
                  <w:pPr>
                    <w:ind w:firstLine="720"/>
                    <w:jc w:val="both"/>
                    <w:rPr>
                      <w:szCs w:val="24"/>
                      <w:lang w:eastAsia="lt-LT"/>
                    </w:rPr>
                  </w:pPr>
                  <w:sdt>
                    <w:sdtPr>
                      <w:alias w:val="Numeris"/>
                      <w:tag w:val="nr_bb3fae0b503144d69e741820f398195d"/>
                      <w:lock w:val="sdtLocked"/>
                      <w:richText/>
                    </w:sdtPr>
                    <w:sdtContent>
                      <w:r>
                        <w:rPr>
                          <w:color w:val="000000"/>
                          <w:lang w:eastAsia="lt-LT"/>
                        </w:rPr>
                        <w:t>105</w:t>
                      </w:r>
                    </w:sdtContent>
                  </w:sdt>
                  <w:r>
                    <w:rPr>
                      <w:color w:val="000000"/>
                      <w:lang w:eastAsia="lt-LT"/>
                    </w:rPr>
                    <w:t xml:space="preserve">. Duomenų subjektų teisės įgyvendinamos duomenų valdytojo nustatyta tvarka, vadovaujantis Reglamentu </w:t>
                  </w:r>
                  <w:r>
                    <w:rPr>
                      <w:lang w:eastAsia="lt-LT"/>
                    </w:rPr>
                    <w:t>(ES) 2016/679.</w:t>
                  </w:r>
                  <w:r>
                    <w:t xml:space="preserve"> </w:t>
                  </w:r>
                </w:p>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c6b7fa0719911edbc04912defe897d1">
                <w:r w:rsidRPr="00532B9F">
                  <w:rPr>
                    <w:rFonts w:ascii="Arial" w:eastAsia="MS Mincho" w:hAnsi="Arial"/>
                    <w:sz w:val="20"/>
                    <w:i/>
                    <w:iCs/>
                    <w:color w:val="0000FF" w:themeColor="hyperlink"/>
                    <w:u w:val="single"/>
                  </w:rPr>
                  <w:t>1193</w:t>
                </w:r>
              </w:fldSimple>
              <w:r>
                <w:rPr>
                  <w:rFonts w:ascii="Arial" w:eastAsia="MS Mincho" w:hAnsi="Arial"/>
                  <w:sz w:val="20"/>
                  <w:i/>
                  <w:iCs/>
                </w:rPr>
                <w:t>,
2022-11-30,
paskelbta TAR 2022-12-01, i. k. 2022-24475        </w:t>
              </w:r>
            </w:p>
            <w:p/>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d9b680258611e78397ae072f58c508">
            <w:r w:rsidRPr="00532B9F">
              <w:rPr>
                <w:rFonts w:ascii="Arial" w:eastAsia="MS Mincho" w:hAnsi="Arial"/>
                <w:sz w:val="20"/>
                <w:i/>
                <w:iCs/>
                <w:color w:val="0000FF" w:themeColor="hyperlink"/>
                <w:u w:val="single"/>
              </w:rPr>
              <w:t>283</w:t>
            </w:r>
          </w:fldSimple>
          <w:r>
            <w:rPr>
              <w:rFonts w:ascii="Arial" w:eastAsia="MS Mincho" w:hAnsi="Arial"/>
              <w:sz w:val="20"/>
              <w:i/>
              <w:iCs/>
            </w:rPr>
            <w:t>,
2017-04-12,
paskelbta TAR 2017-04-20, i. k. 2017-06646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0D8AF48DC3E5">
            <w:r w:rsidRPr="00532B9F">
              <w:rPr>
                <w:rFonts w:ascii="Arial" w:eastAsia="MS Mincho" w:hAnsi="Arial"/>
                <w:sz w:val="20"/>
                <w:iCs/>
                <w:color w:val="0000FF" w:themeColor="hyperlink"/>
                <w:u w:val="single"/>
              </w:rPr>
              <w:t>471</w:t>
            </w:r>
          </w:fldSimple>
          <w:r>
            <w:rPr>
              <w:rFonts w:ascii="Arial" w:eastAsia="MS Mincho" w:hAnsi="Arial"/>
              <w:sz w:val="20"/>
              <w:iCs/>
            </w:rPr>
            <w:t>,
2002-04-05,
Žin., 2002, Nr.
38-1385 (2002-04-10), i. k. 1021100NUTA00000471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dalinio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65B8E9D7965">
            <w:r w:rsidRPr="00532B9F">
              <w:rPr>
                <w:rFonts w:ascii="Arial" w:eastAsia="MS Mincho" w:hAnsi="Arial"/>
                <w:sz w:val="20"/>
                <w:iCs/>
                <w:color w:val="0000FF" w:themeColor="hyperlink"/>
                <w:u w:val="single"/>
              </w:rPr>
              <w:t>397</w:t>
            </w:r>
          </w:fldSimple>
          <w:r>
            <w:rPr>
              <w:rFonts w:ascii="Arial" w:eastAsia="MS Mincho" w:hAnsi="Arial"/>
              <w:sz w:val="20"/>
              <w:iCs/>
            </w:rPr>
            <w:t>,
2003-04-01,
Žin., 2003, Nr.
33-1381 (2003-04-04), i. k. 1031100NUTA00000397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72E74ADA034">
            <w:r w:rsidRPr="00532B9F">
              <w:rPr>
                <w:rFonts w:ascii="Arial" w:eastAsia="MS Mincho" w:hAnsi="Arial"/>
                <w:sz w:val="20"/>
                <w:iCs/>
                <w:color w:val="0000FF" w:themeColor="hyperlink"/>
                <w:u w:val="single"/>
              </w:rPr>
              <w:t>770</w:t>
            </w:r>
          </w:fldSimple>
          <w:r>
            <w:rPr>
              <w:rFonts w:ascii="Arial" w:eastAsia="MS Mincho" w:hAnsi="Arial"/>
              <w:sz w:val="20"/>
              <w:iCs/>
            </w:rPr>
            <w:t>,
2003-06-17,
Žin., 2003, Nr.
59-2664 (2003-06-20), i. k. 1031100NUTA00000770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05737C6AEE09">
            <w:r w:rsidRPr="00532B9F">
              <w:rPr>
                <w:rFonts w:ascii="Arial" w:eastAsia="MS Mincho" w:hAnsi="Arial"/>
                <w:sz w:val="20"/>
                <w:iCs/>
                <w:color w:val="0000FF" w:themeColor="hyperlink"/>
                <w:u w:val="single"/>
              </w:rPr>
              <w:t>215</w:t>
            </w:r>
          </w:fldSimple>
          <w:r>
            <w:rPr>
              <w:rFonts w:ascii="Arial" w:eastAsia="MS Mincho" w:hAnsi="Arial"/>
              <w:sz w:val="20"/>
              <w:iCs/>
            </w:rPr>
            <w:t>,
2004-02-25,
Žin., 2004, Nr.
32-1020 (2004-02-28), i. k. 1041100NUTA00000215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FDDAA49B89FE">
            <w:r w:rsidRPr="00532B9F">
              <w:rPr>
                <w:rFonts w:ascii="Arial" w:eastAsia="MS Mincho" w:hAnsi="Arial"/>
                <w:sz w:val="20"/>
                <w:iCs/>
                <w:color w:val="0000FF" w:themeColor="hyperlink"/>
                <w:u w:val="single"/>
              </w:rPr>
              <w:t>104</w:t>
            </w:r>
          </w:fldSimple>
          <w:r>
            <w:rPr>
              <w:rFonts w:ascii="Arial" w:eastAsia="MS Mincho" w:hAnsi="Arial"/>
              <w:sz w:val="20"/>
              <w:iCs/>
            </w:rPr>
            <w:t>,
2005-01-31,
Žin., 2005, Nr.
16-495 (2005-02-03), i. k. 1051100NUTA00000104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16F37BEA5B78">
            <w:r w:rsidRPr="00532B9F">
              <w:rPr>
                <w:rFonts w:ascii="Arial" w:eastAsia="MS Mincho" w:hAnsi="Arial"/>
                <w:sz w:val="20"/>
                <w:iCs/>
                <w:color w:val="0000FF" w:themeColor="hyperlink"/>
                <w:u w:val="single"/>
              </w:rPr>
              <w:t>894</w:t>
            </w:r>
          </w:fldSimple>
          <w:r>
            <w:rPr>
              <w:rFonts w:ascii="Arial" w:eastAsia="MS Mincho" w:hAnsi="Arial"/>
              <w:sz w:val="20"/>
              <w:iCs/>
            </w:rPr>
            <w:t>,
2005-08-17,
Žin., 2005, Nr.
101-3743 (2005-08-20), i. k. 1051100NUTA00000894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48DBD9E58D4A">
            <w:r w:rsidRPr="00532B9F">
              <w:rPr>
                <w:rFonts w:ascii="Arial" w:eastAsia="MS Mincho" w:hAnsi="Arial"/>
                <w:sz w:val="20"/>
                <w:iCs/>
                <w:color w:val="0000FF" w:themeColor="hyperlink"/>
                <w:u w:val="single"/>
              </w:rPr>
              <w:t>957</w:t>
            </w:r>
          </w:fldSimple>
          <w:r>
            <w:rPr>
              <w:rFonts w:ascii="Arial" w:eastAsia="MS Mincho" w:hAnsi="Arial"/>
              <w:sz w:val="20"/>
              <w:iCs/>
            </w:rPr>
            <w:t>,
2006-09-27,
Žin., 2006, Nr.
105-4009 (2006-09-30), i. k. 1061100NUTA00000957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4F1630E8F4A2">
            <w:r w:rsidRPr="00532B9F">
              <w:rPr>
                <w:rFonts w:ascii="Arial" w:eastAsia="MS Mincho" w:hAnsi="Arial"/>
                <w:sz w:val="20"/>
                <w:iCs/>
                <w:color w:val="0000FF" w:themeColor="hyperlink"/>
                <w:u w:val="single"/>
              </w:rPr>
              <w:t>43</w:t>
            </w:r>
          </w:fldSimple>
          <w:r>
            <w:rPr>
              <w:rFonts w:ascii="Arial" w:eastAsia="MS Mincho" w:hAnsi="Arial"/>
              <w:sz w:val="20"/>
              <w:iCs/>
            </w:rPr>
            <w:t>,
2008-01-16,
Žin., 2008, Nr.
11-387 (2008-01-26), i. k. 1081100NUTA00000043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C092A4DA2171">
            <w:r w:rsidRPr="00532B9F">
              <w:rPr>
                <w:rFonts w:ascii="Arial" w:eastAsia="MS Mincho" w:hAnsi="Arial"/>
                <w:sz w:val="20"/>
                <w:iCs/>
                <w:color w:val="0000FF" w:themeColor="hyperlink"/>
                <w:u w:val="single"/>
              </w:rPr>
              <w:t>839</w:t>
            </w:r>
          </w:fldSimple>
          <w:r>
            <w:rPr>
              <w:rFonts w:ascii="Arial" w:eastAsia="MS Mincho" w:hAnsi="Arial"/>
              <w:sz w:val="20"/>
              <w:iCs/>
            </w:rPr>
            <w:t>,
2008-08-27,
Žin., 2008, Nr.
104-3982 (2008-09-11), i. k. 1081100NUTA00000839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6B7B7961F55F">
            <w:r w:rsidRPr="00532B9F">
              <w:rPr>
                <w:rFonts w:ascii="Arial" w:eastAsia="MS Mincho" w:hAnsi="Arial"/>
                <w:sz w:val="20"/>
                <w:iCs/>
                <w:color w:val="0000FF" w:themeColor="hyperlink"/>
                <w:u w:val="single"/>
              </w:rPr>
              <w:t>258</w:t>
            </w:r>
          </w:fldSimple>
          <w:r>
            <w:rPr>
              <w:rFonts w:ascii="Arial" w:eastAsia="MS Mincho" w:hAnsi="Arial"/>
              <w:sz w:val="20"/>
              <w:iCs/>
            </w:rPr>
            <w:t>,
2009-04-08,
Žin., 2009, Nr.
42-1620 (2009-04-16), i. k. 1091100NUTA00000258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AC8D62FCB47E">
            <w:r w:rsidRPr="00532B9F">
              <w:rPr>
                <w:rFonts w:ascii="Arial" w:eastAsia="MS Mincho" w:hAnsi="Arial"/>
                <w:sz w:val="20"/>
                <w:iCs/>
                <w:color w:val="0000FF" w:themeColor="hyperlink"/>
                <w:u w:val="single"/>
              </w:rPr>
              <w:t>956</w:t>
            </w:r>
          </w:fldSimple>
          <w:r>
            <w:rPr>
              <w:rFonts w:ascii="Arial" w:eastAsia="MS Mincho" w:hAnsi="Arial"/>
              <w:sz w:val="20"/>
              <w:iCs/>
            </w:rPr>
            <w:t>,
2009-08-26,
Žin., 2009, Nr.
107-4475 (2009-09-08), i. k. 1091100NUTA00000956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1D440F4DC9A">
            <w:r w:rsidRPr="00532B9F">
              <w:rPr>
                <w:rFonts w:ascii="Arial" w:eastAsia="MS Mincho" w:hAnsi="Arial"/>
                <w:sz w:val="20"/>
                <w:iCs/>
                <w:color w:val="0000FF" w:themeColor="hyperlink"/>
                <w:u w:val="single"/>
              </w:rPr>
              <w:t>1778</w:t>
            </w:r>
          </w:fldSimple>
          <w:r>
            <w:rPr>
              <w:rFonts w:ascii="Arial" w:eastAsia="MS Mincho" w:hAnsi="Arial"/>
              <w:sz w:val="20"/>
              <w:iCs/>
            </w:rPr>
            <w:t>,
2009-12-23,
Žin., 2009, Nr.
158-7164 (2009-12-31); Žin., 2010, Nr.
3-0 (2010-01-09), i. k. 1091100NUTA00001778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DF91F59B048">
            <w:r w:rsidRPr="00532B9F">
              <w:rPr>
                <w:rFonts w:ascii="Arial" w:eastAsia="MS Mincho" w:hAnsi="Arial"/>
                <w:sz w:val="20"/>
                <w:iCs/>
                <w:color w:val="0000FF" w:themeColor="hyperlink"/>
                <w:u w:val="single"/>
              </w:rPr>
              <w:t>1293</w:t>
            </w:r>
          </w:fldSimple>
          <w:r>
            <w:rPr>
              <w:rFonts w:ascii="Arial" w:eastAsia="MS Mincho" w:hAnsi="Arial"/>
              <w:sz w:val="20"/>
              <w:iCs/>
            </w:rPr>
            <w:t>,
2010-09-08,
Žin., 2010, Nr.
107-5535 (2010-09-11), i. k. 1101100NUTA00001293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865B6F23AC7">
            <w:r w:rsidRPr="00532B9F">
              <w:rPr>
                <w:rFonts w:ascii="Arial" w:eastAsia="MS Mincho" w:hAnsi="Arial"/>
                <w:sz w:val="20"/>
                <w:iCs/>
                <w:color w:val="0000FF" w:themeColor="hyperlink"/>
                <w:u w:val="single"/>
              </w:rPr>
              <w:t>434</w:t>
            </w:r>
          </w:fldSimple>
          <w:r>
            <w:rPr>
              <w:rFonts w:ascii="Arial" w:eastAsia="MS Mincho" w:hAnsi="Arial"/>
              <w:sz w:val="20"/>
              <w:iCs/>
            </w:rPr>
            <w:t>,
2011-04-13,
Žin., 2011, Nr.
46-2180 (2011-04-16), i. k. 1111100NUTA00000434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CDC58685B1D3">
            <w:r w:rsidRPr="00532B9F">
              <w:rPr>
                <w:rFonts w:ascii="Arial" w:eastAsia="MS Mincho" w:hAnsi="Arial"/>
                <w:sz w:val="20"/>
                <w:iCs/>
                <w:color w:val="0000FF" w:themeColor="hyperlink"/>
                <w:u w:val="single"/>
              </w:rPr>
              <w:t>765</w:t>
            </w:r>
          </w:fldSimple>
          <w:r>
            <w:rPr>
              <w:rFonts w:ascii="Arial" w:eastAsia="MS Mincho" w:hAnsi="Arial"/>
              <w:sz w:val="20"/>
              <w:iCs/>
            </w:rPr>
            <w:t>,
2011-06-29,
Žin., 2011, Nr.
79-3868 (2011-06-30), i. k. 1111100NUTA00000765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A7C373E7ADB3">
            <w:r w:rsidRPr="00532B9F">
              <w:rPr>
                <w:rFonts w:ascii="Arial" w:eastAsia="MS Mincho" w:hAnsi="Arial"/>
                <w:sz w:val="20"/>
                <w:iCs/>
                <w:color w:val="0000FF" w:themeColor="hyperlink"/>
                <w:u w:val="single"/>
              </w:rPr>
              <w:t>1536</w:t>
            </w:r>
          </w:fldSimple>
          <w:r>
            <w:rPr>
              <w:rFonts w:ascii="Arial" w:eastAsia="MS Mincho" w:hAnsi="Arial"/>
              <w:sz w:val="20"/>
              <w:iCs/>
            </w:rPr>
            <w:t>,
2011-12-28,
Žin., 2011, Nr.
164-7820 (2011-12-31), i. k. 1111100NUTA00001536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2012-02-27,
Žin., 2012, Nr.
26-1200 (2012-02-29), i. k. 1121000NUTARG121200                </w:t>
          </w:r>
        </w:p>
        <w:p>
          <w:pPr>
            <w:jc w:val="both"/>
            <w:rPr>
              <w:rFonts w:ascii="Arial" w:hAnsi="Arial"/>
            </w:rPr>
          </w:pPr>
          <w:r>
            <w:rPr>
              <w:rFonts w:ascii="Arial" w:hAnsi="Arial"/>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E3F3650B9D82">
            <w:r w:rsidRPr="00532B9F">
              <w:rPr>
                <w:rFonts w:ascii="Arial" w:eastAsia="MS Mincho" w:hAnsi="Arial"/>
                <w:sz w:val="20"/>
                <w:iCs/>
                <w:color w:val="0000FF" w:themeColor="hyperlink"/>
                <w:u w:val="single"/>
              </w:rPr>
              <w:t>975</w:t>
            </w:r>
          </w:fldSimple>
          <w:r>
            <w:rPr>
              <w:rFonts w:ascii="Arial" w:eastAsia="MS Mincho" w:hAnsi="Arial"/>
              <w:sz w:val="20"/>
              <w:iCs/>
            </w:rPr>
            <w:t>,
2012-08-21,
Žin., 2012, Nr.
99-5052 (2012-08-25), i. k. 1121100NUTA00000975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2012-10-31,
Žin., 2012, Nr.
127-6406 (2012-11-03), i. k. 1121000NUTARG126406                </w:t>
          </w:r>
        </w:p>
        <w:p>
          <w:pPr>
            <w:jc w:val="both"/>
            <w:rPr>
              <w:rFonts w:ascii="Arial" w:hAnsi="Arial"/>
            </w:rPr>
          </w:pPr>
          <w:r>
            <w:rPr>
              <w:rFonts w:ascii="Arial" w:hAnsi="Arial"/>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05ADF9762C72">
            <w:r w:rsidRPr="00532B9F">
              <w:rPr>
                <w:rFonts w:ascii="Arial" w:eastAsia="MS Mincho" w:hAnsi="Arial"/>
                <w:sz w:val="20"/>
                <w:iCs/>
                <w:color w:val="0000FF" w:themeColor="hyperlink"/>
                <w:u w:val="single"/>
              </w:rPr>
              <w:t>1548</w:t>
            </w:r>
          </w:fldSimple>
          <w:r>
            <w:rPr>
              <w:rFonts w:ascii="Arial" w:eastAsia="MS Mincho" w:hAnsi="Arial"/>
              <w:sz w:val="20"/>
              <w:iCs/>
            </w:rPr>
            <w:t>,
2012-12-19,
Žin., 2012, Nr.
152-7776 (2012-12-22), i. k. 1121100NUTA00001548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2013-03-05,
Žin., 2013, Nr.
25-1222 (2013-03-08), i. k. 1131000NUTARG131222                </w:t>
          </w:r>
        </w:p>
        <w:p>
          <w:pPr>
            <w:jc w:val="both"/>
            <w:rPr>
              <w:rFonts w:ascii="Arial" w:hAnsi="Arial"/>
            </w:rPr>
          </w:pPr>
          <w:r>
            <w:rPr>
              <w:rFonts w:ascii="Arial" w:hAnsi="Arial"/>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115A3FF12559">
            <w:r w:rsidRPr="00532B9F">
              <w:rPr>
                <w:rFonts w:ascii="Arial" w:eastAsia="MS Mincho" w:hAnsi="Arial"/>
                <w:sz w:val="20"/>
                <w:iCs/>
                <w:color w:val="0000FF" w:themeColor="hyperlink"/>
                <w:u w:val="single"/>
              </w:rPr>
              <w:t>373</w:t>
            </w:r>
          </w:fldSimple>
          <w:r>
            <w:rPr>
              <w:rFonts w:ascii="Arial" w:eastAsia="MS Mincho" w:hAnsi="Arial"/>
              <w:sz w:val="20"/>
              <w:iCs/>
            </w:rPr>
            <w:t>,
2013-04-30,
Žin., 2013, Nr.
45-2225 (2013-05-04), i. k. 1131100NUTA00000373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TAR.957367AB24D5">
            <w:r w:rsidRPr="00532B9F">
              <w:rPr>
                <w:rFonts w:ascii="Arial" w:eastAsia="MS Mincho" w:hAnsi="Arial"/>
                <w:sz w:val="20"/>
                <w:iCs/>
                <w:color w:val="0000FF" w:themeColor="hyperlink"/>
                <w:u w:val="single"/>
              </w:rPr>
              <w:t>966</w:t>
            </w:r>
          </w:fldSimple>
          <w:r>
            <w:rPr>
              <w:rFonts w:ascii="Arial" w:eastAsia="MS Mincho" w:hAnsi="Arial"/>
              <w:sz w:val="20"/>
              <w:iCs/>
            </w:rPr>
            <w:t>,
2013-10-23,
Žin., 2013, Nr.
113-5646 (2013-10-30), i. k. 1131100NUTA00000966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531d100194d11e4b542dec0b12e28b0">
            <w:r w:rsidRPr="00532B9F">
              <w:rPr>
                <w:rFonts w:ascii="Arial" w:eastAsia="MS Mincho" w:hAnsi="Arial"/>
                <w:sz w:val="20"/>
                <w:iCs/>
                <w:color w:val="0000FF" w:themeColor="hyperlink"/>
                <w:u w:val="single"/>
              </w:rPr>
              <w:t>759</w:t>
            </w:r>
          </w:fldSimple>
          <w:r>
            <w:rPr>
              <w:rFonts w:ascii="Arial" w:eastAsia="MS Mincho" w:hAnsi="Arial"/>
              <w:sz w:val="20"/>
              <w:iCs/>
            </w:rPr>
            <w:t>,
2014-07-30,
paskelbta TAR 2014-08-01, i. k. 2014-10771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  </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20398e0a7c711e4a82d9548fb36f682">
            <w:r w:rsidRPr="00532B9F">
              <w:rPr>
                <w:rFonts w:ascii="Arial" w:eastAsia="MS Mincho" w:hAnsi="Arial"/>
                <w:sz w:val="20"/>
                <w:iCs/>
                <w:color w:val="0000FF" w:themeColor="hyperlink"/>
                <w:u w:val="single"/>
              </w:rPr>
              <w:t>47</w:t>
            </w:r>
          </w:fldSimple>
          <w:r>
            <w:rPr>
              <w:rFonts w:ascii="Arial" w:eastAsia="MS Mincho" w:hAnsi="Arial"/>
              <w:sz w:val="20"/>
              <w:iCs/>
            </w:rPr>
            <w:t>,
2015-01-28,
paskelbta TAR 2015-02-01, i. k. 2015-01368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3353e0e0682211e58e1ab2c84776483b">
            <w:r w:rsidRPr="00532B9F">
              <w:rPr>
                <w:rFonts w:ascii="Arial" w:eastAsia="MS Mincho" w:hAnsi="Arial"/>
                <w:sz w:val="20"/>
                <w:iCs/>
                <w:color w:val="0000FF" w:themeColor="hyperlink"/>
                <w:u w:val="single"/>
              </w:rPr>
              <w:t>1032</w:t>
            </w:r>
          </w:fldSimple>
          <w:r>
            <w:rPr>
              <w:rFonts w:ascii="Arial" w:eastAsia="MS Mincho" w:hAnsi="Arial"/>
              <w:sz w:val="20"/>
              <w:iCs/>
            </w:rPr>
            <w:t>,
2015-09-30,
paskelbta TAR 2015-10-01, i. k. 2015-14590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e254110ae2411e5b12fbb7dc920ee2c">
            <w:r w:rsidRPr="00532B9F">
              <w:rPr>
                <w:rFonts w:ascii="Arial" w:eastAsia="MS Mincho" w:hAnsi="Arial"/>
                <w:sz w:val="20"/>
                <w:iCs/>
                <w:color w:val="0000FF" w:themeColor="hyperlink"/>
                <w:u w:val="single"/>
              </w:rPr>
              <w:t>1350</w:t>
            </w:r>
          </w:fldSimple>
          <w:r>
            <w:rPr>
              <w:rFonts w:ascii="Arial" w:eastAsia="MS Mincho" w:hAnsi="Arial"/>
              <w:sz w:val="20"/>
              <w:iCs/>
            </w:rPr>
            <w:t>,
2015-12-23,
paskelbta TAR 2015-12-29, i. k. 2015-20860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16657740eaa511e58deaaf0783ebf65b">
            <w:r w:rsidRPr="00532B9F">
              <w:rPr>
                <w:rFonts w:ascii="Arial" w:eastAsia="MS Mincho" w:hAnsi="Arial"/>
                <w:sz w:val="20"/>
                <w:iCs/>
                <w:color w:val="0000FF" w:themeColor="hyperlink"/>
                <w:u w:val="single"/>
              </w:rPr>
              <w:t>KT8-N5/2016</w:t>
            </w:r>
          </w:fldSimple>
          <w:r>
            <w:rPr>
              <w:rFonts w:ascii="Arial" w:eastAsia="MS Mincho" w:hAnsi="Arial"/>
              <w:sz w:val="20"/>
              <w:iCs/>
            </w:rPr>
            <w:t>,
2016-03-15,
paskelbta TAR 2017-01-02, i. k. 2017-00002                </w:t>
          </w:r>
        </w:p>
        <w:p>
          <w:pPr>
            <w:jc w:val="both"/>
            <w:rPr>
              <w:rFonts w:ascii="Arial" w:hAnsi="Arial"/>
            </w:rPr>
          </w:pPr>
          <w:r>
            <w:rPr>
              <w:rFonts w:ascii="Arial" w:hAnsi="Arial"/>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3d9b680258611e78397ae072f58c508">
            <w:r w:rsidRPr="00532B9F">
              <w:rPr>
                <w:rFonts w:ascii="Arial" w:eastAsia="MS Mincho" w:hAnsi="Arial"/>
                <w:sz w:val="20"/>
                <w:iCs/>
                <w:color w:val="0000FF" w:themeColor="hyperlink"/>
                <w:u w:val="single"/>
              </w:rPr>
              <w:t>283</w:t>
            </w:r>
          </w:fldSimple>
          <w:r>
            <w:rPr>
              <w:rFonts w:ascii="Arial" w:eastAsia="MS Mincho" w:hAnsi="Arial"/>
              <w:sz w:val="20"/>
              <w:iCs/>
            </w:rPr>
            <w:t>,
2017-04-12,
paskelbta TAR 2017-04-20, i. k. 2017-06646                </w:t>
          </w:r>
        </w:p>
        <w:p>
          <w:pPr>
            <w:jc w:val="both"/>
            <w:rPr>
              <w:rFonts w:ascii="Arial" w:hAnsi="Arial"/>
            </w:rPr>
          </w:pPr>
          <w:r>
            <w:rPr>
              <w:rFonts w:ascii="Arial" w:hAnsi="Arial"/>
              <w:sz w:val="20"/>
            </w:rPr>
            <w:t>Dėl Lietuvos Respublikos Vyriausybės 2001 m. sausio 25 d. nutarimo Nr. 86 „Dėl Ligos ir motinystės socialinio draudimo pašalpų nuostatų patvirtinimo“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1e04e30694211e8ac27abd8fa093003">
            <w:r w:rsidRPr="00532B9F">
              <w:rPr>
                <w:rFonts w:ascii="Arial" w:eastAsia="MS Mincho" w:hAnsi="Arial"/>
                <w:sz w:val="20"/>
                <w:iCs/>
                <w:color w:val="0000FF" w:themeColor="hyperlink"/>
                <w:u w:val="single"/>
              </w:rPr>
              <w:t>524</w:t>
            </w:r>
          </w:fldSimple>
          <w:r>
            <w:rPr>
              <w:rFonts w:ascii="Arial" w:eastAsia="MS Mincho" w:hAnsi="Arial"/>
              <w:sz w:val="20"/>
              <w:iCs/>
            </w:rPr>
            <w:t>,
2018-05-30,
paskelbta TAR 2018-06-06, i. k. 2018-09434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ca838c000a9e11e9a5eaf2cd290f1944">
            <w:r w:rsidRPr="00532B9F">
              <w:rPr>
                <w:rFonts w:ascii="Arial" w:eastAsia="MS Mincho" w:hAnsi="Arial"/>
                <w:sz w:val="20"/>
                <w:iCs/>
                <w:color w:val="0000FF" w:themeColor="hyperlink"/>
                <w:u w:val="single"/>
              </w:rPr>
              <w:t>1360</w:t>
            </w:r>
          </w:fldSimple>
          <w:r>
            <w:rPr>
              <w:rFonts w:ascii="Arial" w:eastAsia="MS Mincho" w:hAnsi="Arial"/>
              <w:sz w:val="20"/>
              <w:iCs/>
            </w:rPr>
            <w:t>,
2018-12-27,
paskelbta TAR 2018-12-28, i. k. 2018-21858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b52e450465f11e9a221b04854b985af">
            <w:r w:rsidRPr="00532B9F">
              <w:rPr>
                <w:rFonts w:ascii="Arial" w:eastAsia="MS Mincho" w:hAnsi="Arial"/>
                <w:sz w:val="20"/>
                <w:iCs/>
                <w:color w:val="0000FF" w:themeColor="hyperlink"/>
                <w:u w:val="single"/>
              </w:rPr>
              <w:t>228</w:t>
            </w:r>
          </w:fldSimple>
          <w:r>
            <w:rPr>
              <w:rFonts w:ascii="Arial" w:eastAsia="MS Mincho" w:hAnsi="Arial"/>
              <w:sz w:val="20"/>
              <w:iCs/>
            </w:rPr>
            <w:t>,
2019-03-06,
paskelbta TAR 2019-03-14, i. k. 2019-04108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0013b0012c411ebb74de75171d26d52">
            <w:r w:rsidRPr="00532B9F">
              <w:rPr>
                <w:rFonts w:ascii="Arial" w:eastAsia="MS Mincho" w:hAnsi="Arial"/>
                <w:sz w:val="20"/>
                <w:iCs/>
                <w:color w:val="0000FF" w:themeColor="hyperlink"/>
                <w:u w:val="single"/>
              </w:rPr>
              <w:t>1146</w:t>
            </w:r>
          </w:fldSimple>
          <w:r>
            <w:rPr>
              <w:rFonts w:ascii="Arial" w:eastAsia="MS Mincho" w:hAnsi="Arial"/>
              <w:sz w:val="20"/>
              <w:iCs/>
            </w:rPr>
            <w:t>,
2020-10-14,
paskelbta TAR 2020-10-20, i. k. 2020-21740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b192200617011eb9dc7b575f08e8bea">
            <w:r w:rsidRPr="00532B9F">
              <w:rPr>
                <w:rFonts w:ascii="Arial" w:eastAsia="MS Mincho" w:hAnsi="Arial"/>
                <w:sz w:val="20"/>
                <w:iCs/>
                <w:color w:val="0000FF" w:themeColor="hyperlink"/>
                <w:u w:val="single"/>
              </w:rPr>
              <w:t>59</w:t>
            </w:r>
          </w:fldSimple>
          <w:r>
            <w:rPr>
              <w:rFonts w:ascii="Arial" w:eastAsia="MS Mincho" w:hAnsi="Arial"/>
              <w:sz w:val="20"/>
              <w:iCs/>
            </w:rPr>
            <w:t>,
2021-01-27,
paskelbta TAR 2021-01-28, i. k. 2021-01539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28566d0dfaf11eb9f09e7df20500045">
            <w:r w:rsidRPr="00532B9F">
              <w:rPr>
                <w:rFonts w:ascii="Arial" w:eastAsia="MS Mincho" w:hAnsi="Arial"/>
                <w:sz w:val="20"/>
                <w:iCs/>
                <w:color w:val="0000FF" w:themeColor="hyperlink"/>
                <w:u w:val="single"/>
              </w:rPr>
              <w:t>529</w:t>
            </w:r>
          </w:fldSimple>
          <w:r>
            <w:rPr>
              <w:rFonts w:ascii="Arial" w:eastAsia="MS Mincho" w:hAnsi="Arial"/>
              <w:sz w:val="20"/>
              <w:iCs/>
            </w:rPr>
            <w:t>,
2021-07-07,
paskelbta TAR 2021-07-08, i. k. 2021-15480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e51db50b03611ec8d9390588bf2de65">
            <w:r w:rsidRPr="00532B9F">
              <w:rPr>
                <w:rFonts w:ascii="Arial" w:eastAsia="MS Mincho" w:hAnsi="Arial"/>
                <w:sz w:val="20"/>
                <w:iCs/>
                <w:color w:val="0000FF" w:themeColor="hyperlink"/>
                <w:u w:val="single"/>
              </w:rPr>
              <w:t>279</w:t>
            </w:r>
          </w:fldSimple>
          <w:r>
            <w:rPr>
              <w:rFonts w:ascii="Arial" w:eastAsia="MS Mincho" w:hAnsi="Arial"/>
              <w:sz w:val="20"/>
              <w:iCs/>
            </w:rPr>
            <w:t>,
2022-03-30,
paskelbta TAR 2022-03-30, i. k. 2022-06331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48a6a0f2c311ec8fa7d02a65c371ad">
            <w:r w:rsidRPr="00532B9F">
              <w:rPr>
                <w:rFonts w:ascii="Arial" w:eastAsia="MS Mincho" w:hAnsi="Arial"/>
                <w:sz w:val="20"/>
                <w:iCs/>
                <w:color w:val="0000FF" w:themeColor="hyperlink"/>
                <w:u w:val="single"/>
              </w:rPr>
              <w:t>652</w:t>
            </w:r>
          </w:fldSimple>
          <w:r>
            <w:rPr>
              <w:rFonts w:ascii="Arial" w:eastAsia="MS Mincho" w:hAnsi="Arial"/>
              <w:sz w:val="20"/>
              <w:iCs/>
            </w:rPr>
            <w:t>,
2022-06-22,
paskelbta TAR 2022-06-23, i. k. 2022-13436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a8fbf5008b911edb4cae1b158f98ea5">
            <w:r w:rsidRPr="00532B9F">
              <w:rPr>
                <w:rFonts w:ascii="Arial" w:eastAsia="MS Mincho" w:hAnsi="Arial"/>
                <w:sz w:val="20"/>
                <w:iCs/>
                <w:color w:val="0000FF" w:themeColor="hyperlink"/>
                <w:u w:val="single"/>
              </w:rPr>
              <w:t>752</w:t>
            </w:r>
          </w:fldSimple>
          <w:r>
            <w:rPr>
              <w:rFonts w:ascii="Arial" w:eastAsia="MS Mincho" w:hAnsi="Arial"/>
              <w:sz w:val="20"/>
              <w:iCs/>
            </w:rPr>
            <w:t>,
2022-07-20,
paskelbta TAR 2022-07-21, i. k. 2022-15887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c6b7fa0719911edbc04912defe897d1">
            <w:r w:rsidRPr="00532B9F">
              <w:rPr>
                <w:rFonts w:ascii="Arial" w:eastAsia="MS Mincho" w:hAnsi="Arial"/>
                <w:sz w:val="20"/>
                <w:iCs/>
                <w:color w:val="0000FF" w:themeColor="hyperlink"/>
                <w:u w:val="single"/>
              </w:rPr>
              <w:t>1193</w:t>
            </w:r>
          </w:fldSimple>
          <w:r>
            <w:rPr>
              <w:rFonts w:ascii="Arial" w:eastAsia="MS Mincho" w:hAnsi="Arial"/>
              <w:sz w:val="20"/>
              <w:iCs/>
            </w:rPr>
            <w:t>,
2022-11-30,
paskelbta TAR 2022-12-01, i. k. 2022-24475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9a54710221211ee9de9e7e0fd363afc">
            <w:r w:rsidRPr="00532B9F">
              <w:rPr>
                <w:rFonts w:ascii="Arial" w:eastAsia="MS Mincho" w:hAnsi="Arial"/>
                <w:sz w:val="20"/>
                <w:iCs/>
                <w:color w:val="0000FF" w:themeColor="hyperlink"/>
                <w:u w:val="single"/>
              </w:rPr>
              <w:t>547</w:t>
            </w:r>
          </w:fldSimple>
          <w:r>
            <w:rPr>
              <w:rFonts w:ascii="Arial" w:eastAsia="MS Mincho" w:hAnsi="Arial"/>
              <w:sz w:val="20"/>
              <w:iCs/>
            </w:rPr>
            <w:t>,
2023-07-12,
paskelbta TAR 2023-07-14, i. k. 2023-14608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7e286d0927211eea5a28c81c82193a8">
            <w:r w:rsidRPr="00532B9F">
              <w:rPr>
                <w:rFonts w:ascii="Arial" w:eastAsia="MS Mincho" w:hAnsi="Arial"/>
                <w:sz w:val="20"/>
                <w:iCs/>
                <w:color w:val="0000FF" w:themeColor="hyperlink"/>
                <w:u w:val="single"/>
              </w:rPr>
              <w:t>928</w:t>
            </w:r>
          </w:fldSimple>
          <w:r>
            <w:rPr>
              <w:rFonts w:ascii="Arial" w:eastAsia="MS Mincho" w:hAnsi="Arial"/>
              <w:sz w:val="20"/>
              <w:iCs/>
            </w:rPr>
            <w:t>,
2023-11-29,
paskelbta TAR 2023-12-04, i. k. 2023-23393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1dacd1002c9c11efbdaea558de59136c">
            <w:r w:rsidRPr="00532B9F">
              <w:rPr>
                <w:rFonts w:ascii="Arial" w:eastAsia="MS Mincho" w:hAnsi="Arial"/>
                <w:sz w:val="20"/>
                <w:iCs/>
                <w:color w:val="0000FF" w:themeColor="hyperlink"/>
                <w:u w:val="single"/>
              </w:rPr>
              <w:t>482</w:t>
            </w:r>
          </w:fldSimple>
          <w:r>
            <w:rPr>
              <w:rFonts w:ascii="Arial" w:eastAsia="MS Mincho" w:hAnsi="Arial"/>
              <w:sz w:val="20"/>
              <w:iCs/>
            </w:rPr>
            <w:t>,
2024-06-12,
paskelbta TAR 2024-06-17, i. k. 2024-10969                </w:t>
          </w:r>
        </w:p>
        <w:p>
          <w:pPr>
            <w:jc w:val="both"/>
            <w:rPr>
              <w:rFonts w:ascii="Arial" w:hAnsi="Arial"/>
            </w:rPr>
          </w:pPr>
          <w:r>
            <w:rPr>
              <w:rFonts w:ascii="Arial" w:hAnsi="Arial"/>
              <w:sz w:val="20"/>
            </w:rPr>
            <w:t>Dėl Lietuvos Respublikos Vyriausybės 2001 m. sausio 25 d. nutarimo Nr. 86 „Dėl Ligos ir motinystės socialinio draudimo išmokų nuostatų patvirtinimo“ pakeitimo</w:t>
          </w:r>
        </w:p>
        <w:p>
          <w:pPr>
            <w:jc w:val="both"/>
            <w:rPr>
              <w:rFonts w:ascii="Arial" w:hAnsi="Arial"/>
              <w:sz w:val="20"/>
            </w:rPr>
          </w:pPr>
        </w:p>
        <w:p>
          <w:pPr>
            <w:widowControl w:val="0"/>
            <w:rPr>
              <w:rFonts w:ascii="Arial" w:hAnsi="Arial"/>
              <w:snapToGrid w:val="0"/>
            </w:rPr>
          </w:pPr>
        </w:p>
      </w:sdtContent>
    </w:sdt>
    <w:sectPr>
      <w:pgSz w:w="11907" w:h="16839" w:code="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243497"/>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97.xml"/>
  <Relationship Id="rId11" Type="http://schemas.openxmlformats.org/officeDocument/2006/relationships/footer" Target="footer98.xml"/>
  <Relationship Id="rId12" Type="http://schemas.openxmlformats.org/officeDocument/2006/relationships/header" Target="header99.xml"/>
  <Relationship Id="rId13" Type="http://schemas.openxmlformats.org/officeDocument/2006/relationships/footer" Target="footer99.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97.xml"/>
  <Relationship Id="rId9" Type="http://schemas.openxmlformats.org/officeDocument/2006/relationships/header" Target="header98.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b28e03d9b1d94c5499281a21b6e90735"/>
    <Part Type="pastraipa" DocPartId="f312c340464e4659a1b5bad5aa4a09a1" PartId="a5dfac05dd9943fe97abd72d3f5537bc"/>
    <Part Type="signatura" DocPartId="5a3bd86e12504132a358f7289ddbcf60" PartId="9caf37230d0043218af85903909b3358"/>
  </Part>
  <Part Type="patvirtinta" Title="LIGOS IR MOTINYSTĖS SOCIALINIO DRAUDIMO IŠMOKŲ NUOSTATAI" DocPartId="ef4ee4e49c804383a9569fc872ad83da" PartId="2a4eb8efbe7744c4a3241cdba795a4fc">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92ab4265e4984813ad14b1aa1529d465"/>
      <Part Type="punktas" Nr="4" Abbr="4 p." DocPartId="81292996cb234747a446df9a7f95b2d8" PartId="fc3774d53a6a420489fbeb944ad858bf"/>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060ccc6355604f05bddeed23bdf2b614"/>
      <Part Type="punktas" Nr="11" Abbr="11 p." DocPartId="e9b55ef1ba694a33a74c9b2de854a5d1" PartId="ffb4f39ff1e344e1869cff779620ce9d"/>
      <Part Type="punktas" Nr="11-1" Abbr="11-1 p." DocPartId="50349018c0c34c119df00eeaf6966155" PartId="7201bfa4ef2440e49f100856e929aefc"/>
      <Part Type="punktas" Nr="12" Abbr="12 p." DocPartId="ae7894b0c70347b88a8218e00da25a60" PartId="968c090fba144dedba69d15f1ca2d905"/>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5b8cc84562a4079943c55218ba06723"/>
      </Part>
      <Part Type="papunktis" Nr="17.4" Abbr="17.4 pp." DocPartId="fb6403660414424dba56386132b413e0" PartId="f7155a2a3a464c959def2ef273fb92f0"/>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fe4ca06b818443058f2cb19bc1a6ed56"/>
      </Part>
      <Part Type="papunktis" Nr="18.4" Abbr="18.4 pp." DocPartId="a6c6d31dda7d4bf298cd18b9650ac9d4" PartId="3acc424d3769438bb4de851b337b32ca"/>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a05e3ce7dc941d08fd4edbfb6b6b3cb"/>
      <Part Type="punktas" Nr="38-1" Abbr="38-1 p." DocPartId="d52654742e5441a489b6f8d574a86418" PartId="8f41c115dfbf45219b4af2be53017213"/>
      <Part Type="punktas" Nr="39" Abbr="39 p." DocPartId="89c5d7b2b9af4ca2ae7cb53087a2c7e5" PartId="ea8b38004f8d4ccaa0cc530d412fabb3"/>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49-1" Abbr="49-1 p." DocPartId="6a4def2dddf442d595c6c0690f696c59" PartId="34470853afec4764bf20a6430fd3f970"/>
      <Part Type="punktas" Nr="49-2" Abbr="49-2 p." DocPartId="71130699902241bbbeb086d63020cec7" PartId="e3f5db0ab16f4d7a8ac76f58ace6427e"/>
      <Part Type="punktas" Nr="49-3" Abbr="49-3 p." DocPartId="217824c787a948a2819deefad76085f6" PartId="804664bf1bf44a30ba72bc9a1df83f19"/>
      <Part Type="punktas" Nr="49-4" Abbr="49-4 p." DocPartId="d4e7e5440fe241c5b040a6f3a57f2c95" PartId="8977b786314449b5ac6650c549089794"/>
      <Part Type="punktas" Nr="50" Abbr="50 p." DocPartId="7a9c2f2bf905423f883095bec2bd6a76" PartId="d755d40d3e0e473aa6776146ba2b24eb"/>
      <Part Type="punktas" Nr="50-1" Abbr="50-1 p." DocPartId="d6e6bc531dae4ccc9269418f3b17c021" PartId="660520a9652844fa8200d99c0a4e1412"/>
      <Part Type="punktas" Nr="50-2" Abbr="50-2 p." DocPartId="dbf6543f80c64bfab892a1c5d5c19c4a" PartId="97629be0d58b463aaa448a52d545a1d3"/>
      <Part Type="punktas" Nr="51" Abbr="51 p." DocPartId="aa0f7a23d3c542869cdcc295561275dc" PartId="fe44fb6207bc47e694d27f7491eee612"/>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c4182b8324c049a89d57f9e1bcadd872"/>
      <Part Type="punktas" Nr="55" Abbr="55 p." DocPartId="49f01c624e94499a906a502d50c97f64" PartId="2072cdba263643a8ac0d1ad1cb7c9900"/>
      <Part Type="punktas" Nr="55-1" Abbr="55-1 p." DocPartId="0f8cee632d14467f80ded841ee8cf5ef" PartId="ce620364520845b6a2c5a78e899a305d"/>
      <Part Type="punktas" Nr="56" Abbr="56 p." DocPartId="8131ef80bb6f4828972e532855226416" PartId="c7734803a34747c69978c845d5e7cb7a"/>
      <Part Type="punktas" Nr="56-1" Abbr="56-1 p." DocPartId="87424c54d2ec4b728f12109e0010b74f" PartId="1c206c454b694d2a8592d7e1ff795e46"/>
      <Part Type="punktas" Nr="57" Abbr="57 p." DocPartId="ca53aeb683534be7bb29a0085effd0e9" PartId="d9827991279f4f2284ee10b11340eed7"/>
      <Part Type="punktas" Nr="58" Abbr="58 p." DocPartId="3f313d1310f74277b4f5599adda9e24f" PartId="6cf838dea65147ababa4e2f084d511bd"/>
      <Part Type="punktas" Nr="59" Abbr="59 p." DocPartId="cdfca3a47d574e70a6e4e85bf39b2250" PartId="a6fa8367448541b48d12e472279c7b26"/>
      <Part Type="punktas" Nr="59-1" Abbr="59-1 p." DocPartId="c3dcda750f2c42db8075a7b70536ee5b" PartId="799ab255fbe9457a92112e8d872acd48"/>
      <Part Type="punktas" Nr="59-2" Abbr="59-2 p." DocPartId="4b64dd11a1dd4d01b8b881cd5cdbb84c" PartId="0a48d9ec08cb4e0e81aed3056830c770"/>
      <Part Type="punktas" Nr="59-3" Abbr="59-3 p." DocPartId="beff3302852644719523e3c3ac83aff2" PartId="31801cf11a3d4e4bb30cc87018f96a55"/>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27dfb4239849488882595a0471b45bb1"/>
      <Part Type="punktas" Nr="64" Abbr="64 p." DocPartId="84b1576aba2e4a6cafb62a409028e822" PartId="d412acc4732e41b49bd3a5578e82f580"/>
      <Part Type="punktas" Nr="65" Abbr="65 p." DocPartId="8c0728edec824f25afe0c6349bdb02eb" PartId="5d4ee05ec7f248368d891273e2ba12c6"/>
      <Part Type="punktas" Nr="66" Abbr="66 p." DocPartId="7d616fc92c5c425d874b79228f4a7fc6" PartId="7f15eab36bc04b7e9a86d91095e8f22e"/>
      <Part Type="punktas" Nr="66-1" Abbr="66-1 p." DocPartId="3eae27879d1d49afaed91ec44a818d95" PartId="ecf6f26c6b12486fba18a71f6b0b41e0"/>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ab5078ee7345497698e7f64977e5298b"/>
        <Part Type="papunktis" Nr="69.2" Abbr="69.2 pp." DocPartId="424047ad208a4e37b6ff7ba5d87e5919" PartId="6165b5a7beb046b09a048c2dfc3662d5"/>
        <Part Type="papunktis" Nr="69.3" Abbr="69.3 pp." DocPartId="5576e033ea854080969f48b157de00bc" PartId="1e105c5c4d4e491c80af8f39d86fbe20"/>
        <Part Type="papunktis" Nr="69.4" Abbr="69.4 pp." DocPartId="61579ef09a7844e3a8825d8dc9298e37" PartId="9b2eebcc52854d2cbb61abd86203bcc1"/>
        <Part Type="papunktis" Nr="69.5" Abbr="69.5 pp." DocPartId="e7b63cf28a264b64a7d4e55fbc96d0b2" PartId="32a175bde64c404bb748baafe46677c5"/>
      </Part>
      <Part Type="punktas" Nr="70" Abbr="70 p." DocPartId="3a9ab5729c1a4793a45b58815eb7035c" PartId="54808679667443099948ca5388c68a19">
        <Part Type="papunktis" Nr="70.1" Abbr="70.1 pp." DocPartId="a31b2e32b01b42c3b5b6d4029385472b" PartId="a14169fd0e0d467d9f93258314d6be02"/>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afdcfb7bef344cf8b98b9098698ea507"/>
        <Part Type="papunktis" Nr="70.5" Abbr="70.5 pp." DocPartId="b341cc237c574cc988ed6c5f16ca1c08" PartId="dabba3161ac04b3a9d036b030dbc00b3"/>
      </Part>
      <Part Type="punktas" Nr="71" Abbr="71 p." DocPartId="81cdebf62b6b493d9f400ee38a3663cc" PartId="2a13063eb89343d6a45cb5345f9d78bd"/>
      <Part Type="punktas" Nr="72" Abbr="72 p." DocPartId="40415a58d99045eea6a82f8f977a8fb4" PartId="7b1696135e6449f79577c6b0e65ffeaf"/>
      <Part Type="punktas" Nr="73" Abbr="73 p." DocPartId="7e7eebe0efa0492990aff5a5e0fa604a" PartId="0c2ed334ded0461795f5853ac09d9e8a"/>
      <Part Type="punktas" Nr="73-1" Abbr="73-1 p." DocPartId="199ae01c5e8f4f6691ff5ad140d4abfe" PartId="ccb027c131a84ae6910efe0a419baa6f"/>
      <Part Type="punktas" Nr="74" Abbr="74 p." DocPartId="a464d5b2404c497287cd1ac769454a78" PartId="905da696bd544a18a94281fd2ca5d3f5"/>
      <Part Type="punktas" Nr="75" Abbr="75 p." DocPartId="efb5838a79494df280e8974ae41a944a" PartId="7f8d32c9096045e7bfaaa030353821cc"/>
      <Part Type="punktas" Nr="76" Abbr="76 p." DocPartId="598ebf22ecc94f80b6c0b6dca5597a0b" PartId="b09b18c044bd4088a04571104d72b72b"/>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3cbdbdfbbe384dec8a21df7a5120bc51"/>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2f6ce9783d704e1695c11e272ea952e8"/>
      <Part Type="punktas" Nr="83-1" Abbr="83-1 p." DocPartId="a28d67d289b34d3a9711114ab45cf541" PartId="9f4f938fbc1543b581f73ed577befd03"/>
      <Part Type="punktas" Nr="84" Abbr="84 p." DocPartId="d8f93e840cf14e5db65457e2aba5c213" PartId="dc438e8315d94dee8cd5ab054d0f7053"/>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3-1" Abbr="93-1 p." DocPartId="e42d9629eb73490bbd00e34a1e82f49b" PartId="e247e391dfd94ba182c79d8412a9140d"/>
      <Part Type="punktas" Nr="94" Abbr="94 p." DocPartId="ff2e5e33e37e46a9b8e5d6703e4d7aa2" PartId="0e1be4e8b90f4810955b1a863be80869"/>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125a509ba8634295af9b3b18a9ff11f3"/>
      <Part Type="punktas" Nr="98" Abbr="98 p." DocPartId="680b70bb860a4d7c9163fecbb3b2ab18" PartId="a272d6c0bbcc4dc59d6c33c29ac13320"/>
      <Part Type="punktas" Nr="99" Abbr="99 p." DocPartId="cad925837b884f2397ca2cb676866da5" PartId="2cef2ee95d7a480b8d6629156ee5be42"/>
      <Part Type="punktas" Nr="100" Abbr="100 p." DocPartId="83bafec3c348415fb62411a4b50181ea" PartId="c4e48fcedab04aee98aa1f073c77c5d8"/>
      <Part Type="punktas" Nr="101" Abbr="101 p." DocPartId="d003018eba40484db4d5cb18f7c563f2" PartId="b36248ee8f8e4b469f78b28fc195b1e4"/>
    </Part>
    <Part Type="skyrius" Nr="10" Title="ASMENS DUOMENŲ TVARKYMAS IR DOKUMENTŲ SAUGOJIMAS" DocPartId="13d88ef7a0a74158b33049d762f8d5c5" PartId="5d4db61741bc4d269ad7e73ae19b6249">
      <Part Type="punktas" Nr="102" Abbr="102 p." DocPartId="31ecb163d475474790204fa50e825123" PartId="4a167c7acf5742f684eae4ec878c7b90"/>
      <Part Type="punktas" Nr="103" Abbr="103 p." DocPartId="99973bb69562461494ee0a945f7ab950" PartId="ae73d26ad79e463097491f3b6ad95418"/>
      <Part Type="punktas" Nr="104" Abbr="104 p." DocPartId="ba2335dae30a42f397678632c8bd9194" PartId="194894b3e73b4028a40045acba76087d"/>
      <Part Type="punktas" Nr="105" Abbr="105 p." DocPartId="f8c20dcdad304a3f990dd637b9fed425" PartId="bb3fae0b503144d69e741820f398195d"/>
    </Part>
    <Part Type="pabaiga" DocPartId="cd6b612ea55a4b0588b263fb1377490d" PartId="e937b223bed64588a3a1ea44383f732e"/>
  </Part>
</Parts>
</file>

<file path=customXml/itemProps1.xml><?xml version="1.0" encoding="utf-8"?>
<ds:datastoreItem xmlns:ds="http://schemas.openxmlformats.org/officeDocument/2006/customXml" ds:itemID="{C155B164-8C9D-4E41-BF23-4F3BD6F2992C}">
  <ds:schemaRefs>
    <ds:schemaRef ds:uri="http://lrs.lt/TAIS/DocParts"/>
  </ds:schemaRefs>
</ds:datastoreItem>
</file>

<file path=docProps/app.xml><?xml version="1.0" encoding="utf-8"?>
<Properties xmlns="http://schemas.openxmlformats.org/officeDocument/2006/extended-properties">
  <Template>Normal.dotm</Template>
  <TotalTime>174</TotalTime>
  <Pages>16</Pages>
  <Words>41308</Words>
  <Characters>23547</Characters>
  <Application>Microsoft Office Word</Application>
  <DocSecurity>0</DocSecurity>
  <Lines>196</Lines>
  <Paragraphs>129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64726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GRINKEVIČIŪTĖ Agnė</lastModifiedBy>
  <dcterms:modified xsi:type="dcterms:W3CDTF">2024-06-18T11:41:00Z</dcterms:modified>
  <revision>90</revision>
</coreProperties>
</file>