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793560F67ADF">
        <w:r w:rsidRPr="00532B9F">
          <w:rPr>
            <w:rFonts w:ascii="Times New Roman" w:eastAsia="MS Mincho" w:hAnsi="Times New Roman"/>
            <w:sz w:val="20"/>
            <w:i/>
            <w:iCs/>
            <w:color w:val="0000FF" w:themeColor="hyperlink"/>
            <w:u w:val="single"/>
          </w:rPr>
          <w:t>67-0</w:t>
        </w:r>
      </w:fldSimple>
      <w:r>
        <w:rPr>
          <w:rFonts w:ascii="Times New Roman" w:eastAsia="MS Mincho" w:hAnsi="Times New Roman"/>
          <w:sz w:val="20"/>
          <w:i/>
          <w:iCs/>
        </w:rPr>
        <w:t>; Žin. 1991, Nr. </w:t>
      </w:r>
      <w:fldSimple w:instr="HYPERLINK https://www.e-tar.lt/portal/legalAct.html?documentId=TAR.793560F67ADF">
        <w:r w:rsidRPr="00532B9F">
          <w:rPr>
            <w:rFonts w:ascii="Times New Roman" w:eastAsia="MS Mincho" w:hAnsi="Times New Roman"/>
            <w:sz w:val="20"/>
            <w:i/>
            <w:iCs/>
            <w:color w:val="0000FF" w:themeColor="hyperlink"/>
            <w:u w:val="single"/>
          </w:rPr>
          <w:t>11-274</w:t>
        </w:r>
      </w:fldSimple>
      <w:r>
        <w:rPr>
          <w:rFonts w:ascii="Times New Roman" w:eastAsia="MS Mincho" w:hAnsi="Times New Roman"/>
          <w:sz w:val="20"/>
          <w:i/>
          <w:iCs/>
        </w:rPr>
        <w:t>, i. k. 0911010ISTA00I-1163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2007-01-01: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7B715225C9AC">
        <w:r w:rsidRPr="00532B9F">
          <w:rPr>
            <w:rFonts w:ascii="Times New Roman" w:eastAsia="MS Mincho" w:hAnsi="Times New Roman"/>
            <w:sz w:val="20"/>
            <w:i/>
            <w:iCs/>
            <w:color w:val="0000FF" w:themeColor="hyperlink"/>
            <w:u w:val="single"/>
          </w:rPr>
          <w:t>X-616</w:t>
        </w:r>
      </w:fldSimple>
      <w:r>
        <w:rPr>
          <w:rFonts w:ascii="Times New Roman" w:eastAsia="MS Mincho" w:hAnsi="Times New Roman"/>
          <w:sz w:val="20"/>
          <w:i/>
          <w:iCs/>
        </w:rPr>
        <w:t>,
2006-05-25,
Žin. 2006,
Nr.
65-2382 (2006-06-10), i. k. 1061010ISTA000X-616                </w:t>
      </w:r>
    </w:p>
    <w:p>
      <w:pPr>
        <w:rPr>
          <w:rFonts w:ascii="Times New Roman" w:hAnsi="Times New Roman"/>
          <w:sz w:val="22"/>
        </w:rPr>
      </w:pPr>
    </w:p>
    <w:p>
      <w:pPr>
        <w:widowControl w:val="0"/>
        <w:jc w:val="center"/>
        <w:rPr>
          <w:b/>
          <w:bCs/>
          <w:color w:val="000000"/>
        </w:rPr>
      </w:pPr>
      <w:r>
        <w:rPr>
          <w:b/>
          <w:bCs/>
          <w:color w:val="000000"/>
        </w:rPr>
        <w:t>LIETUVOS RESPUBLIKOS</w:t>
      </w:r>
    </w:p>
    <w:p>
      <w:pPr>
        <w:widowControl w:val="0"/>
        <w:jc w:val="center"/>
        <w:rPr>
          <w:b/>
          <w:bCs/>
          <w:color w:val="000000"/>
        </w:rPr>
      </w:pPr>
      <w:r>
        <w:rPr>
          <w:b/>
          <w:bCs/>
          <w:color w:val="000000"/>
        </w:rPr>
        <w:t xml:space="preserve">MOKESČIO UŽ VALSTYBINIUS GAMTOS IŠTEKLIUS </w:t>
      </w:r>
    </w:p>
    <w:p>
      <w:pPr>
        <w:widowControl w:val="0"/>
        <w:jc w:val="center"/>
        <w:rPr>
          <w:color w:val="000000"/>
        </w:rPr>
      </w:pPr>
      <w:r>
        <w:rPr>
          <w:b/>
          <w:bCs/>
          <w:color w:val="000000"/>
        </w:rPr>
        <w:t>ĮSTATYMAS</w:t>
      </w:r>
    </w:p>
    <w:p>
      <w:pPr>
        <w:ind w:firstLine="709"/>
        <w:jc w:val="both"/>
        <w:rPr>
          <w:color w:val="000000"/>
        </w:rPr>
      </w:pPr>
    </w:p>
    <w:p>
      <w:pPr>
        <w:widowControl w:val="0"/>
        <w:ind w:firstLine="709"/>
        <w:jc w:val="both"/>
        <w:rPr>
          <w:color w:val="000000"/>
        </w:rPr>
      </w:pPr>
      <w:r>
        <w:rPr>
          <w:b/>
          <w:bCs/>
          <w:color w:val="000000"/>
        </w:rPr>
        <w:t>1</w:t>
      </w:r>
      <w:r>
        <w:rPr>
          <w:b/>
          <w:bCs/>
          <w:color w:val="000000"/>
        </w:rPr>
        <w:t xml:space="preserve"> straipsnis. </w:t>
      </w:r>
      <w:r>
        <w:rPr>
          <w:b/>
          <w:bCs/>
          <w:color w:val="000000"/>
        </w:rPr>
        <w:t>Įstatymo paskirtis</w:t>
      </w:r>
    </w:p>
    <w:p>
      <w:pPr>
        <w:widowControl w:val="0"/>
        <w:ind w:firstLine="709"/>
        <w:jc w:val="both"/>
        <w:rPr>
          <w:color w:val="000000"/>
        </w:rPr>
      </w:pPr>
      <w:r>
        <w:rPr>
          <w:color w:val="000000"/>
        </w:rPr>
        <w:t>Šis įstatymas nustato valstybinių gamtos išteklių, kurie pagal šį įstatymą yra mokesčio objektas, apmokestinimo mokesčiu už valstybinius gamtos išteklius ir ginčų nagrinėjimo tvarką.</w:t>
      </w:r>
    </w:p>
    <w:p>
      <w:pPr>
        <w:ind w:firstLine="709"/>
        <w:jc w:val="both"/>
        <w:rPr>
          <w:color w:val="000000"/>
        </w:rPr>
      </w:pPr>
    </w:p>
    <w:p>
      <w:pPr>
        <w:widowControl w:val="0"/>
        <w:ind w:firstLine="709"/>
        <w:jc w:val="both"/>
        <w:rPr>
          <w:color w:val="000000"/>
        </w:rPr>
      </w:pPr>
      <w:r>
        <w:rPr>
          <w:b/>
          <w:bCs/>
          <w:color w:val="000000"/>
        </w:rPr>
        <w:t>2</w:t>
      </w:r>
      <w:r>
        <w:rPr>
          <w:b/>
          <w:bCs/>
          <w:color w:val="000000"/>
        </w:rPr>
        <w:t xml:space="preserve"> straipsnis. </w:t>
      </w:r>
      <w:r>
        <w:rPr>
          <w:b/>
          <w:bCs/>
          <w:color w:val="000000"/>
        </w:rPr>
        <w:t>Įstatymo tikslas</w:t>
      </w:r>
    </w:p>
    <w:p>
      <w:pPr>
        <w:widowControl w:val="0"/>
        <w:ind w:firstLine="709"/>
        <w:jc w:val="both"/>
        <w:rPr>
          <w:color w:val="000000"/>
        </w:rPr>
      </w:pPr>
      <w:r>
        <w:rPr>
          <w:color w:val="000000"/>
        </w:rPr>
        <w:t>Šio įstatymo tikslas – ekonominėmis priemonėmis skatinti gamtos išteklių naudotojus taupiai ir efektyviai naudoti valstybinius gamtos išteklius, kompensuoti gamtos išteklių tyrimo ir priemonių jų kiekiui bei kokybei išsaugoti valstybines išlaidas.</w:t>
      </w:r>
    </w:p>
    <w:p>
      <w:pPr>
        <w:ind w:firstLine="709"/>
        <w:jc w:val="both"/>
        <w:rPr>
          <w:color w:val="000000"/>
        </w:rPr>
      </w:pPr>
    </w:p>
    <w:p>
      <w:pPr>
        <w:widowControl w:val="0"/>
        <w:ind w:firstLine="709"/>
        <w:jc w:val="both"/>
        <w:rPr>
          <w:color w:val="000000"/>
        </w:rPr>
      </w:pPr>
      <w:r>
        <w:rPr>
          <w:b/>
          <w:bCs/>
          <w:color w:val="000000"/>
        </w:rPr>
        <w:t>3</w:t>
      </w:r>
      <w:r>
        <w:rPr>
          <w:b/>
          <w:bCs/>
          <w:color w:val="000000"/>
        </w:rPr>
        <w:t xml:space="preserve"> straipsnis. </w:t>
      </w:r>
      <w:r>
        <w:rPr>
          <w:b/>
          <w:bCs/>
          <w:color w:val="000000"/>
        </w:rPr>
        <w:t>Pagrindinės šio įstatymo sąvokos</w:t>
      </w:r>
    </w:p>
    <w:p>
      <w:pPr>
        <w:widowControl w:val="0"/>
        <w:ind w:firstLine="709"/>
        <w:jc w:val="both"/>
        <w:rPr>
          <w:b/>
          <w:bCs/>
          <w:color w:val="000000"/>
        </w:rPr>
      </w:pPr>
      <w:r>
        <w:rPr>
          <w:bCs/>
          <w:color w:val="000000"/>
        </w:rPr>
        <w:t>1</w:t>
      </w:r>
      <w:r>
        <w:rPr>
          <w:bCs/>
          <w:color w:val="000000"/>
        </w:rPr>
        <w:t>.</w:t>
      </w:r>
      <w:r>
        <w:rPr>
          <w:b/>
          <w:bCs/>
          <w:color w:val="000000"/>
        </w:rPr>
        <w:t xml:space="preserve"> Gamtos išteklių išgavimas (naudojimas) – </w:t>
      </w:r>
      <w:r>
        <w:rPr>
          <w:color w:val="000000"/>
        </w:rPr>
        <w:t>medžiojimas, naudingųjų iškasenų kasimas ar gamtos išteklių paėmimas iš aplinkos kitokiu būdu.</w:t>
      </w:r>
    </w:p>
    <w:p>
      <w:pPr>
        <w:widowControl w:val="0"/>
        <w:ind w:firstLine="709"/>
        <w:jc w:val="both"/>
        <w:rPr>
          <w:color w:val="000000"/>
        </w:rPr>
      </w:pPr>
      <w:r>
        <w:rPr>
          <w:color w:val="000000"/>
        </w:rPr>
        <w:t>2</w:t>
      </w:r>
      <w:r>
        <w:rPr>
          <w:color w:val="000000"/>
        </w:rPr>
        <w:t xml:space="preserve">. </w:t>
      </w:r>
      <w:r>
        <w:rPr>
          <w:b/>
          <w:bCs/>
          <w:color w:val="000000"/>
        </w:rPr>
        <w:t xml:space="preserve">Medžiojamųjų gyvūnų ištekliai – </w:t>
      </w:r>
      <w:r>
        <w:rPr>
          <w:color w:val="000000"/>
        </w:rPr>
        <w:t>laukiniai gyvūnai, kurie Medžioklės Lietuvos Respublikos teritorijoje taisyklėse yra priskirti medžiojamiesiems.</w:t>
      </w:r>
    </w:p>
    <w:p>
      <w:pPr>
        <w:widowControl w:val="0"/>
        <w:ind w:firstLine="709"/>
        <w:jc w:val="both"/>
        <w:rPr>
          <w:color w:val="000000"/>
        </w:rPr>
      </w:pPr>
      <w:r>
        <w:rPr>
          <w:color w:val="000000"/>
        </w:rPr>
        <w:t>3</w:t>
      </w:r>
      <w:r>
        <w:rPr>
          <w:color w:val="000000"/>
        </w:rPr>
        <w:t xml:space="preserve">. </w:t>
      </w:r>
      <w:r>
        <w:rPr>
          <w:b/>
          <w:bCs/>
          <w:color w:val="000000"/>
        </w:rPr>
        <w:t xml:space="preserve">Medžioklės plotai – </w:t>
      </w:r>
      <w:r>
        <w:rPr>
          <w:color w:val="000000"/>
        </w:rPr>
        <w:t>žemės, miškų ir vandens telkinių plotai, kuriuose Medžioklės įstatymo nustatyta tvarka gali būti medžiojama.</w:t>
      </w:r>
    </w:p>
    <w:p>
      <w:pPr>
        <w:widowControl w:val="0"/>
        <w:ind w:firstLine="709"/>
        <w:jc w:val="both"/>
        <w:rPr>
          <w:color w:val="000000"/>
        </w:rPr>
      </w:pPr>
      <w:r>
        <w:rPr>
          <w:color w:val="000000"/>
        </w:rPr>
        <w:t>4</w:t>
      </w:r>
      <w:r>
        <w:rPr>
          <w:color w:val="000000"/>
        </w:rPr>
        <w:t xml:space="preserve">. </w:t>
      </w:r>
      <w:r>
        <w:rPr>
          <w:b/>
          <w:bCs/>
          <w:color w:val="000000"/>
        </w:rPr>
        <w:t xml:space="preserve">Naudingosios iškasenos – </w:t>
      </w:r>
      <w:r>
        <w:rPr>
          <w:color w:val="000000"/>
        </w:rPr>
        <w:t>žemės gelmėse esančios gamtinės mineralinės medžiagos, kurios tinkamos naudoti gamyboje ar kitoms reikmėms.</w:t>
      </w:r>
    </w:p>
    <w:p>
      <w:pPr>
        <w:ind w:firstLine="709"/>
        <w:jc w:val="both"/>
        <w:rPr>
          <w:color w:val="000000"/>
        </w:rPr>
      </w:pPr>
    </w:p>
    <w:p>
      <w:pPr>
        <w:widowControl w:val="0"/>
        <w:ind w:firstLine="709"/>
        <w:jc w:val="both"/>
        <w:rPr>
          <w:color w:val="000000"/>
        </w:rPr>
      </w:pPr>
      <w:r>
        <w:rPr>
          <w:b/>
          <w:bCs/>
          <w:color w:val="000000"/>
        </w:rPr>
        <w:t>4</w:t>
      </w:r>
      <w:r>
        <w:rPr>
          <w:b/>
          <w:bCs/>
          <w:color w:val="000000"/>
        </w:rPr>
        <w:t xml:space="preserve"> straipsnis. </w:t>
      </w:r>
      <w:r>
        <w:rPr>
          <w:b/>
          <w:bCs/>
          <w:color w:val="000000"/>
        </w:rPr>
        <w:t>Mokesčio objektas</w:t>
      </w:r>
    </w:p>
    <w:p>
      <w:pPr>
        <w:widowControl w:val="0"/>
        <w:ind w:firstLine="709"/>
        <w:jc w:val="both"/>
        <w:rPr>
          <w:color w:val="000000"/>
        </w:rPr>
      </w:pPr>
      <w:r>
        <w:rPr>
          <w:color w:val="000000"/>
        </w:rPr>
        <w:t>Mokesčio objektas yra šie išgaunami valstybiniai gamtos ištekliai:</w:t>
      </w:r>
    </w:p>
    <w:p>
      <w:pPr>
        <w:widowControl w:val="0"/>
        <w:suppressAutoHyphens/>
        <w:ind w:firstLine="709"/>
        <w:jc w:val="both"/>
        <w:rPr>
          <w:color w:val="000000"/>
        </w:rPr>
      </w:pPr>
      <w:r>
        <w:rPr>
          <w:color w:val="000000"/>
        </w:rPr>
        <w:t>1</w:t>
      </w:r>
      <w:r>
        <w:rPr>
          <w:color w:val="000000"/>
        </w:rPr>
        <w:t>) naudingosios iškasenos, nurodytos šio įstatymo 1 priede, išskyrus angliavandenilius ir durpes, naudojamas gydymo įstaigose;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
      <w:pPr>
        <w:widowControl w:val="0"/>
        <w:suppressAutoHyphens/>
        <w:ind w:firstLine="709"/>
        <w:jc w:val="both"/>
        <w:rPr>
          <w:color w:val="000000"/>
        </w:rPr>
      </w:pPr>
      <w:r>
        <w:rPr>
          <w:color w:val="000000"/>
        </w:rPr>
        <w:t>2</w:t>
      </w:r>
      <w:r>
        <w:rPr>
          <w:color w:val="000000"/>
        </w:rPr>
        <w:t>) vanduo ir statybinis gruntas, nurodyti šio įstatymo 2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
      <w:pPr>
        <w:widowControl w:val="0"/>
        <w:ind w:firstLine="709"/>
        <w:jc w:val="both"/>
        <w:rPr>
          <w:color w:val="000000"/>
        </w:rPr>
      </w:pPr>
      <w:r>
        <w:rPr>
          <w:color w:val="000000"/>
        </w:rPr>
        <w:t>3</w:t>
      </w:r>
      <w:r>
        <w:rPr>
          <w:color w:val="000000"/>
        </w:rPr>
        <w:t>) medžiojamieji gyvūnai, apmokestinami pagal medžioklės plotų kategorijas, nurodytas šio įstatymo 3 priede.</w:t>
      </w:r>
    </w:p>
    <w:p>
      <w:pPr>
        <w:ind w:firstLine="709"/>
        <w:jc w:val="both"/>
        <w:rPr>
          <w:color w:val="000000"/>
        </w:rPr>
      </w:pPr>
    </w:p>
    <w:p>
      <w:pPr>
        <w:widowControl w:val="0"/>
        <w:ind w:firstLine="709"/>
        <w:jc w:val="both"/>
        <w:rPr>
          <w:color w:val="000000"/>
        </w:rPr>
      </w:pPr>
      <w:r>
        <w:rPr>
          <w:b/>
          <w:bCs/>
          <w:color w:val="000000"/>
        </w:rPr>
        <w:t>5</w:t>
      </w:r>
      <w:r>
        <w:rPr>
          <w:b/>
          <w:bCs/>
          <w:color w:val="000000"/>
        </w:rPr>
        <w:t xml:space="preserve"> straipsnis. </w:t>
      </w:r>
      <w:r>
        <w:rPr>
          <w:b/>
          <w:bCs/>
          <w:color w:val="000000"/>
        </w:rPr>
        <w:t>Mokesčio mokėtojai</w:t>
      </w:r>
    </w:p>
    <w:p>
      <w:pPr>
        <w:widowControl w:val="0"/>
        <w:ind w:firstLine="709"/>
        <w:jc w:val="both"/>
        <w:rPr>
          <w:color w:val="000000"/>
        </w:rPr>
      </w:pPr>
      <w:r>
        <w:rPr>
          <w:color w:val="000000"/>
        </w:rPr>
        <w:t>1</w:t>
      </w:r>
      <w:r>
        <w:rPr>
          <w:color w:val="000000"/>
        </w:rPr>
        <w:t>. Mokesčio už valstybinius gamtos išteklius, išskyrus mokestį už medžiojamųjų gyvūnų išteklius, mokėtojai yra fiziniai ir juridiniai asmenys, išgaunantys šiuo įstatymu apmokestinamus valstybinius gamtos išteklius, kuriems išgauti reikalingas Lietuvos Respublikos aplinkos apsaugos įstatymo, kitų teisės aktų nustatyta tvarka išduotas leidimas.</w:t>
      </w:r>
    </w:p>
    <w:p>
      <w:pPr>
        <w:widowControl w:val="0"/>
        <w:ind w:firstLine="709"/>
        <w:jc w:val="both"/>
        <w:rPr>
          <w:color w:val="000000"/>
        </w:rPr>
      </w:pPr>
      <w:r>
        <w:rPr>
          <w:color w:val="000000"/>
        </w:rPr>
        <w:t>2</w:t>
      </w:r>
      <w:r>
        <w:rPr>
          <w:color w:val="000000"/>
        </w:rPr>
        <w:t>. Mokesčio už medžiojamųjų gyvūnų išteklius mokėtojai yra fiziniai ir juridiniai asmenys, turintys leidimą naudoti medžiojamųjų gyvūnų išteklius medžioklės plotų vienete pagal Lietuvos Respublikos medžioklės įstatymą, išskyrus biologinio profilio mokslo ir mokymo įstaigas, vykdančias laukinės gyvūnijos, jos gyvenamosios aplinkos ir medžioklės mokslinius tyrimus.</w:t>
      </w:r>
    </w:p>
    <w:p>
      <w:pPr>
        <w:ind w:firstLine="709"/>
        <w:jc w:val="both"/>
        <w:rPr>
          <w:color w:val="000000"/>
        </w:rPr>
      </w:pPr>
    </w:p>
    <w:p>
      <w:pPr>
        <w:keepLines/>
        <w:widowControl w:val="0"/>
        <w:suppressAutoHyphens/>
        <w:ind w:firstLine="709"/>
        <w:rPr>
          <w:b/>
          <w:bCs/>
          <w:color w:val="000000"/>
        </w:rPr>
      </w:pPr>
      <w:r>
        <w:rPr>
          <w:b/>
          <w:bCs/>
          <w:color w:val="000000"/>
        </w:rPr>
        <w:t>6</w:t>
      </w:r>
      <w:r>
        <w:rPr>
          <w:b/>
          <w:bCs/>
          <w:color w:val="000000"/>
        </w:rPr>
        <w:t xml:space="preserve"> straipsnis. </w:t>
      </w:r>
      <w:r>
        <w:rPr>
          <w:b/>
          <w:bCs/>
          <w:color w:val="000000"/>
        </w:rPr>
        <w:t>Mokesčio tarifų nustatymas ir jų indeksavimas</w:t>
      </w:r>
    </w:p>
    <w:p>
      <w:pPr>
        <w:widowControl w:val="0"/>
        <w:suppressAutoHyphens/>
        <w:ind w:firstLine="709"/>
        <w:jc w:val="both"/>
        <w:rPr>
          <w:color w:val="000000"/>
        </w:rPr>
      </w:pPr>
      <w:r>
        <w:rPr>
          <w:color w:val="000000"/>
        </w:rPr>
        <w:t>1</w:t>
      </w:r>
      <w:r>
        <w:rPr>
          <w:color w:val="000000"/>
        </w:rPr>
        <w:t>. Mokesčio už valstybinius gamtos išteklius tarifai nustatyti šio įstatymo 1, 2 ir 3 prieduose.</w:t>
      </w:r>
    </w:p>
    <w:p>
      <w:pPr>
        <w:widowControl w:val="0"/>
        <w:suppressAutoHyphens/>
        <w:ind w:firstLine="709"/>
        <w:jc w:val="both"/>
        <w:rPr>
          <w:color w:val="000000"/>
        </w:rPr>
      </w:pPr>
      <w:r>
        <w:rPr>
          <w:color w:val="000000"/>
        </w:rPr>
        <w:t>2</w:t>
      </w:r>
      <w:r>
        <w:rPr>
          <w:color w:val="000000"/>
        </w:rPr>
        <w:t xml:space="preserve">. Už nedeklaruotą ar deklaruotą mažesnį negu išgautas gamtos išteklių kiekį ir (ar) be leidimo išgautą gamtos išteklių kiekį taikomas didesnis mokesčio tarifas. Jis apskaičiuojamas šio įstatymo 1, 2 ir 3 prieduose nustatytus tarifus dauginant iš  koeficiento 10.</w:t>
      </w:r>
    </w:p>
    <w:p>
      <w:pPr>
        <w:ind w:firstLine="720"/>
        <w:jc w:val="both"/>
        <w:rPr>
          <w:color w:val="000000"/>
        </w:rPr>
      </w:pPr>
      <w:r>
        <w:rPr>
          <w:szCs w:val="24"/>
        </w:rPr>
        <w:t>3</w:t>
      </w:r>
      <w:r>
        <w:rPr>
          <w:szCs w:val="24"/>
        </w:rPr>
        <w:t>. Šio įstatymo 1 ir 2 prieduose nustatyti tarifai mokesčio mokėtojo indeksuojami pagal Lietuvos statistikos departamento apskaičiuojamą ir Oficialiosios statistikos portale skelbiamą mokestinio ketvirčio vartotojų kainų indeksą. Vartotojų kainų indeksas nustatomas palyginus mokestinio ketvirčio antrojo mėnesio kainas su 2014 metų gruodžio mėnesio kainomis.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954af09f4d11e58fd1fc0b9bba68a7">
        <w:r w:rsidRPr="00532B9F">
          <w:rPr>
            <w:rFonts w:ascii="Times New Roman" w:eastAsia="MS Mincho" w:hAnsi="Times New Roman"/>
            <w:sz w:val="20"/>
            <w:i/>
            <w:iCs/>
            <w:color w:val="0000FF" w:themeColor="hyperlink"/>
            <w:u w:val="single"/>
          </w:rPr>
          <w:t>XII-2148</w:t>
        </w:r>
      </w:fldSimple>
      <w:r>
        <w:rPr>
          <w:rFonts w:ascii="Times New Roman" w:eastAsia="MS Mincho" w:hAnsi="Times New Roman"/>
          <w:sz w:val="20"/>
          <w:i/>
          <w:iCs/>
        </w:rPr>
        <w:t>,
2015-12-08,
paskelbta TAR 2015-12-10, i. k. 2015-19625            </w:t>
      </w:r>
    </w:p>
    <w:p/>
    <w:p>
      <w:pPr>
        <w:widowControl w:val="0"/>
        <w:suppressAutoHyphens/>
        <w:ind w:firstLine="709"/>
        <w:jc w:val="both"/>
        <w:rPr>
          <w:color w:val="000000"/>
        </w:rPr>
      </w:pPr>
      <w:r>
        <w:rPr>
          <w:color w:val="000000"/>
        </w:rPr>
        <w:t>4</w:t>
      </w:r>
      <w:r>
        <w:rPr>
          <w:color w:val="000000"/>
        </w:rPr>
        <w:t>. Šio įstatymo 3 priede nustatyti tarifai mokesčio mokėtojo indeksuojami pagal Lietuvos statistikos departamento skelbiamą mokestinių metų vartotojų kainų indeksą. Kainų indeksas nustatomas palyginus mokestinių metų gruodžio mėnesio kainas su 2005 metų gruodžio mėnesio kainomis.</w:t>
      </w:r>
    </w:p>
    <w:p>
      <w:pPr>
        <w:widowControl w:val="0"/>
        <w:suppressAutoHyphens/>
        <w:ind w:firstLine="709"/>
        <w:jc w:val="both"/>
        <w:rPr>
          <w:color w:val="000000"/>
        </w:rPr>
      </w:pPr>
      <w:r>
        <w:rPr>
          <w:color w:val="000000"/>
        </w:rPr>
        <w:t>5</w:t>
      </w:r>
      <w:r>
        <w:rPr>
          <w:color w:val="000000"/>
        </w:rPr>
        <w:t>. Indeksavimo koeficientas, kurį taikant indeksuojami mokesčio už valstybinius gamtos išteklius tarifai, nustatomas vartotojų kainų indeksą dalijant iš šimto.</w:t>
      </w:r>
    </w:p>
    <w:p>
      <w:pPr>
        <w:widowControl w:val="0"/>
        <w:suppressAutoHyphens/>
        <w:ind w:firstLine="709"/>
        <w:jc w:val="both"/>
        <w:rPr>
          <w:color w:val="000000"/>
        </w:rPr>
      </w:pPr>
      <w:r>
        <w:rPr>
          <w:color w:val="000000"/>
        </w:rPr>
        <w:t>6</w:t>
      </w:r>
      <w:r>
        <w:rPr>
          <w:color w:val="000000"/>
        </w:rPr>
        <w:t>. Indeksuoti mokesčio tarifai, išskyrus mokesčio už medžiojamųjų gyvūnų išteklius tarifus, įsigalioja nuo kiekvieno mokestinio ketvirčio, kurio mokestis deklaruojamas, pradžios. Indeksuoti mokesčio už medžiojamųjų gyvūnų išteklius tarifai įsigalioja nuo kalendorinių metų, kurių mokestis deklaruojamas,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62DCBC70B5">
        <w:r w:rsidRPr="00532B9F">
          <w:rPr>
            <w:rFonts w:ascii="Times New Roman" w:eastAsia="MS Mincho" w:hAnsi="Times New Roman"/>
            <w:sz w:val="20"/>
            <w:i/>
            <w:iCs/>
            <w:color w:val="0000FF" w:themeColor="hyperlink"/>
            <w:u w:val="single"/>
          </w:rPr>
          <w:t>XI-1818</w:t>
        </w:r>
      </w:fldSimple>
      <w:r>
        <w:rPr>
          <w:rFonts w:ascii="Times New Roman" w:eastAsia="MS Mincho" w:hAnsi="Times New Roman"/>
          <w:sz w:val="20"/>
          <w:i/>
          <w:iCs/>
        </w:rPr>
        <w:t>,
2011-12-20,
Žin., 2011, Nr.
161-7617 (2011-12-29), i. k. 1111010ISTA0XI-1818            </w:t>
      </w:r>
    </w:p>
    <w:p/>
    <w:p>
      <w:pPr>
        <w:widowControl w:val="0"/>
        <w:ind w:firstLine="709"/>
        <w:jc w:val="both"/>
        <w:rPr>
          <w:color w:val="000000"/>
        </w:rPr>
      </w:pPr>
      <w:r>
        <w:rPr>
          <w:b/>
          <w:bCs/>
          <w:color w:val="000000"/>
        </w:rPr>
        <w:t>7</w:t>
      </w:r>
      <w:r>
        <w:rPr>
          <w:b/>
          <w:bCs/>
          <w:color w:val="000000"/>
        </w:rPr>
        <w:t xml:space="preserve"> straipsnis. </w:t>
      </w:r>
      <w:r>
        <w:rPr>
          <w:b/>
          <w:bCs/>
          <w:color w:val="000000"/>
        </w:rPr>
        <w:t>Mokesčio apskaičiavimo, deklaravimo ir mokėjimo tvarka</w:t>
      </w:r>
    </w:p>
    <w:p>
      <w:pPr>
        <w:widowControl w:val="0"/>
        <w:suppressAutoHyphens/>
        <w:ind w:firstLine="709"/>
        <w:jc w:val="both"/>
        <w:rPr>
          <w:color w:val="000000"/>
        </w:rPr>
      </w:pPr>
      <w:r>
        <w:rPr>
          <w:color w:val="000000"/>
        </w:rPr>
        <w:t>1</w:t>
      </w:r>
      <w:r>
        <w:rPr>
          <w:color w:val="000000"/>
        </w:rPr>
        <w:t>. Mokesčio už valstybinius gamtos išteklius, išskyrus mokestį už medžiojamųjų gyvūnų išteklius, mokestinis laikotarpis yra kalendorinis ketvirtis. Mokesčio už medžiojamųjų gyvūnų išteklius mokestinis laikotarpis yra kalendoriniai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62DCBC70B5">
        <w:r w:rsidRPr="00532B9F">
          <w:rPr>
            <w:rFonts w:ascii="Times New Roman" w:eastAsia="MS Mincho" w:hAnsi="Times New Roman"/>
            <w:sz w:val="20"/>
            <w:i/>
            <w:iCs/>
            <w:color w:val="0000FF" w:themeColor="hyperlink"/>
            <w:u w:val="single"/>
          </w:rPr>
          <w:t>XI-1818</w:t>
        </w:r>
      </w:fldSimple>
      <w:r>
        <w:rPr>
          <w:rFonts w:ascii="Times New Roman" w:eastAsia="MS Mincho" w:hAnsi="Times New Roman"/>
          <w:sz w:val="20"/>
          <w:i/>
          <w:iCs/>
        </w:rPr>
        <w:t>,
2011-12-20,
Žin., 2011, Nr.
161-7617 (2011-12-29), i. k. 1111010ISTA0XI-1818            </w:t>
      </w:r>
    </w:p>
    <w:p/>
    <w:p>
      <w:pPr>
        <w:widowControl w:val="0"/>
        <w:suppressAutoHyphens/>
        <w:ind w:firstLine="709"/>
        <w:jc w:val="both"/>
        <w:rPr>
          <w:color w:val="000000"/>
        </w:rPr>
      </w:pPr>
      <w:r>
        <w:rPr>
          <w:color w:val="000000"/>
        </w:rPr>
        <w:t>2</w:t>
      </w:r>
      <w:r>
        <w:rPr>
          <w:color w:val="000000"/>
        </w:rPr>
        <w:t>. Mokesčio už valstybinius gamtos išteklius, išskyrus mokestį už medžiojamųjų gyvūnų išteklius, mokėtojai, mokestinio laikotarpio mokesčio deklaracijoje taikydami indeksuotą šio įstatymo 1 ar 2 prieduose nustatytą tarifą, apskaičiuoja ir moka mokestį už visą per tą mokestinį laikotarpį išgautą gamtos išteklių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
      <w:pPr>
        <w:widowControl w:val="0"/>
        <w:ind w:firstLine="709"/>
        <w:jc w:val="both"/>
        <w:rPr>
          <w:color w:val="000000"/>
        </w:rPr>
      </w:pPr>
      <w:r>
        <w:rPr>
          <w:color w:val="000000"/>
        </w:rPr>
        <w:t>3</w:t>
      </w:r>
      <w:r>
        <w:rPr>
          <w:color w:val="000000"/>
        </w:rPr>
        <w:t>. Mokesčio už medžiojamųjų gyvūnų išteklius mokėtojai, mokestinio laikotarpio mokesčio deklaracijoje taikydami indeksuotą šio įstatymo 3 priede nustatytą mokesčio už medžiojamųjų gyvūnų išteklius tarifą pagal medžioklės plotų kategorijas, apskaičiuoja ir moka mokestį už per mokestinį laikotarpį mokesčio mokėtojui suteiktą (leistą) naudoti atitinkamos kategorijos medžioklės plotų dydį.</w:t>
      </w:r>
    </w:p>
    <w:p>
      <w:pPr>
        <w:ind w:firstLine="720"/>
        <w:jc w:val="both"/>
        <w:rPr>
          <w:color w:val="000000"/>
        </w:rPr>
      </w:pPr>
      <w:r>
        <w:rPr>
          <w:color w:val="000000"/>
          <w:sz w:val="22"/>
          <w:szCs w:val="22"/>
          <w:lang w:eastAsia="lt-LT"/>
        </w:rPr>
        <w:t>4</w:t>
      </w:r>
      <w:r>
        <w:rPr>
          <w:color w:val="000000"/>
          <w:sz w:val="22"/>
          <w:szCs w:val="22"/>
          <w:lang w:eastAsia="lt-LT"/>
        </w:rPr>
        <w:t>. Mokesčio mokėtojai, pasibaigus mokestiniam laikotarpiui, privalo užpildyti mokesčio už valstybinius</w:t>
      </w:r>
      <w:r>
        <w:rPr>
          <w:sz w:val="22"/>
          <w:szCs w:val="22"/>
        </w:rPr>
        <w:t xml:space="preserve"> </w:t>
      </w:r>
      <w:r>
        <w:rPr>
          <w:color w:val="000000"/>
          <w:sz w:val="22"/>
          <w:szCs w:val="22"/>
          <w:lang w:eastAsia="lt-LT"/>
        </w:rPr>
        <w:t>gamtos</w:t>
      </w:r>
      <w:r>
        <w:rPr>
          <w:sz w:val="22"/>
          <w:szCs w:val="22"/>
        </w:rPr>
        <w:t xml:space="preserve"> </w:t>
      </w:r>
      <w:r>
        <w:rPr>
          <w:color w:val="000000"/>
          <w:sz w:val="22"/>
          <w:szCs w:val="22"/>
          <w:lang w:eastAsia="lt-LT"/>
        </w:rPr>
        <w:t>išteklius deklaracijas ir jas pateikti tai teritorinei valstybinei mokesčių inspekcijai, kurios veiklos teritorijoje jie yra arba privalo būti įregistruoti mokesčio mokėtojais, ir sumokėti mokestį už valstybinius</w:t>
      </w:r>
      <w:r>
        <w:rPr>
          <w:sz w:val="22"/>
          <w:szCs w:val="22"/>
        </w:rPr>
        <w:t xml:space="preserve"> </w:t>
      </w:r>
      <w:r>
        <w:rPr>
          <w:color w:val="000000"/>
          <w:sz w:val="22"/>
          <w:szCs w:val="22"/>
          <w:lang w:eastAsia="lt-LT"/>
        </w:rPr>
        <w:t>gamtos išteklius iki antro kalendorinio mėnesio, einančio po mokestinio laikotarpio, už kurį mokestis mokamas, 15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62DCBC70B5">
        <w:r w:rsidRPr="00532B9F">
          <w:rPr>
            <w:rFonts w:ascii="Times New Roman" w:eastAsia="MS Mincho" w:hAnsi="Times New Roman"/>
            <w:sz w:val="20"/>
            <w:i/>
            <w:iCs/>
            <w:color w:val="0000FF" w:themeColor="hyperlink"/>
            <w:u w:val="single"/>
          </w:rPr>
          <w:t>XI-1818</w:t>
        </w:r>
      </w:fldSimple>
      <w:r>
        <w:rPr>
          <w:rFonts w:ascii="Times New Roman" w:eastAsia="MS Mincho" w:hAnsi="Times New Roman"/>
          <w:sz w:val="20"/>
          <w:i/>
          <w:iCs/>
        </w:rPr>
        <w:t>,
2011-12-20,
Žin., 2011, Nr.
161-7617 (2011-12-29), i. k. 1111010ISTA0XI-1818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b8660a3ef11e58fd1fc0b9bba68a7">
        <w:r w:rsidRPr="00532B9F">
          <w:rPr>
            <w:rFonts w:ascii="Times New Roman" w:eastAsia="MS Mincho" w:hAnsi="Times New Roman"/>
            <w:sz w:val="20"/>
            <w:i/>
            <w:iCs/>
            <w:color w:val="0000FF" w:themeColor="hyperlink"/>
            <w:u w:val="single"/>
          </w:rPr>
          <w:t>XII-2155</w:t>
        </w:r>
      </w:fldSimple>
      <w:r>
        <w:rPr>
          <w:rFonts w:ascii="Times New Roman" w:eastAsia="MS Mincho" w:hAnsi="Times New Roman"/>
          <w:sz w:val="20"/>
          <w:i/>
          <w:iCs/>
        </w:rPr>
        <w:t>,
2015-12-10,
paskelbta TAR 2015-12-16, i. k. 2015-19851            </w:t>
      </w:r>
    </w:p>
    <w:p/>
    <w:p>
      <w:pPr>
        <w:widowControl w:val="0"/>
        <w:ind w:firstLine="709"/>
        <w:jc w:val="both"/>
        <w:rPr>
          <w:color w:val="000000"/>
        </w:rPr>
      </w:pPr>
      <w:r>
        <w:rPr>
          <w:color w:val="000000"/>
        </w:rPr>
        <w:t>5</w:t>
      </w:r>
      <w:r>
        <w:rPr>
          <w:color w:val="000000"/>
        </w:rPr>
        <w:t>. Mokesčio už valstybinius gamtos išteklius deklaracijos formą, jos pildymo ir pateikimo tvarką nustato Aplinkos ministerija kartu su Valstybine mokesčių inspekcija prie Finansų ministerijos.</w:t>
      </w:r>
    </w:p>
    <w:p>
      <w:pPr>
        <w:ind w:firstLine="709"/>
        <w:jc w:val="both"/>
        <w:rPr>
          <w:color w:val="000000"/>
        </w:rPr>
      </w:pPr>
    </w:p>
    <w:p>
      <w:pPr>
        <w:widowControl w:val="0"/>
        <w:ind w:firstLine="709"/>
        <w:jc w:val="both"/>
        <w:rPr>
          <w:color w:val="000000"/>
        </w:rPr>
      </w:pPr>
      <w:r>
        <w:rPr>
          <w:b/>
          <w:bCs/>
          <w:color w:val="000000"/>
        </w:rPr>
        <w:t>8</w:t>
      </w:r>
      <w:r>
        <w:rPr>
          <w:b/>
          <w:bCs/>
          <w:color w:val="000000"/>
        </w:rPr>
        <w:t xml:space="preserve"> straipsnis. </w:t>
      </w:r>
      <w:r>
        <w:rPr>
          <w:b/>
          <w:bCs/>
          <w:color w:val="000000"/>
        </w:rPr>
        <w:t>Mokesčio už valstybinius gamtos išteklius mokėjimo kontrolė</w:t>
      </w:r>
    </w:p>
    <w:p>
      <w:pPr>
        <w:widowControl w:val="0"/>
        <w:ind w:firstLine="709"/>
        <w:jc w:val="both"/>
        <w:rPr>
          <w:color w:val="000000"/>
        </w:rPr>
      </w:pPr>
      <w:r>
        <w:rPr>
          <w:color w:val="000000"/>
        </w:rPr>
        <w:t>1</w:t>
      </w:r>
      <w:r>
        <w:rPr>
          <w:color w:val="000000"/>
        </w:rPr>
        <w:t>. Teritorinės valstybinės mokesčių inspekcijos pagal mokesčio mokėtojų pateiktas deklaracijas bei Aplinkos ministerijos ar jų įgaliotų institucijų tikrinimo dokumentus kontroliuoja, ar laiku sumokamas mokestis, išieško nesumokėtą mokestį ir su juo susijusias sumas.</w:t>
      </w:r>
    </w:p>
    <w:p>
      <w:pPr>
        <w:widowControl w:val="0"/>
        <w:ind w:firstLine="709"/>
        <w:jc w:val="both"/>
        <w:rPr>
          <w:color w:val="000000"/>
        </w:rPr>
      </w:pPr>
      <w:r>
        <w:rPr>
          <w:color w:val="000000"/>
        </w:rPr>
        <w:t>2</w:t>
      </w:r>
      <w:r>
        <w:rPr>
          <w:color w:val="000000"/>
        </w:rPr>
        <w:t>. Aplinkos ministerija ar jos įgaliotos institucijos kontroliuoja, ar teisingai apskaičiuojamas ir deklaruojamas mokestis už valstybinius gamtos išteklius.</w:t>
      </w:r>
    </w:p>
    <w:p>
      <w:pPr>
        <w:widowControl w:val="0"/>
        <w:ind w:firstLine="709"/>
        <w:jc w:val="both"/>
        <w:rPr>
          <w:color w:val="000000"/>
        </w:rPr>
      </w:pPr>
      <w:r>
        <w:rPr>
          <w:color w:val="000000"/>
        </w:rPr>
        <w:t>3</w:t>
      </w:r>
      <w:r>
        <w:rPr>
          <w:color w:val="000000"/>
        </w:rPr>
        <w:t>. Aplinkos ministerijos įgaliotos institucijos pagal kompetenciją mokestinio patikrinimo rezultatus įformina bei juos patvirtina Aplinkos ministerijos nustatyta tvarka.</w:t>
      </w:r>
    </w:p>
    <w:p>
      <w:pPr>
        <w:widowControl w:val="0"/>
        <w:ind w:firstLine="709"/>
        <w:jc w:val="both"/>
        <w:rPr>
          <w:color w:val="000000"/>
        </w:rPr>
      </w:pPr>
      <w:r>
        <w:rPr>
          <w:color w:val="000000"/>
        </w:rPr>
        <w:t>4</w:t>
      </w:r>
      <w:r>
        <w:rPr>
          <w:color w:val="000000"/>
        </w:rPr>
        <w:t>. Valstybinė mokesčių inspekcija prie Finansų ministerijos ir teritorinės valstybinės mokesčių inspekcijos, taip pat Aplinkos ministerija ar jos įgaliotos institucijos keičiasi mokesčiui už valstybinius gamtos išteklius administruoti reikalinga informacija. Keitimosi mokesčio už valstybinius gamtos išteklius informacija tvarką nustato Aplinkos ministerija, suderinusi su Valstybine mokesčių inspekcija prie Finansų ministerijos.</w:t>
      </w:r>
    </w:p>
    <w:p>
      <w:pPr>
        <w:ind w:firstLine="709"/>
        <w:jc w:val="both"/>
        <w:rPr>
          <w:color w:val="000000"/>
        </w:rPr>
      </w:pPr>
    </w:p>
    <w:p>
      <w:pPr>
        <w:widowControl w:val="0"/>
        <w:ind w:firstLine="709"/>
        <w:jc w:val="both"/>
        <w:rPr>
          <w:color w:val="000000"/>
        </w:rPr>
      </w:pPr>
      <w:r>
        <w:rPr>
          <w:b/>
          <w:bCs/>
          <w:color w:val="000000"/>
        </w:rPr>
        <w:t>9</w:t>
      </w:r>
      <w:r>
        <w:rPr>
          <w:b/>
          <w:bCs/>
          <w:color w:val="000000"/>
        </w:rPr>
        <w:t xml:space="preserve"> straipsnis. </w:t>
      </w:r>
      <w:r>
        <w:rPr>
          <w:b/>
          <w:bCs/>
          <w:color w:val="000000"/>
        </w:rPr>
        <w:t>Ginčų nagrinėjimas</w:t>
      </w:r>
    </w:p>
    <w:p>
      <w:pPr>
        <w:widowControl w:val="0"/>
        <w:ind w:firstLine="709"/>
        <w:jc w:val="both"/>
        <w:rPr>
          <w:color w:val="000000"/>
        </w:rPr>
      </w:pPr>
      <w:r>
        <w:rPr>
          <w:color w:val="000000"/>
        </w:rPr>
        <w:t>Valstybinės mokesčių inspekcijos prie Finansų ministerijos ir teritorinių valstybinių mokesčių inspekcijų, Aplinkos ministerijos ar jos įgaliotų institucijų veiksmai arba neveikimas taikant šį įstatymą gali būti skundžiami pagal Administracinių bylų teisenos įstatymą, jeigu nenustatyta kitaip.</w:t>
      </w:r>
    </w:p>
    <w:p>
      <w:pPr>
        <w:ind w:firstLine="709"/>
        <w:jc w:val="both"/>
        <w:rPr>
          <w:color w:val="000000"/>
        </w:rPr>
      </w:pPr>
    </w:p>
    <w:p>
      <w:pPr>
        <w:widowControl w:val="0"/>
        <w:ind w:firstLine="709"/>
        <w:jc w:val="both"/>
        <w:rPr>
          <w:color w:val="000000"/>
        </w:rPr>
      </w:pPr>
      <w:r>
        <w:rPr>
          <w:b/>
          <w:bCs/>
          <w:color w:val="000000"/>
        </w:rPr>
        <w:t>10</w:t>
      </w:r>
      <w:r>
        <w:rPr>
          <w:b/>
          <w:bCs/>
          <w:color w:val="000000"/>
        </w:rPr>
        <w:t xml:space="preserve"> straipsnis. </w:t>
      </w:r>
      <w:r>
        <w:rPr>
          <w:b/>
          <w:bCs/>
          <w:color w:val="000000"/>
        </w:rPr>
        <w:t>Mokesčio sumokėjimas, išieškojimas ir grąžinimas</w:t>
      </w:r>
    </w:p>
    <w:p>
      <w:pPr>
        <w:widowControl w:val="0"/>
        <w:ind w:firstLine="709"/>
        <w:jc w:val="both"/>
        <w:rPr>
          <w:color w:val="000000"/>
        </w:rPr>
      </w:pPr>
      <w:r>
        <w:rPr>
          <w:color w:val="000000"/>
        </w:rPr>
        <w:t>1</w:t>
      </w:r>
      <w:r>
        <w:rPr>
          <w:color w:val="000000"/>
        </w:rPr>
        <w:t>. Nesumokėtas mokestis už valstybinius gamtos išteklius sumokamas arba išieškomas, delspinigiai skaičiuojami Lietuvos Respublikos mokesčių administravimo įstatymo nustatyta tvarka.</w:t>
      </w:r>
    </w:p>
    <w:p>
      <w:pPr>
        <w:widowControl w:val="0"/>
        <w:ind w:firstLine="709"/>
        <w:jc w:val="both"/>
        <w:rPr>
          <w:color w:val="000000"/>
        </w:rPr>
      </w:pPr>
      <w:r>
        <w:rPr>
          <w:color w:val="000000"/>
        </w:rPr>
        <w:t>2</w:t>
      </w:r>
      <w:r>
        <w:rPr>
          <w:color w:val="000000"/>
        </w:rPr>
        <w:t>. Permokėta mokesčio už valstybinius gamtos išteklius suma Lietuvos Respublikos mokesčių administravimo įstatymo nustatyta tvarka grąžinama (įskaitoma).</w:t>
      </w:r>
    </w:p>
    <w:p>
      <w:pPr>
        <w:ind w:firstLine="709"/>
        <w:jc w:val="both"/>
        <w:rPr>
          <w:color w:val="000000"/>
        </w:rPr>
      </w:pPr>
    </w:p>
    <w:p>
      <w:pPr>
        <w:ind w:firstLine="709"/>
        <w:jc w:val="both"/>
        <w:rPr>
          <w:b/>
          <w:bCs/>
        </w:rPr>
      </w:pPr>
      <w:r>
        <w:rPr>
          <w:b/>
          <w:bCs/>
        </w:rPr>
        <w:t>11</w:t>
      </w:r>
      <w:r>
        <w:rPr>
          <w:b/>
          <w:bCs/>
        </w:rPr>
        <w:t xml:space="preserve"> straipsnis. </w:t>
      </w:r>
      <w:r>
        <w:rPr>
          <w:b/>
          <w:bCs/>
        </w:rPr>
        <w:t>Mokesčio įskaitymas</w:t>
      </w:r>
    </w:p>
    <w:p>
      <w:pPr>
        <w:ind w:firstLine="720"/>
        <w:jc w:val="both"/>
      </w:pPr>
      <w:r>
        <w:rPr>
          <w:szCs w:val="24"/>
          <w:lang w:eastAsia="lt-LT"/>
        </w:rPr>
        <w:t>1</w:t>
      </w:r>
      <w:r>
        <w:rPr>
          <w:szCs w:val="24"/>
          <w:lang w:eastAsia="lt-LT"/>
        </w:rPr>
        <w:t>. Mokestis už valstybinius gamtos išteklius, išskyrus mokestį už medžiojamųjų gyvūnų išteklius, įskaitomas: 80 procentų – į valstybės biudžetą, o 20 procentų – į savivaldybės, kurios teritorijoje išgaunami gamtos ištekliai, biudžetą ir teisės aktų nustatyta tvarka naudojamas Savivaldybių aplinkos apsaugos rėmimo specialiajai programai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c5840cfa111e3a8ded1a0f5aff0a9">
        <w:r w:rsidRPr="00532B9F">
          <w:rPr>
            <w:rFonts w:ascii="Times New Roman" w:eastAsia="MS Mincho" w:hAnsi="Times New Roman"/>
            <w:sz w:val="20"/>
            <w:i/>
            <w:iCs/>
            <w:color w:val="0000FF" w:themeColor="hyperlink"/>
            <w:u w:val="single"/>
          </w:rPr>
          <w:t>XII-835</w:t>
        </w:r>
      </w:fldSimple>
      <w:r>
        <w:rPr>
          <w:rFonts w:ascii="Times New Roman" w:eastAsia="MS Mincho" w:hAnsi="Times New Roman"/>
          <w:sz w:val="20"/>
          <w:i/>
          <w:iCs/>
        </w:rPr>
        <w:t>,
2014-04-17,
paskelbta TAR 2014-04-29, i. k. 2014-04869            </w:t>
      </w:r>
    </w:p>
    <w:p/>
    <w:p>
      <w:pPr>
        <w:ind w:firstLine="709"/>
        <w:jc w:val="both"/>
      </w:pPr>
      <w:r>
        <w:t>2</w:t>
      </w:r>
      <w:r>
        <w:t>. Mokestis už medžiojamųjų gyvūnų išteklius įskaitomas: 70 procentų mokesčio už medžiojamųjų gyvūnų išteklius – į savivaldybės, kurios teritorijoje išgaunami medžiojamųjų gyvūnų ištekliai, biudžetą ir teisės aktų nustatyta tvarka naudojamas Savivaldybių aplinkos apsaugos rėmimo specialiajai programai finansuoti, o 30 procentų – į valstybės biudžetą ir teisės aktų nustatyta tvarka naudojamas Aplinkos apsaugos rėmimo programai finansuoti.</w:t>
      </w:r>
    </w:p>
    <w:p>
      <w:pPr>
        <w:ind w:firstLine="709"/>
        <w:jc w:val="both"/>
      </w:pPr>
      <w:r>
        <w:t>3</w:t>
      </w:r>
      <w:r>
        <w:t>. Didesnio tarifo mokestis už valstybinius gamtos išteklius įskaitomas: 90 procentų – į valstybės biudžetą ir teisės aktų nustatyta tvarka naudojamas Aplinkos apsaugos rėmimo programai finansuoti, o 10 procentų – į savivaldybės, kurios teritorijoje išgaunami gamtos ištekliai, biudžetą ir teisės aktų nustatyta tvarka naudojamas Savivaldybių aplinkos apsaugos rėmimo specialiajai programai finansuoti.</w:t>
      </w:r>
    </w:p>
    <w:p>
      <w:pPr>
        <w:ind w:firstLine="709"/>
        <w:jc w:val="both"/>
      </w:pPr>
      <w:r>
        <w:t>4</w:t>
      </w:r>
      <w:r>
        <w:t xml:space="preserve">. Aplinkos apsaugos rėmimo programos lėšos naudojamos Aplinkos apsaugos rėmimo programos įstatyme, o šio straipsnio 1, 2 ir 3 dalyse nurodytos savivaldybių biudžetų lėšos – Savivaldybių aplinkos apsaugos rėmimo specialiosios programos įstatyme numatytiems tikslams.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0E6DF2AFC2">
        <w:r w:rsidRPr="00532B9F">
          <w:rPr>
            <w:rFonts w:ascii="Times New Roman" w:eastAsia="MS Mincho" w:hAnsi="Times New Roman"/>
            <w:sz w:val="20"/>
            <w:i/>
            <w:iCs/>
            <w:color w:val="0000FF" w:themeColor="hyperlink"/>
            <w:u w:val="single"/>
          </w:rPr>
          <w:t>X-1658</w:t>
        </w:r>
      </w:fldSimple>
      <w:r>
        <w:rPr>
          <w:rFonts w:ascii="Times New Roman" w:eastAsia="MS Mincho" w:hAnsi="Times New Roman"/>
          <w:sz w:val="20"/>
          <w:i/>
          <w:iCs/>
        </w:rPr>
        <w:t>,
2008-07-01,
Žin., 2008, Nr.
81-3170 (2008-07-17), i. k. 1081010ISTA00X-1658            </w:t>
      </w:r>
    </w:p>
    <w:p/>
    <w:p>
      <w:pPr>
        <w:tabs>
          <w:tab w:val="right" w:pos="9639"/>
        </w:tabs>
      </w:pPr>
    </w:p>
    <w:p>
      <w:pPr>
        <w:tabs>
          <w:tab w:val="right" w:pos="9639"/>
        </w:tabs>
      </w:pPr>
    </w:p>
    <w:p>
      <w:pPr>
        <w:tabs>
          <w:tab w:val="right" w:pos="9639"/>
        </w:tabs>
      </w:pPr>
      <w:r>
        <w:t>LIETUVOS RESPUBLIKOS</w:t>
      </w:r>
    </w:p>
    <w:p>
      <w:pPr>
        <w:tabs>
          <w:tab w:val="right" w:pos="9639"/>
        </w:tabs>
      </w:pPr>
      <w:r>
        <w:t xml:space="preserve">AUKŠČIAUSIOSIOS TARYBOS </w:t>
      </w:r>
    </w:p>
    <w:p>
      <w:pPr>
        <w:tabs>
          <w:tab w:val="right" w:pos="9356"/>
        </w:tabs>
      </w:pPr>
      <w:r>
        <w:t>PIRMININKAS</w:t>
        <w:tab/>
        <w:t>V. LANDSBERGIS</w:t>
      </w:r>
    </w:p>
    <w:p>
      <w:pPr>
        <w:tabs>
          <w:tab w:val="right" w:pos="9639"/>
        </w:tabs>
      </w:pPr>
    </w:p>
    <w:p>
      <w:pPr>
        <w:rPr>
          <w:color w:val="000000"/>
        </w:rPr>
      </w:pPr>
      <w:r>
        <w:rPr>
          <w:color w:val="000000"/>
        </w:rPr>
        <w:t xml:space="preserve">Vilnius, 1991 m. kovo 21 d. </w:t>
      </w:r>
    </w:p>
    <w:p>
      <w:pPr>
        <w:ind w:firstLine="709"/>
      </w:pPr>
      <w:r>
        <w:rPr>
          <w:color w:val="000000"/>
        </w:rPr>
        <w:t xml:space="preserve">Nr. I-1163 </w:t>
      </w:r>
    </w:p>
    <w:p/>
    <w:p>
      <w:pPr>
        <w:ind w:firstLine="5760"/>
        <w:jc w:val="both"/>
        <w:sectPr>
          <w:pgSz w:w="11907" w:h="16839" w:code="9"/>
          <w:pgMar w:top="1134" w:right="567" w:bottom="1134" w:left="1701" w:header="567" w:footer="567" w:gutter="0"/>
          <w:pgNumType w:start="1"/>
          <w:cols w:space="1296"/>
          <w:titlePg/>
          <w:docGrid w:linePitch="360"/>
        </w:sectPr>
      </w:pPr>
    </w:p>
    <w:p>
      <w:pPr>
        <w:ind w:firstLine="5760"/>
        <w:jc w:val="both"/>
        <w:rPr>
          <w:szCs w:val="24"/>
          <w:lang w:eastAsia="lt-LT"/>
        </w:rPr>
      </w:pPr>
      <w:r>
        <w:rPr>
          <w:szCs w:val="24"/>
          <w:lang w:eastAsia="lt-LT"/>
        </w:rPr>
        <w:t>Lietuvos Respublikos</w:t>
      </w:r>
    </w:p>
    <w:p>
      <w:pPr>
        <w:ind w:firstLine="5760"/>
        <w:jc w:val="both"/>
        <w:rPr>
          <w:szCs w:val="24"/>
          <w:lang w:eastAsia="lt-LT"/>
        </w:rPr>
      </w:pPr>
      <w:r>
        <w:rPr>
          <w:szCs w:val="24"/>
          <w:lang w:eastAsia="lt-LT"/>
        </w:rPr>
        <w:t xml:space="preserve">mokesčio už valstybinius </w:t>
      </w:r>
    </w:p>
    <w:p>
      <w:pPr>
        <w:ind w:firstLine="5760"/>
        <w:jc w:val="both"/>
        <w:rPr>
          <w:szCs w:val="24"/>
          <w:lang w:eastAsia="lt-LT"/>
        </w:rPr>
      </w:pPr>
      <w:r>
        <w:rPr>
          <w:szCs w:val="24"/>
          <w:lang w:eastAsia="lt-LT"/>
        </w:rPr>
        <w:t>gamtos išteklius įstatymo</w:t>
      </w:r>
    </w:p>
    <w:p>
      <w:pPr>
        <w:ind w:firstLine="5760"/>
        <w:jc w:val="both"/>
        <w:rPr>
          <w:szCs w:val="24"/>
          <w:lang w:eastAsia="lt-LT"/>
        </w:rPr>
      </w:pPr>
      <w:r>
        <w:rPr>
          <w:szCs w:val="24"/>
          <w:lang w:eastAsia="lt-LT"/>
        </w:rPr>
        <w:t>1</w:t>
      </w:r>
      <w:r>
        <w:rPr>
          <w:szCs w:val="24"/>
          <w:lang w:eastAsia="lt-LT"/>
        </w:rPr>
        <w:t xml:space="preserve"> priedas </w:t>
      </w:r>
    </w:p>
    <w:p>
      <w:pPr>
        <w:spacing w:line="240" w:lineRule="atLeast"/>
        <w:ind w:firstLine="720"/>
        <w:jc w:val="both"/>
        <w:rPr>
          <w:bCs/>
          <w:szCs w:val="24"/>
          <w:lang w:eastAsia="lt-LT"/>
        </w:rPr>
      </w:pPr>
    </w:p>
    <w:p>
      <w:pPr>
        <w:spacing w:line="360" w:lineRule="auto"/>
        <w:jc w:val="center"/>
        <w:rPr>
          <w:szCs w:val="24"/>
          <w:lang w:eastAsia="lt-LT"/>
        </w:rPr>
      </w:pPr>
      <w:r>
        <w:rPr>
          <w:b/>
          <w:bCs/>
          <w:szCs w:val="24"/>
          <w:lang w:eastAsia="lt-LT"/>
        </w:rPr>
        <w:t>MOKEČIO UŽ NAUDINGĄSIAS IŠKASENAS TARIFAI</w:t>
      </w:r>
    </w:p>
    <w:p>
      <w:pPr>
        <w:spacing w:line="240" w:lineRule="atLeast"/>
        <w:ind w:firstLine="72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4961"/>
        <w:gridCol w:w="1559"/>
        <w:gridCol w:w="1985"/>
      </w:tblGrid>
      <w:tr>
        <w:trPr>
          <w:cantSplit/>
          <w:tblHeader/>
        </w:trPr>
        <w:tc>
          <w:tcPr>
            <w:tcW w:w="851" w:type="dxa"/>
            <w:tcMar>
              <w:top w:w="0" w:type="dxa"/>
              <w:left w:w="108" w:type="dxa"/>
              <w:bottom w:w="0" w:type="dxa"/>
              <w:right w:w="108" w:type="dxa"/>
            </w:tcMar>
            <w:vAlign w:val="center"/>
            <w:hideMark/>
          </w:tcPr>
          <w:p>
            <w:pPr>
              <w:ind w:firstLine="34"/>
              <w:jc w:val="center"/>
              <w:rPr>
                <w:szCs w:val="24"/>
              </w:rPr>
            </w:pPr>
            <w:r>
              <w:rPr>
                <w:b/>
                <w:szCs w:val="24"/>
              </w:rPr>
              <w:t>Eil. Nr.</w:t>
            </w:r>
          </w:p>
        </w:tc>
        <w:tc>
          <w:tcPr>
            <w:tcW w:w="4961" w:type="dxa"/>
            <w:tcMar>
              <w:top w:w="0" w:type="dxa"/>
              <w:left w:w="108" w:type="dxa"/>
              <w:bottom w:w="0" w:type="dxa"/>
              <w:right w:w="108" w:type="dxa"/>
            </w:tcMar>
            <w:vAlign w:val="center"/>
            <w:hideMark/>
          </w:tcPr>
          <w:p>
            <w:pPr>
              <w:jc w:val="center"/>
              <w:rPr>
                <w:b/>
                <w:szCs w:val="24"/>
              </w:rPr>
            </w:pPr>
            <w:r>
              <w:rPr>
                <w:b/>
                <w:szCs w:val="24"/>
              </w:rPr>
              <w:t>Ištekliai</w:t>
            </w:r>
          </w:p>
        </w:tc>
        <w:tc>
          <w:tcPr>
            <w:tcW w:w="1559" w:type="dxa"/>
            <w:tcMar>
              <w:top w:w="0" w:type="dxa"/>
              <w:left w:w="108" w:type="dxa"/>
              <w:bottom w:w="0" w:type="dxa"/>
              <w:right w:w="108" w:type="dxa"/>
            </w:tcMar>
            <w:vAlign w:val="center"/>
            <w:hideMark/>
          </w:tcPr>
          <w:p>
            <w:pPr>
              <w:jc w:val="center"/>
              <w:rPr>
                <w:b/>
                <w:szCs w:val="24"/>
              </w:rPr>
            </w:pPr>
            <w:r>
              <w:rPr>
                <w:b/>
                <w:szCs w:val="24"/>
              </w:rPr>
              <w:t>Matavimo vnt.</w:t>
            </w:r>
          </w:p>
        </w:tc>
        <w:tc>
          <w:tcPr>
            <w:tcW w:w="1985" w:type="dxa"/>
            <w:tcMar>
              <w:top w:w="0" w:type="dxa"/>
              <w:left w:w="108" w:type="dxa"/>
              <w:bottom w:w="0" w:type="dxa"/>
              <w:right w:w="108" w:type="dxa"/>
            </w:tcMar>
            <w:vAlign w:val="center"/>
          </w:tcPr>
          <w:p>
            <w:pPr>
              <w:jc w:val="center"/>
              <w:rPr>
                <w:b/>
                <w:szCs w:val="24"/>
              </w:rPr>
            </w:pPr>
            <w:r>
              <w:rPr>
                <w:b/>
                <w:szCs w:val="24"/>
              </w:rPr>
              <w:t>Tarifas, Eur</w:t>
            </w:r>
          </w:p>
        </w:tc>
      </w:tr>
      <w:tr>
        <w:trPr>
          <w:cantSplit/>
        </w:trPr>
        <w:tc>
          <w:tcPr>
            <w:tcW w:w="851" w:type="dxa"/>
            <w:tcMar>
              <w:top w:w="0" w:type="dxa"/>
              <w:left w:w="108" w:type="dxa"/>
              <w:bottom w:w="0" w:type="dxa"/>
              <w:right w:w="108" w:type="dxa"/>
            </w:tcMar>
          </w:tcPr>
          <w:p>
            <w:pPr>
              <w:ind w:firstLine="30"/>
              <w:jc w:val="center"/>
              <w:rPr>
                <w:szCs w:val="24"/>
              </w:rPr>
            </w:pPr>
            <w:r>
              <w:rPr>
                <w:szCs w:val="24"/>
              </w:rPr>
              <w:t>1.</w:t>
            </w:r>
          </w:p>
        </w:tc>
        <w:tc>
          <w:tcPr>
            <w:tcW w:w="4961" w:type="dxa"/>
            <w:tcMar>
              <w:top w:w="0" w:type="dxa"/>
              <w:left w:w="108" w:type="dxa"/>
              <w:bottom w:w="0" w:type="dxa"/>
              <w:right w:w="108" w:type="dxa"/>
            </w:tcMar>
          </w:tcPr>
          <w:p>
            <w:pPr>
              <w:jc w:val="both"/>
              <w:rPr>
                <w:szCs w:val="24"/>
              </w:rPr>
            </w:pPr>
            <w:r>
              <w:rPr>
                <w:szCs w:val="24"/>
              </w:rPr>
              <w:t>Anhidritas</w:t>
            </w:r>
          </w:p>
        </w:tc>
        <w:tc>
          <w:tcPr>
            <w:tcW w:w="1559" w:type="dxa"/>
            <w:tcMar>
              <w:top w:w="0" w:type="dxa"/>
              <w:left w:w="108" w:type="dxa"/>
              <w:bottom w:w="0" w:type="dxa"/>
              <w:right w:w="108" w:type="dxa"/>
            </w:tcMar>
          </w:tcPr>
          <w:p>
            <w:pPr>
              <w:ind w:firstLine="34"/>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1,99</w:t>
            </w:r>
          </w:p>
        </w:tc>
      </w:tr>
      <w:tr>
        <w:trPr>
          <w:cantSplit/>
        </w:trPr>
        <w:tc>
          <w:tcPr>
            <w:tcW w:w="851" w:type="dxa"/>
            <w:tcMar>
              <w:top w:w="0" w:type="dxa"/>
              <w:left w:w="108" w:type="dxa"/>
              <w:bottom w:w="0" w:type="dxa"/>
              <w:right w:w="108" w:type="dxa"/>
            </w:tcMar>
          </w:tcPr>
          <w:p>
            <w:pPr>
              <w:ind w:firstLine="34"/>
              <w:jc w:val="center"/>
              <w:rPr>
                <w:szCs w:val="24"/>
              </w:rPr>
            </w:pPr>
            <w:r>
              <w:rPr>
                <w:szCs w:val="24"/>
              </w:rPr>
              <w:t>2.</w:t>
            </w:r>
          </w:p>
        </w:tc>
        <w:tc>
          <w:tcPr>
            <w:tcW w:w="4961" w:type="dxa"/>
            <w:tcMar>
              <w:top w:w="0" w:type="dxa"/>
              <w:left w:w="108" w:type="dxa"/>
              <w:bottom w:w="0" w:type="dxa"/>
              <w:right w:w="108" w:type="dxa"/>
            </w:tcMar>
          </w:tcPr>
          <w:p>
            <w:pPr>
              <w:jc w:val="both"/>
              <w:rPr>
                <w:szCs w:val="24"/>
              </w:rPr>
            </w:pPr>
            <w:r>
              <w:rPr>
                <w:szCs w:val="24"/>
              </w:rPr>
              <w:t>Dolomitas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0,99</w:t>
            </w:r>
          </w:p>
        </w:tc>
      </w:tr>
      <w:tr>
        <w:trPr>
          <w:cantSplit/>
        </w:trPr>
        <w:tc>
          <w:tcPr>
            <w:tcW w:w="851" w:type="dxa"/>
            <w:tcMar>
              <w:top w:w="0" w:type="dxa"/>
              <w:left w:w="108" w:type="dxa"/>
              <w:bottom w:w="0" w:type="dxa"/>
              <w:right w:w="108" w:type="dxa"/>
            </w:tcMar>
          </w:tcPr>
          <w:p>
            <w:pPr>
              <w:ind w:firstLine="34"/>
              <w:jc w:val="center"/>
              <w:rPr>
                <w:szCs w:val="24"/>
              </w:rPr>
            </w:pPr>
            <w:r>
              <w:rPr>
                <w:szCs w:val="24"/>
              </w:rPr>
              <w:t>3.</w:t>
            </w:r>
          </w:p>
        </w:tc>
        <w:tc>
          <w:tcPr>
            <w:tcW w:w="4961" w:type="dxa"/>
            <w:tcMar>
              <w:top w:w="0" w:type="dxa"/>
              <w:left w:w="108" w:type="dxa"/>
              <w:bottom w:w="0" w:type="dxa"/>
              <w:right w:w="108" w:type="dxa"/>
            </w:tcMar>
          </w:tcPr>
          <w:p>
            <w:pPr>
              <w:jc w:val="both"/>
              <w:rPr>
                <w:szCs w:val="24"/>
              </w:rPr>
            </w:pPr>
            <w:r>
              <w:rPr>
                <w:szCs w:val="24"/>
              </w:rPr>
              <w:t>Durpės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0,80</w:t>
            </w:r>
          </w:p>
        </w:tc>
      </w:tr>
      <w:tr>
        <w:trPr>
          <w:cantSplit/>
        </w:trPr>
        <w:tc>
          <w:tcPr>
            <w:tcW w:w="851" w:type="dxa"/>
            <w:tcMar>
              <w:top w:w="0" w:type="dxa"/>
              <w:left w:w="108" w:type="dxa"/>
              <w:bottom w:w="0" w:type="dxa"/>
              <w:right w:w="108" w:type="dxa"/>
            </w:tcMar>
          </w:tcPr>
          <w:p>
            <w:pPr>
              <w:ind w:firstLine="34"/>
              <w:jc w:val="center"/>
              <w:rPr>
                <w:szCs w:val="24"/>
              </w:rPr>
            </w:pPr>
            <w:r>
              <w:rPr>
                <w:szCs w:val="24"/>
              </w:rPr>
              <w:t>4.</w:t>
            </w:r>
          </w:p>
        </w:tc>
        <w:tc>
          <w:tcPr>
            <w:tcW w:w="4961" w:type="dxa"/>
            <w:tcMar>
              <w:top w:w="0" w:type="dxa"/>
              <w:left w:w="108" w:type="dxa"/>
              <w:bottom w:w="0" w:type="dxa"/>
              <w:right w:w="108" w:type="dxa"/>
            </w:tcMar>
          </w:tcPr>
          <w:p>
            <w:pPr>
              <w:jc w:val="both"/>
              <w:rPr>
                <w:szCs w:val="24"/>
              </w:rPr>
            </w:pPr>
            <w:r>
              <w:rPr>
                <w:szCs w:val="24"/>
              </w:rPr>
              <w:t>Gintaras:</w:t>
            </w:r>
          </w:p>
          <w:p>
            <w:pPr>
              <w:jc w:val="both"/>
              <w:rPr>
                <w:szCs w:val="24"/>
              </w:rPr>
            </w:pPr>
            <w:r>
              <w:rPr>
                <w:szCs w:val="24"/>
              </w:rPr>
              <w:t>iki 40 mm</w:t>
            </w:r>
          </w:p>
          <w:p>
            <w:pPr>
              <w:jc w:val="both"/>
              <w:rPr>
                <w:szCs w:val="24"/>
              </w:rPr>
            </w:pPr>
            <w:r>
              <w:rPr>
                <w:szCs w:val="24"/>
              </w:rPr>
              <w:t xml:space="preserve">daugiau kaip 40 mm </w:t>
            </w:r>
          </w:p>
        </w:tc>
        <w:tc>
          <w:tcPr>
            <w:tcW w:w="1559" w:type="dxa"/>
            <w:tcMar>
              <w:top w:w="0" w:type="dxa"/>
              <w:left w:w="108" w:type="dxa"/>
              <w:bottom w:w="0" w:type="dxa"/>
              <w:right w:w="108" w:type="dxa"/>
            </w:tcMar>
          </w:tcPr>
          <w:p>
            <w:pPr>
              <w:jc w:val="center"/>
              <w:rPr>
                <w:szCs w:val="24"/>
              </w:rPr>
            </w:pPr>
            <w:r>
              <w:rPr>
                <w:szCs w:val="24"/>
              </w:rPr>
              <w:t>kg</w:t>
            </w:r>
          </w:p>
        </w:tc>
        <w:tc>
          <w:tcPr>
            <w:tcW w:w="1985" w:type="dxa"/>
            <w:tcMar>
              <w:top w:w="0" w:type="dxa"/>
              <w:left w:w="108" w:type="dxa"/>
              <w:bottom w:w="0" w:type="dxa"/>
              <w:right w:w="108" w:type="dxa"/>
            </w:tcMar>
          </w:tcPr>
          <w:p>
            <w:pPr>
              <w:ind w:firstLine="567"/>
              <w:jc w:val="center"/>
              <w:rPr>
                <w:szCs w:val="24"/>
              </w:rPr>
            </w:pPr>
          </w:p>
          <w:p>
            <w:pPr>
              <w:jc w:val="center"/>
              <w:rPr>
                <w:szCs w:val="24"/>
              </w:rPr>
            </w:pPr>
            <w:r>
              <w:rPr>
                <w:szCs w:val="24"/>
              </w:rPr>
              <w:t>280</w:t>
            </w:r>
          </w:p>
          <w:p>
            <w:pPr>
              <w:jc w:val="center"/>
              <w:rPr>
                <w:szCs w:val="24"/>
              </w:rPr>
            </w:pPr>
            <w:r>
              <w:rPr>
                <w:szCs w:val="24"/>
              </w:rPr>
              <w:t>900</w:t>
            </w:r>
          </w:p>
        </w:tc>
      </w:tr>
      <w:tr>
        <w:trPr>
          <w:cantSplit/>
        </w:trPr>
        <w:tc>
          <w:tcPr>
            <w:tcW w:w="851" w:type="dxa"/>
            <w:tcMar>
              <w:top w:w="0" w:type="dxa"/>
              <w:left w:w="108" w:type="dxa"/>
              <w:bottom w:w="0" w:type="dxa"/>
              <w:right w:w="108" w:type="dxa"/>
            </w:tcMar>
          </w:tcPr>
          <w:p>
            <w:pPr>
              <w:ind w:firstLine="34"/>
              <w:jc w:val="center"/>
              <w:rPr>
                <w:szCs w:val="24"/>
              </w:rPr>
            </w:pPr>
            <w:r>
              <w:rPr>
                <w:szCs w:val="24"/>
              </w:rPr>
              <w:t>5.</w:t>
            </w:r>
          </w:p>
        </w:tc>
        <w:tc>
          <w:tcPr>
            <w:tcW w:w="4961" w:type="dxa"/>
            <w:tcMar>
              <w:top w:w="0" w:type="dxa"/>
              <w:left w:w="108" w:type="dxa"/>
              <w:bottom w:w="0" w:type="dxa"/>
              <w:right w:w="108" w:type="dxa"/>
            </w:tcMar>
          </w:tcPr>
          <w:p>
            <w:pPr>
              <w:jc w:val="both"/>
              <w:rPr>
                <w:szCs w:val="24"/>
              </w:rPr>
            </w:pPr>
            <w:r>
              <w:rPr>
                <w:szCs w:val="24"/>
              </w:rPr>
              <w:t>Klintis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0,84</w:t>
            </w:r>
          </w:p>
        </w:tc>
      </w:tr>
      <w:tr>
        <w:trPr>
          <w:cantSplit/>
        </w:trPr>
        <w:tc>
          <w:tcPr>
            <w:tcW w:w="851" w:type="dxa"/>
            <w:tcMar>
              <w:top w:w="0" w:type="dxa"/>
              <w:left w:w="108" w:type="dxa"/>
              <w:bottom w:w="0" w:type="dxa"/>
              <w:right w:w="108" w:type="dxa"/>
            </w:tcMar>
          </w:tcPr>
          <w:p>
            <w:pPr>
              <w:ind w:firstLine="34"/>
              <w:jc w:val="center"/>
              <w:rPr>
                <w:szCs w:val="24"/>
              </w:rPr>
            </w:pPr>
            <w:r>
              <w:rPr>
                <w:szCs w:val="24"/>
              </w:rPr>
              <w:t>6.</w:t>
            </w:r>
          </w:p>
        </w:tc>
        <w:tc>
          <w:tcPr>
            <w:tcW w:w="4961" w:type="dxa"/>
            <w:tcMar>
              <w:top w:w="0" w:type="dxa"/>
              <w:left w:w="108" w:type="dxa"/>
              <w:bottom w:w="0" w:type="dxa"/>
              <w:right w:w="108" w:type="dxa"/>
            </w:tcMar>
          </w:tcPr>
          <w:p>
            <w:pPr>
              <w:jc w:val="both"/>
              <w:rPr>
                <w:szCs w:val="24"/>
              </w:rPr>
            </w:pPr>
            <w:r>
              <w:rPr>
                <w:szCs w:val="24"/>
              </w:rPr>
              <w:t>Kreidos mergelis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0,89</w:t>
            </w:r>
          </w:p>
        </w:tc>
      </w:tr>
      <w:tr>
        <w:trPr>
          <w:cantSplit/>
        </w:trPr>
        <w:tc>
          <w:tcPr>
            <w:tcW w:w="851" w:type="dxa"/>
            <w:tcMar>
              <w:top w:w="0" w:type="dxa"/>
              <w:left w:w="108" w:type="dxa"/>
              <w:bottom w:w="0" w:type="dxa"/>
              <w:right w:w="108" w:type="dxa"/>
            </w:tcMar>
          </w:tcPr>
          <w:p>
            <w:pPr>
              <w:ind w:firstLine="34"/>
              <w:jc w:val="center"/>
              <w:rPr>
                <w:szCs w:val="24"/>
              </w:rPr>
            </w:pPr>
            <w:r>
              <w:rPr>
                <w:szCs w:val="24"/>
              </w:rPr>
              <w:t>7.</w:t>
            </w:r>
          </w:p>
        </w:tc>
        <w:tc>
          <w:tcPr>
            <w:tcW w:w="4961" w:type="dxa"/>
            <w:tcMar>
              <w:top w:w="0" w:type="dxa"/>
              <w:left w:w="108" w:type="dxa"/>
              <w:bottom w:w="0" w:type="dxa"/>
              <w:right w:w="108" w:type="dxa"/>
            </w:tcMar>
          </w:tcPr>
          <w:p>
            <w:pPr>
              <w:jc w:val="both"/>
              <w:rPr>
                <w:szCs w:val="24"/>
              </w:rPr>
            </w:pPr>
            <w:r>
              <w:rPr>
                <w:szCs w:val="24"/>
              </w:rPr>
              <w:t>Molis:</w:t>
            </w:r>
          </w:p>
          <w:p>
            <w:pPr>
              <w:jc w:val="both"/>
              <w:rPr>
                <w:szCs w:val="24"/>
              </w:rPr>
            </w:pPr>
            <w:r>
              <w:rPr>
                <w:szCs w:val="24"/>
              </w:rPr>
              <w:t>devono periodo</w:t>
            </w:r>
          </w:p>
          <w:p>
            <w:pPr>
              <w:jc w:val="both"/>
              <w:rPr>
                <w:szCs w:val="24"/>
              </w:rPr>
            </w:pPr>
            <w:r>
              <w:rPr>
                <w:szCs w:val="24"/>
              </w:rPr>
              <w:t>triaso periodo</w:t>
            </w:r>
          </w:p>
          <w:p>
            <w:pPr>
              <w:jc w:val="both"/>
              <w:rPr>
                <w:szCs w:val="24"/>
              </w:rPr>
            </w:pPr>
            <w:r>
              <w:rPr>
                <w:szCs w:val="24"/>
              </w:rPr>
              <w:t>kitas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ind w:firstLine="567"/>
              <w:jc w:val="center"/>
              <w:rPr>
                <w:szCs w:val="24"/>
              </w:rPr>
            </w:pPr>
          </w:p>
          <w:p>
            <w:pPr>
              <w:jc w:val="center"/>
              <w:rPr>
                <w:szCs w:val="24"/>
              </w:rPr>
            </w:pPr>
            <w:r>
              <w:rPr>
                <w:szCs w:val="24"/>
              </w:rPr>
              <w:t>0,86</w:t>
            </w:r>
          </w:p>
          <w:p>
            <w:pPr>
              <w:jc w:val="center"/>
              <w:rPr>
                <w:szCs w:val="24"/>
              </w:rPr>
            </w:pPr>
            <w:r>
              <w:rPr>
                <w:szCs w:val="24"/>
              </w:rPr>
              <w:t>0,84</w:t>
            </w:r>
          </w:p>
          <w:p>
            <w:pPr>
              <w:jc w:val="center"/>
              <w:rPr>
                <w:szCs w:val="24"/>
              </w:rPr>
            </w:pPr>
            <w:r>
              <w:rPr>
                <w:szCs w:val="24"/>
              </w:rPr>
              <w:t>0,51</w:t>
            </w:r>
          </w:p>
        </w:tc>
      </w:tr>
      <w:tr>
        <w:trPr>
          <w:cantSplit/>
        </w:trPr>
        <w:tc>
          <w:tcPr>
            <w:tcW w:w="851" w:type="dxa"/>
            <w:tcMar>
              <w:top w:w="0" w:type="dxa"/>
              <w:left w:w="108" w:type="dxa"/>
              <w:bottom w:w="0" w:type="dxa"/>
              <w:right w:w="108" w:type="dxa"/>
            </w:tcMar>
          </w:tcPr>
          <w:p>
            <w:pPr>
              <w:ind w:firstLine="34"/>
              <w:jc w:val="center"/>
              <w:rPr>
                <w:szCs w:val="24"/>
              </w:rPr>
            </w:pPr>
            <w:r>
              <w:rPr>
                <w:szCs w:val="24"/>
              </w:rPr>
              <w:t>8.</w:t>
            </w:r>
          </w:p>
        </w:tc>
        <w:tc>
          <w:tcPr>
            <w:tcW w:w="4961" w:type="dxa"/>
            <w:tcMar>
              <w:top w:w="0" w:type="dxa"/>
              <w:left w:w="108" w:type="dxa"/>
              <w:bottom w:w="0" w:type="dxa"/>
              <w:right w:w="108" w:type="dxa"/>
            </w:tcMar>
          </w:tcPr>
          <w:p>
            <w:pPr>
              <w:jc w:val="both"/>
              <w:rPr>
                <w:szCs w:val="24"/>
              </w:rPr>
            </w:pPr>
            <w:r>
              <w:rPr>
                <w:szCs w:val="24"/>
              </w:rPr>
              <w:t>Opoka</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0,71</w:t>
            </w:r>
          </w:p>
        </w:tc>
      </w:tr>
      <w:tr>
        <w:trPr>
          <w:cantSplit/>
        </w:trPr>
        <w:tc>
          <w:tcPr>
            <w:tcW w:w="851" w:type="dxa"/>
            <w:tcMar>
              <w:top w:w="0" w:type="dxa"/>
              <w:left w:w="108" w:type="dxa"/>
              <w:bottom w:w="0" w:type="dxa"/>
              <w:right w:w="108" w:type="dxa"/>
            </w:tcMar>
          </w:tcPr>
          <w:p>
            <w:pPr>
              <w:ind w:firstLine="34"/>
              <w:jc w:val="center"/>
              <w:rPr>
                <w:szCs w:val="24"/>
              </w:rPr>
            </w:pPr>
            <w:r>
              <w:rPr>
                <w:szCs w:val="24"/>
              </w:rPr>
              <w:t>9.</w:t>
            </w:r>
          </w:p>
        </w:tc>
        <w:tc>
          <w:tcPr>
            <w:tcW w:w="4961" w:type="dxa"/>
            <w:tcMar>
              <w:top w:w="0" w:type="dxa"/>
              <w:left w:w="108" w:type="dxa"/>
              <w:bottom w:w="0" w:type="dxa"/>
              <w:right w:w="108" w:type="dxa"/>
            </w:tcMar>
          </w:tcPr>
          <w:p>
            <w:pPr>
              <w:jc w:val="both"/>
              <w:rPr>
                <w:szCs w:val="24"/>
              </w:rPr>
            </w:pPr>
            <w:r>
              <w:rPr>
                <w:szCs w:val="24"/>
              </w:rPr>
              <w:t>Sapropelis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0,34</w:t>
            </w:r>
          </w:p>
        </w:tc>
      </w:tr>
      <w:tr>
        <w:trPr>
          <w:cantSplit/>
        </w:trPr>
        <w:tc>
          <w:tcPr>
            <w:tcW w:w="851" w:type="dxa"/>
            <w:tcMar>
              <w:top w:w="0" w:type="dxa"/>
              <w:left w:w="108" w:type="dxa"/>
              <w:bottom w:w="0" w:type="dxa"/>
              <w:right w:w="108" w:type="dxa"/>
            </w:tcMar>
          </w:tcPr>
          <w:p>
            <w:pPr>
              <w:ind w:firstLine="34"/>
              <w:jc w:val="center"/>
              <w:rPr>
                <w:szCs w:val="24"/>
              </w:rPr>
            </w:pPr>
            <w:r>
              <w:rPr>
                <w:szCs w:val="24"/>
              </w:rPr>
              <w:t>10.</w:t>
            </w:r>
          </w:p>
        </w:tc>
        <w:tc>
          <w:tcPr>
            <w:tcW w:w="4961" w:type="dxa"/>
            <w:tcMar>
              <w:top w:w="0" w:type="dxa"/>
              <w:left w:w="108" w:type="dxa"/>
              <w:bottom w:w="0" w:type="dxa"/>
              <w:right w:w="108" w:type="dxa"/>
            </w:tcMar>
          </w:tcPr>
          <w:p>
            <w:pPr>
              <w:jc w:val="both"/>
              <w:rPr>
                <w:szCs w:val="24"/>
              </w:rPr>
            </w:pPr>
            <w:r>
              <w:rPr>
                <w:szCs w:val="24"/>
              </w:rPr>
              <w:t>Smėlis moliui liesinti</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0,48</w:t>
            </w:r>
          </w:p>
        </w:tc>
      </w:tr>
      <w:tr>
        <w:trPr>
          <w:cantSplit/>
        </w:trPr>
        <w:tc>
          <w:tcPr>
            <w:tcW w:w="851" w:type="dxa"/>
            <w:tcMar>
              <w:top w:w="0" w:type="dxa"/>
              <w:left w:w="108" w:type="dxa"/>
              <w:bottom w:w="0" w:type="dxa"/>
              <w:right w:w="108" w:type="dxa"/>
            </w:tcMar>
          </w:tcPr>
          <w:p>
            <w:pPr>
              <w:ind w:firstLine="34"/>
              <w:jc w:val="center"/>
              <w:rPr>
                <w:szCs w:val="24"/>
              </w:rPr>
            </w:pPr>
            <w:r>
              <w:rPr>
                <w:szCs w:val="24"/>
              </w:rPr>
              <w:t>11.</w:t>
            </w:r>
          </w:p>
        </w:tc>
        <w:tc>
          <w:tcPr>
            <w:tcW w:w="4961" w:type="dxa"/>
            <w:tcMar>
              <w:top w:w="0" w:type="dxa"/>
              <w:left w:w="108" w:type="dxa"/>
              <w:bottom w:w="0" w:type="dxa"/>
              <w:right w:w="108" w:type="dxa"/>
            </w:tcMar>
          </w:tcPr>
          <w:p>
            <w:pPr>
              <w:jc w:val="both"/>
              <w:rPr>
                <w:szCs w:val="24"/>
              </w:rPr>
            </w:pPr>
            <w:r>
              <w:rPr>
                <w:szCs w:val="24"/>
              </w:rPr>
              <w:t>Smėlis stiklui gaminti</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1,59</w:t>
            </w:r>
          </w:p>
        </w:tc>
      </w:tr>
      <w:tr>
        <w:trPr>
          <w:cantSplit/>
        </w:trPr>
        <w:tc>
          <w:tcPr>
            <w:tcW w:w="851" w:type="dxa"/>
            <w:tcMar>
              <w:top w:w="0" w:type="dxa"/>
              <w:left w:w="108" w:type="dxa"/>
              <w:bottom w:w="0" w:type="dxa"/>
              <w:right w:w="108" w:type="dxa"/>
            </w:tcMar>
          </w:tcPr>
          <w:p>
            <w:pPr>
              <w:ind w:firstLine="34"/>
              <w:jc w:val="center"/>
              <w:rPr>
                <w:szCs w:val="24"/>
              </w:rPr>
            </w:pPr>
            <w:r>
              <w:rPr>
                <w:szCs w:val="24"/>
              </w:rPr>
              <w:t>12.</w:t>
            </w:r>
          </w:p>
        </w:tc>
        <w:tc>
          <w:tcPr>
            <w:tcW w:w="4961" w:type="dxa"/>
            <w:tcMar>
              <w:top w:w="0" w:type="dxa"/>
              <w:left w:w="108" w:type="dxa"/>
              <w:bottom w:w="0" w:type="dxa"/>
              <w:right w:w="108" w:type="dxa"/>
            </w:tcMar>
          </w:tcPr>
          <w:p>
            <w:pPr>
              <w:rPr>
                <w:szCs w:val="24"/>
              </w:rPr>
            </w:pPr>
            <w:r>
              <w:rPr>
                <w:szCs w:val="24"/>
              </w:rPr>
              <w:t>Smėlis silikatiniams dirbiniams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0,44</w:t>
            </w:r>
          </w:p>
        </w:tc>
      </w:tr>
      <w:tr>
        <w:trPr>
          <w:cantSplit/>
        </w:trPr>
        <w:tc>
          <w:tcPr>
            <w:tcW w:w="851" w:type="dxa"/>
            <w:tcMar>
              <w:top w:w="0" w:type="dxa"/>
              <w:left w:w="108" w:type="dxa"/>
              <w:bottom w:w="0" w:type="dxa"/>
              <w:right w:w="108" w:type="dxa"/>
            </w:tcMar>
          </w:tcPr>
          <w:p>
            <w:pPr>
              <w:ind w:firstLine="34"/>
              <w:jc w:val="center"/>
              <w:rPr>
                <w:szCs w:val="24"/>
              </w:rPr>
            </w:pPr>
            <w:r>
              <w:rPr>
                <w:szCs w:val="24"/>
              </w:rPr>
              <w:t>13.</w:t>
            </w:r>
          </w:p>
        </w:tc>
        <w:tc>
          <w:tcPr>
            <w:tcW w:w="4961" w:type="dxa"/>
            <w:tcMar>
              <w:top w:w="0" w:type="dxa"/>
              <w:left w:w="108" w:type="dxa"/>
              <w:bottom w:w="0" w:type="dxa"/>
              <w:right w:w="108" w:type="dxa"/>
            </w:tcMar>
          </w:tcPr>
          <w:p>
            <w:pPr>
              <w:jc w:val="both"/>
              <w:rPr>
                <w:szCs w:val="24"/>
              </w:rPr>
            </w:pPr>
            <w:r>
              <w:rPr>
                <w:szCs w:val="24"/>
              </w:rPr>
              <w:t>Kitas smėlis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0,38</w:t>
            </w:r>
          </w:p>
        </w:tc>
      </w:tr>
      <w:tr>
        <w:trPr>
          <w:cantSplit/>
        </w:trPr>
        <w:tc>
          <w:tcPr>
            <w:tcW w:w="851" w:type="dxa"/>
            <w:tcMar>
              <w:top w:w="0" w:type="dxa"/>
              <w:left w:w="108" w:type="dxa"/>
              <w:bottom w:w="0" w:type="dxa"/>
              <w:right w:w="108" w:type="dxa"/>
            </w:tcMar>
          </w:tcPr>
          <w:p>
            <w:pPr>
              <w:ind w:firstLine="34"/>
              <w:jc w:val="center"/>
              <w:rPr>
                <w:szCs w:val="24"/>
              </w:rPr>
            </w:pPr>
            <w:r>
              <w:rPr>
                <w:szCs w:val="24"/>
              </w:rPr>
              <w:t>14.</w:t>
            </w:r>
          </w:p>
        </w:tc>
        <w:tc>
          <w:tcPr>
            <w:tcW w:w="4961" w:type="dxa"/>
            <w:tcMar>
              <w:top w:w="0" w:type="dxa"/>
              <w:left w:w="108" w:type="dxa"/>
              <w:bottom w:w="0" w:type="dxa"/>
              <w:right w:w="108" w:type="dxa"/>
            </w:tcMar>
          </w:tcPr>
          <w:p>
            <w:pPr>
              <w:jc w:val="both"/>
              <w:rPr>
                <w:szCs w:val="24"/>
              </w:rPr>
            </w:pPr>
            <w:r>
              <w:rPr>
                <w:szCs w:val="24"/>
              </w:rPr>
              <w:t>Žvyras</w:t>
            </w:r>
          </w:p>
        </w:tc>
        <w:tc>
          <w:tcPr>
            <w:tcW w:w="1559"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1985" w:type="dxa"/>
            <w:tcMar>
              <w:top w:w="0" w:type="dxa"/>
              <w:left w:w="108" w:type="dxa"/>
              <w:bottom w:w="0" w:type="dxa"/>
              <w:right w:w="108" w:type="dxa"/>
            </w:tcMar>
          </w:tcPr>
          <w:p>
            <w:pPr>
              <w:jc w:val="center"/>
              <w:rPr>
                <w:szCs w:val="24"/>
              </w:rPr>
            </w:pPr>
            <w:r>
              <w:rPr>
                <w:szCs w:val="24"/>
              </w:rPr>
              <w:t>0,44</w:t>
            </w:r>
          </w:p>
        </w:tc>
      </w:tr>
    </w:tbl>
    <w:p>
      <w:pPr>
        <w:spacing w:line="360"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62DCBC70B5">
        <w:r w:rsidRPr="00532B9F">
          <w:rPr>
            <w:rFonts w:ascii="Times New Roman" w:eastAsia="MS Mincho" w:hAnsi="Times New Roman"/>
            <w:sz w:val="20"/>
            <w:i/>
            <w:iCs/>
            <w:color w:val="0000FF" w:themeColor="hyperlink"/>
            <w:u w:val="single"/>
          </w:rPr>
          <w:t>XI-1818</w:t>
        </w:r>
      </w:fldSimple>
      <w:r>
        <w:rPr>
          <w:rFonts w:ascii="Times New Roman" w:eastAsia="MS Mincho" w:hAnsi="Times New Roman"/>
          <w:sz w:val="20"/>
          <w:i/>
          <w:iCs/>
        </w:rPr>
        <w:t>,
2011-12-20,
Žin., 2011, Nr.
161-7617 (2011-12-29), i. k. 1111010ISTA0XI-1818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100630544211e48329c4b5fc070a74">
        <w:r w:rsidRPr="00532B9F">
          <w:rPr>
            <w:rFonts w:ascii="Times New Roman" w:eastAsia="MS Mincho" w:hAnsi="Times New Roman"/>
            <w:sz w:val="20"/>
            <w:i/>
            <w:iCs/>
            <w:color w:val="0000FF" w:themeColor="hyperlink"/>
            <w:u w:val="single"/>
          </w:rPr>
          <w:t>XII-1196</w:t>
        </w:r>
      </w:fldSimple>
      <w:r>
        <w:rPr>
          <w:rFonts w:ascii="Times New Roman" w:eastAsia="MS Mincho" w:hAnsi="Times New Roman"/>
          <w:sz w:val="20"/>
          <w:i/>
          <w:iCs/>
        </w:rPr>
        <w:t>,
2014-10-07,
paskelbta TAR 2014-10-15, i. k. 2014-14127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954af09f4d11e58fd1fc0b9bba68a7">
        <w:r w:rsidRPr="00532B9F">
          <w:rPr>
            <w:rFonts w:ascii="Times New Roman" w:eastAsia="MS Mincho" w:hAnsi="Times New Roman"/>
            <w:sz w:val="20"/>
            <w:i/>
            <w:iCs/>
            <w:color w:val="0000FF" w:themeColor="hyperlink"/>
            <w:u w:val="single"/>
          </w:rPr>
          <w:t>XII-2148</w:t>
        </w:r>
      </w:fldSimple>
      <w:r>
        <w:rPr>
          <w:rFonts w:ascii="Times New Roman" w:eastAsia="MS Mincho" w:hAnsi="Times New Roman"/>
          <w:sz w:val="20"/>
          <w:i/>
          <w:iCs/>
        </w:rPr>
        <w:t>,
2015-12-08,
paskelbta TAR 2015-12-10, i. k. 2015-19625            </w:t>
      </w:r>
    </w:p>
    <w:p/>
    <w:p>
      <w:pPr>
        <w:ind w:firstLine="5760"/>
        <w:jc w:val="both"/>
        <w:sectPr>
          <w:pgSz w:w="11907" w:h="16839" w:code="9"/>
          <w:pgMar w:top="1134" w:right="567" w:bottom="1134" w:left="1701" w:header="567" w:footer="567" w:gutter="0"/>
          <w:pgNumType w:start="1"/>
          <w:cols w:space="1296"/>
          <w:titlePg/>
          <w:docGrid w:linePitch="360"/>
        </w:sectPr>
      </w:pPr>
    </w:p>
    <w:p>
      <w:pPr>
        <w:ind w:firstLine="5760"/>
        <w:jc w:val="both"/>
        <w:rPr>
          <w:szCs w:val="24"/>
          <w:lang w:eastAsia="lt-LT"/>
        </w:rPr>
      </w:pPr>
      <w:r>
        <w:rPr>
          <w:szCs w:val="24"/>
          <w:lang w:eastAsia="lt-LT"/>
        </w:rPr>
        <w:t>Lietuvos Respublikos</w:t>
      </w:r>
    </w:p>
    <w:p>
      <w:pPr>
        <w:ind w:firstLine="5760"/>
        <w:jc w:val="both"/>
        <w:rPr>
          <w:szCs w:val="24"/>
          <w:lang w:eastAsia="lt-LT"/>
        </w:rPr>
      </w:pPr>
      <w:r>
        <w:rPr>
          <w:szCs w:val="24"/>
          <w:lang w:eastAsia="lt-LT"/>
        </w:rPr>
        <w:t xml:space="preserve">mokesčio už valstybinius </w:t>
      </w:r>
    </w:p>
    <w:p>
      <w:pPr>
        <w:ind w:firstLine="5760"/>
        <w:jc w:val="both"/>
        <w:rPr>
          <w:szCs w:val="24"/>
          <w:lang w:eastAsia="lt-LT"/>
        </w:rPr>
      </w:pPr>
      <w:r>
        <w:rPr>
          <w:szCs w:val="24"/>
          <w:lang w:eastAsia="lt-LT"/>
        </w:rPr>
        <w:t>gamtos išteklius įstatymo</w:t>
      </w:r>
    </w:p>
    <w:p>
      <w:pPr>
        <w:ind w:firstLine="5760"/>
        <w:jc w:val="both"/>
        <w:rPr>
          <w:szCs w:val="24"/>
          <w:lang w:eastAsia="lt-LT"/>
        </w:rPr>
      </w:pPr>
      <w:r>
        <w:rPr>
          <w:szCs w:val="24"/>
          <w:lang w:eastAsia="lt-LT"/>
        </w:rPr>
        <w:t>2</w:t>
      </w:r>
      <w:r>
        <w:rPr>
          <w:szCs w:val="24"/>
          <w:lang w:eastAsia="lt-LT"/>
        </w:rPr>
        <w:t xml:space="preserve"> priedas </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MOKESČIO UŽ VANDENĮ IR STATYBINĮ GRUNTĄ TARIFAI</w:t>
      </w:r>
    </w:p>
    <w:p>
      <w:pPr>
        <w:ind w:firstLine="56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4961"/>
        <w:gridCol w:w="1418"/>
        <w:gridCol w:w="2126"/>
      </w:tblGrid>
      <w:tr>
        <w:trPr>
          <w:cantSplit/>
        </w:trPr>
        <w:tc>
          <w:tcPr>
            <w:tcW w:w="851" w:type="dxa"/>
            <w:tcMar>
              <w:top w:w="0" w:type="dxa"/>
              <w:left w:w="108" w:type="dxa"/>
              <w:bottom w:w="0" w:type="dxa"/>
              <w:right w:w="108" w:type="dxa"/>
            </w:tcMar>
            <w:vAlign w:val="center"/>
            <w:hideMark/>
          </w:tcPr>
          <w:p>
            <w:pPr>
              <w:ind w:firstLine="34"/>
              <w:jc w:val="center"/>
              <w:rPr>
                <w:szCs w:val="24"/>
              </w:rPr>
            </w:pPr>
            <w:r>
              <w:rPr>
                <w:b/>
                <w:szCs w:val="24"/>
              </w:rPr>
              <w:t>Eil. Nr.</w:t>
            </w:r>
          </w:p>
        </w:tc>
        <w:tc>
          <w:tcPr>
            <w:tcW w:w="4961" w:type="dxa"/>
            <w:tcMar>
              <w:top w:w="0" w:type="dxa"/>
              <w:left w:w="108" w:type="dxa"/>
              <w:bottom w:w="0" w:type="dxa"/>
              <w:right w:w="108" w:type="dxa"/>
            </w:tcMar>
            <w:vAlign w:val="center"/>
            <w:hideMark/>
          </w:tcPr>
          <w:p>
            <w:pPr>
              <w:ind w:firstLine="34"/>
              <w:jc w:val="center"/>
              <w:rPr>
                <w:b/>
                <w:szCs w:val="24"/>
              </w:rPr>
            </w:pPr>
            <w:r>
              <w:rPr>
                <w:b/>
                <w:szCs w:val="24"/>
              </w:rPr>
              <w:t>Ištekliai</w:t>
            </w:r>
          </w:p>
        </w:tc>
        <w:tc>
          <w:tcPr>
            <w:tcW w:w="1418" w:type="dxa"/>
            <w:tcMar>
              <w:top w:w="0" w:type="dxa"/>
              <w:left w:w="108" w:type="dxa"/>
              <w:bottom w:w="0" w:type="dxa"/>
              <w:right w:w="108" w:type="dxa"/>
            </w:tcMar>
            <w:vAlign w:val="center"/>
            <w:hideMark/>
          </w:tcPr>
          <w:p>
            <w:pPr>
              <w:ind w:firstLine="34"/>
              <w:jc w:val="center"/>
              <w:rPr>
                <w:b/>
                <w:szCs w:val="24"/>
              </w:rPr>
            </w:pPr>
            <w:r>
              <w:rPr>
                <w:b/>
                <w:szCs w:val="24"/>
              </w:rPr>
              <w:t>Matavimo vnt.</w:t>
            </w:r>
          </w:p>
        </w:tc>
        <w:tc>
          <w:tcPr>
            <w:tcW w:w="2126" w:type="dxa"/>
            <w:tcMar>
              <w:top w:w="0" w:type="dxa"/>
              <w:left w:w="108" w:type="dxa"/>
              <w:bottom w:w="0" w:type="dxa"/>
              <w:right w:w="108" w:type="dxa"/>
            </w:tcMar>
            <w:vAlign w:val="center"/>
          </w:tcPr>
          <w:p>
            <w:pPr>
              <w:ind w:firstLine="567"/>
              <w:jc w:val="center"/>
              <w:rPr>
                <w:b/>
                <w:szCs w:val="24"/>
              </w:rPr>
            </w:pPr>
            <w:r>
              <w:rPr>
                <w:b/>
                <w:szCs w:val="24"/>
              </w:rPr>
              <w:t>Tarifas, Eur</w:t>
            </w:r>
          </w:p>
        </w:tc>
      </w:tr>
      <w:tr>
        <w:trPr>
          <w:cantSplit/>
        </w:trPr>
        <w:tc>
          <w:tcPr>
            <w:tcW w:w="851" w:type="dxa"/>
            <w:tcMar>
              <w:top w:w="0" w:type="dxa"/>
              <w:left w:w="108" w:type="dxa"/>
              <w:bottom w:w="0" w:type="dxa"/>
              <w:right w:w="108" w:type="dxa"/>
            </w:tcMar>
          </w:tcPr>
          <w:p>
            <w:pPr>
              <w:ind w:firstLine="34"/>
              <w:jc w:val="center"/>
              <w:rPr>
                <w:szCs w:val="24"/>
              </w:rPr>
            </w:pPr>
            <w:r>
              <w:rPr>
                <w:szCs w:val="24"/>
              </w:rPr>
              <w:t>1.</w:t>
            </w:r>
          </w:p>
        </w:tc>
        <w:tc>
          <w:tcPr>
            <w:tcW w:w="4961" w:type="dxa"/>
            <w:tcMar>
              <w:top w:w="0" w:type="dxa"/>
              <w:left w:w="108" w:type="dxa"/>
              <w:bottom w:w="0" w:type="dxa"/>
              <w:right w:w="108" w:type="dxa"/>
            </w:tcMar>
          </w:tcPr>
          <w:p>
            <w:pPr>
              <w:ind w:firstLine="34"/>
              <w:jc w:val="both"/>
              <w:rPr>
                <w:szCs w:val="24"/>
              </w:rPr>
            </w:pPr>
            <w:r>
              <w:rPr>
                <w:szCs w:val="24"/>
              </w:rPr>
              <w:t>Požeminis vanduo, išskyrus mineralinį vandenį:</w:t>
            </w:r>
          </w:p>
          <w:p>
            <w:pPr>
              <w:ind w:left="394" w:hanging="360"/>
              <w:rPr>
                <w:szCs w:val="24"/>
              </w:rPr>
            </w:pPr>
            <w:r>
              <w:rPr>
                <w:szCs w:val="24"/>
              </w:rPr>
              <w:t>a)</w:t>
              <w:tab/>
              <w:t>vandens tiekėjo tiekiamas namų ūkio reikmėms ir patalpų šildymui</w:t>
            </w:r>
          </w:p>
          <w:p>
            <w:pPr>
              <w:ind w:left="394" w:hanging="360"/>
              <w:rPr>
                <w:szCs w:val="24"/>
              </w:rPr>
            </w:pPr>
            <w:r>
              <w:rPr>
                <w:szCs w:val="24"/>
              </w:rPr>
              <w:t>b)</w:t>
              <w:tab/>
              <w:t xml:space="preserve"> juridinių asmenų naudojamas komerciniams tikslams, supilstytas į tarą</w:t>
            </w:r>
          </w:p>
          <w:p>
            <w:pPr>
              <w:ind w:left="394" w:hanging="360"/>
              <w:rPr>
                <w:szCs w:val="24"/>
              </w:rPr>
            </w:pPr>
            <w:r>
              <w:rPr>
                <w:szCs w:val="24"/>
              </w:rPr>
              <w:t>c)</w:t>
              <w:tab/>
              <w:t>kitas (a ir b punktuose nenurodytas) požeminis vanduo</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ind w:firstLine="567"/>
              <w:jc w:val="center"/>
              <w:rPr>
                <w:szCs w:val="24"/>
              </w:rPr>
            </w:pPr>
          </w:p>
          <w:p>
            <w:pPr>
              <w:jc w:val="center"/>
              <w:rPr>
                <w:szCs w:val="24"/>
              </w:rPr>
            </w:pPr>
            <w:r>
              <w:rPr>
                <w:szCs w:val="24"/>
              </w:rPr>
              <w:t>0,03</w:t>
            </w:r>
          </w:p>
          <w:p>
            <w:pPr>
              <w:ind w:firstLine="567"/>
              <w:jc w:val="center"/>
              <w:rPr>
                <w:szCs w:val="24"/>
              </w:rPr>
            </w:pPr>
          </w:p>
          <w:p>
            <w:pPr>
              <w:jc w:val="center"/>
              <w:rPr>
                <w:szCs w:val="24"/>
              </w:rPr>
            </w:pPr>
            <w:r>
              <w:rPr>
                <w:szCs w:val="24"/>
              </w:rPr>
              <w:t>4,29</w:t>
            </w:r>
          </w:p>
          <w:p>
            <w:pPr>
              <w:ind w:firstLine="567"/>
              <w:jc w:val="center"/>
              <w:rPr>
                <w:szCs w:val="24"/>
              </w:rPr>
            </w:pPr>
          </w:p>
          <w:p>
            <w:pPr>
              <w:jc w:val="center"/>
              <w:rPr>
                <w:szCs w:val="24"/>
              </w:rPr>
            </w:pPr>
            <w:r>
              <w:rPr>
                <w:szCs w:val="24"/>
              </w:rPr>
              <w:t>0,10</w:t>
            </w:r>
          </w:p>
        </w:tc>
      </w:tr>
      <w:tr>
        <w:trPr>
          <w:cantSplit/>
        </w:trPr>
        <w:tc>
          <w:tcPr>
            <w:tcW w:w="851" w:type="dxa"/>
            <w:tcMar>
              <w:top w:w="0" w:type="dxa"/>
              <w:left w:w="108" w:type="dxa"/>
              <w:bottom w:w="0" w:type="dxa"/>
              <w:right w:w="108" w:type="dxa"/>
            </w:tcMar>
          </w:tcPr>
          <w:p>
            <w:pPr>
              <w:ind w:firstLine="34"/>
              <w:jc w:val="center"/>
              <w:rPr>
                <w:szCs w:val="24"/>
              </w:rPr>
            </w:pPr>
            <w:r>
              <w:rPr>
                <w:szCs w:val="24"/>
              </w:rPr>
              <w:t>2.</w:t>
            </w:r>
          </w:p>
        </w:tc>
        <w:tc>
          <w:tcPr>
            <w:tcW w:w="4961" w:type="dxa"/>
            <w:tcMar>
              <w:top w:w="0" w:type="dxa"/>
              <w:left w:w="108" w:type="dxa"/>
              <w:bottom w:w="0" w:type="dxa"/>
              <w:right w:w="108" w:type="dxa"/>
            </w:tcMar>
          </w:tcPr>
          <w:p>
            <w:pPr>
              <w:ind w:firstLine="34"/>
              <w:jc w:val="both"/>
              <w:rPr>
                <w:szCs w:val="24"/>
              </w:rPr>
            </w:pPr>
            <w:r>
              <w:rPr>
                <w:szCs w:val="24"/>
              </w:rPr>
              <w:t>Mineralinis vanduo, išskyrus mineralinį vandenį, naudojamą gydymo įstaigose</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4,29</w:t>
            </w:r>
          </w:p>
        </w:tc>
      </w:tr>
      <w:tr>
        <w:trPr>
          <w:cantSplit/>
        </w:trPr>
        <w:tc>
          <w:tcPr>
            <w:tcW w:w="851" w:type="dxa"/>
            <w:tcMar>
              <w:top w:w="0" w:type="dxa"/>
              <w:left w:w="108" w:type="dxa"/>
              <w:bottom w:w="0" w:type="dxa"/>
              <w:right w:w="108" w:type="dxa"/>
            </w:tcMar>
          </w:tcPr>
          <w:p>
            <w:pPr>
              <w:ind w:firstLine="34"/>
              <w:jc w:val="center"/>
              <w:rPr>
                <w:szCs w:val="24"/>
              </w:rPr>
            </w:pPr>
            <w:r>
              <w:rPr>
                <w:szCs w:val="24"/>
              </w:rPr>
              <w:t>3.</w:t>
            </w:r>
          </w:p>
        </w:tc>
        <w:tc>
          <w:tcPr>
            <w:tcW w:w="4961" w:type="dxa"/>
            <w:tcMar>
              <w:top w:w="0" w:type="dxa"/>
              <w:left w:w="108" w:type="dxa"/>
              <w:bottom w:w="0" w:type="dxa"/>
              <w:right w:w="108" w:type="dxa"/>
            </w:tcMar>
          </w:tcPr>
          <w:p>
            <w:pPr>
              <w:ind w:firstLine="34"/>
              <w:jc w:val="both"/>
              <w:rPr>
                <w:szCs w:val="24"/>
              </w:rPr>
            </w:pPr>
            <w:r>
              <w:rPr>
                <w:szCs w:val="24"/>
              </w:rPr>
              <w:t>Mineralinis vanduo, naudojamas gydymo įstaigose</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2,14</w:t>
            </w:r>
          </w:p>
        </w:tc>
      </w:tr>
      <w:tr>
        <w:trPr>
          <w:cantSplit/>
        </w:trPr>
        <w:tc>
          <w:tcPr>
            <w:tcW w:w="851" w:type="dxa"/>
            <w:tcMar>
              <w:top w:w="0" w:type="dxa"/>
              <w:left w:w="108" w:type="dxa"/>
              <w:bottom w:w="0" w:type="dxa"/>
              <w:right w:w="108" w:type="dxa"/>
            </w:tcMar>
          </w:tcPr>
          <w:p>
            <w:pPr>
              <w:ind w:firstLine="34"/>
              <w:jc w:val="center"/>
              <w:rPr>
                <w:szCs w:val="24"/>
              </w:rPr>
            </w:pPr>
            <w:r>
              <w:rPr>
                <w:szCs w:val="24"/>
              </w:rPr>
              <w:t>4.</w:t>
            </w:r>
          </w:p>
        </w:tc>
        <w:tc>
          <w:tcPr>
            <w:tcW w:w="4961" w:type="dxa"/>
            <w:tcMar>
              <w:top w:w="0" w:type="dxa"/>
              <w:left w:w="108" w:type="dxa"/>
              <w:bottom w:w="0" w:type="dxa"/>
              <w:right w:w="108" w:type="dxa"/>
            </w:tcMar>
          </w:tcPr>
          <w:p>
            <w:pPr>
              <w:ind w:firstLine="34"/>
              <w:jc w:val="both"/>
              <w:rPr>
                <w:szCs w:val="24"/>
              </w:rPr>
            </w:pPr>
            <w:r>
              <w:rPr>
                <w:szCs w:val="24"/>
              </w:rPr>
              <w:t>Paviršinis vanduo pramonei ir žemės ūkiui</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0,003</w:t>
            </w:r>
          </w:p>
        </w:tc>
      </w:tr>
      <w:tr>
        <w:trPr>
          <w:cantSplit/>
        </w:trPr>
        <w:tc>
          <w:tcPr>
            <w:tcW w:w="851" w:type="dxa"/>
            <w:tcMar>
              <w:top w:w="0" w:type="dxa"/>
              <w:left w:w="108" w:type="dxa"/>
              <w:bottom w:w="0" w:type="dxa"/>
              <w:right w:w="108" w:type="dxa"/>
            </w:tcMar>
          </w:tcPr>
          <w:p>
            <w:pPr>
              <w:ind w:firstLine="34"/>
              <w:jc w:val="center"/>
              <w:rPr>
                <w:szCs w:val="24"/>
              </w:rPr>
            </w:pPr>
            <w:r>
              <w:rPr>
                <w:szCs w:val="24"/>
              </w:rPr>
              <w:t>5.</w:t>
            </w:r>
          </w:p>
        </w:tc>
        <w:tc>
          <w:tcPr>
            <w:tcW w:w="4961" w:type="dxa"/>
            <w:tcMar>
              <w:top w:w="0" w:type="dxa"/>
              <w:left w:w="108" w:type="dxa"/>
              <w:bottom w:w="0" w:type="dxa"/>
              <w:right w:w="108" w:type="dxa"/>
            </w:tcMar>
          </w:tcPr>
          <w:p>
            <w:pPr>
              <w:ind w:firstLine="34"/>
              <w:rPr>
                <w:szCs w:val="24"/>
              </w:rPr>
            </w:pPr>
            <w:r>
              <w:rPr>
                <w:szCs w:val="24"/>
              </w:rPr>
              <w:t>Paviršinis vanduo kondensacinėms šiluminėms elektrinėms aušinti</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0,0003</w:t>
            </w:r>
          </w:p>
        </w:tc>
      </w:tr>
      <w:tr>
        <w:trPr>
          <w:cantSplit/>
        </w:trPr>
        <w:tc>
          <w:tcPr>
            <w:tcW w:w="851" w:type="dxa"/>
            <w:tcMar>
              <w:top w:w="0" w:type="dxa"/>
              <w:left w:w="108" w:type="dxa"/>
              <w:bottom w:w="0" w:type="dxa"/>
              <w:right w:w="108" w:type="dxa"/>
            </w:tcMar>
          </w:tcPr>
          <w:p>
            <w:pPr>
              <w:ind w:firstLine="34"/>
              <w:jc w:val="center"/>
              <w:rPr>
                <w:szCs w:val="24"/>
              </w:rPr>
            </w:pPr>
            <w:r>
              <w:rPr>
                <w:szCs w:val="24"/>
              </w:rPr>
              <w:t>6.</w:t>
            </w:r>
          </w:p>
        </w:tc>
        <w:tc>
          <w:tcPr>
            <w:tcW w:w="4961" w:type="dxa"/>
            <w:tcMar>
              <w:top w:w="0" w:type="dxa"/>
              <w:left w:w="108" w:type="dxa"/>
              <w:bottom w:w="0" w:type="dxa"/>
              <w:right w:w="108" w:type="dxa"/>
            </w:tcMar>
          </w:tcPr>
          <w:p>
            <w:pPr>
              <w:ind w:firstLine="34"/>
              <w:jc w:val="both"/>
              <w:rPr>
                <w:szCs w:val="24"/>
              </w:rPr>
            </w:pPr>
            <w:r>
              <w:rPr>
                <w:szCs w:val="24"/>
              </w:rPr>
              <w:t>Paviršinis vanduo žuvininkystei</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0,0001</w:t>
            </w:r>
          </w:p>
        </w:tc>
      </w:tr>
      <w:tr>
        <w:trPr>
          <w:cantSplit/>
        </w:trPr>
        <w:tc>
          <w:tcPr>
            <w:tcW w:w="851" w:type="dxa"/>
            <w:tcMar>
              <w:top w:w="0" w:type="dxa"/>
              <w:left w:w="108" w:type="dxa"/>
              <w:bottom w:w="0" w:type="dxa"/>
              <w:right w:w="108" w:type="dxa"/>
            </w:tcMar>
          </w:tcPr>
          <w:p>
            <w:pPr>
              <w:ind w:firstLine="34"/>
              <w:jc w:val="center"/>
              <w:rPr>
                <w:szCs w:val="24"/>
              </w:rPr>
            </w:pPr>
            <w:r>
              <w:rPr>
                <w:szCs w:val="24"/>
              </w:rPr>
              <w:t>7.</w:t>
            </w:r>
          </w:p>
        </w:tc>
        <w:tc>
          <w:tcPr>
            <w:tcW w:w="4961" w:type="dxa"/>
            <w:tcMar>
              <w:top w:w="0" w:type="dxa"/>
              <w:left w:w="108" w:type="dxa"/>
              <w:bottom w:w="0" w:type="dxa"/>
              <w:right w:w="108" w:type="dxa"/>
            </w:tcMar>
          </w:tcPr>
          <w:p>
            <w:pPr>
              <w:ind w:firstLine="34"/>
              <w:rPr>
                <w:szCs w:val="24"/>
              </w:rPr>
            </w:pPr>
            <w:r>
              <w:rPr>
                <w:szCs w:val="24"/>
              </w:rPr>
              <w:t>Paviršinis vanduo hidroenergetikai</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0,00001</w:t>
            </w:r>
          </w:p>
        </w:tc>
      </w:tr>
      <w:tr>
        <w:trPr>
          <w:cantSplit/>
        </w:trPr>
        <w:tc>
          <w:tcPr>
            <w:tcW w:w="851" w:type="dxa"/>
            <w:tcMar>
              <w:top w:w="0" w:type="dxa"/>
              <w:left w:w="108" w:type="dxa"/>
              <w:bottom w:w="0" w:type="dxa"/>
              <w:right w:w="108" w:type="dxa"/>
            </w:tcMar>
          </w:tcPr>
          <w:p>
            <w:pPr>
              <w:ind w:firstLine="34"/>
              <w:jc w:val="center"/>
              <w:rPr>
                <w:szCs w:val="24"/>
              </w:rPr>
            </w:pPr>
            <w:r>
              <w:rPr>
                <w:szCs w:val="24"/>
              </w:rPr>
              <w:t>8.</w:t>
            </w:r>
          </w:p>
        </w:tc>
        <w:tc>
          <w:tcPr>
            <w:tcW w:w="4961" w:type="dxa"/>
            <w:tcMar>
              <w:top w:w="0" w:type="dxa"/>
              <w:left w:w="108" w:type="dxa"/>
              <w:bottom w:w="0" w:type="dxa"/>
              <w:right w:w="108" w:type="dxa"/>
            </w:tcMar>
          </w:tcPr>
          <w:p>
            <w:pPr>
              <w:ind w:firstLine="34"/>
              <w:jc w:val="both"/>
              <w:rPr>
                <w:szCs w:val="24"/>
              </w:rPr>
            </w:pPr>
            <w:r>
              <w:rPr>
                <w:szCs w:val="24"/>
              </w:rPr>
              <w:t>Paviršinis vanduo atominei elektrinei</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0,0004</w:t>
            </w:r>
          </w:p>
        </w:tc>
      </w:tr>
      <w:tr>
        <w:trPr>
          <w:cantSplit/>
        </w:trPr>
        <w:tc>
          <w:tcPr>
            <w:tcW w:w="851" w:type="dxa"/>
            <w:tcMar>
              <w:top w:w="0" w:type="dxa"/>
              <w:left w:w="108" w:type="dxa"/>
              <w:bottom w:w="0" w:type="dxa"/>
              <w:right w:w="108" w:type="dxa"/>
            </w:tcMar>
          </w:tcPr>
          <w:p>
            <w:pPr>
              <w:ind w:firstLine="34"/>
              <w:jc w:val="center"/>
              <w:rPr>
                <w:szCs w:val="24"/>
              </w:rPr>
            </w:pPr>
            <w:r>
              <w:rPr>
                <w:szCs w:val="24"/>
              </w:rPr>
              <w:t>9.</w:t>
            </w:r>
          </w:p>
        </w:tc>
        <w:tc>
          <w:tcPr>
            <w:tcW w:w="4961" w:type="dxa"/>
            <w:tcMar>
              <w:top w:w="0" w:type="dxa"/>
              <w:left w:w="108" w:type="dxa"/>
              <w:bottom w:w="0" w:type="dxa"/>
              <w:right w:w="108" w:type="dxa"/>
            </w:tcMar>
          </w:tcPr>
          <w:p>
            <w:pPr>
              <w:ind w:firstLine="34"/>
              <w:jc w:val="both"/>
              <w:rPr>
                <w:szCs w:val="24"/>
              </w:rPr>
            </w:pPr>
            <w:r>
              <w:rPr>
                <w:szCs w:val="24"/>
              </w:rPr>
              <w:t>Paviršinis vanduo suskystintų gamtinių dujų importo terminalui</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0,00003</w:t>
            </w:r>
          </w:p>
        </w:tc>
      </w:tr>
      <w:tr>
        <w:trPr>
          <w:cantSplit/>
        </w:trPr>
        <w:tc>
          <w:tcPr>
            <w:tcW w:w="851" w:type="dxa"/>
            <w:tcMar>
              <w:top w:w="0" w:type="dxa"/>
              <w:left w:w="108" w:type="dxa"/>
              <w:bottom w:w="0" w:type="dxa"/>
              <w:right w:w="108" w:type="dxa"/>
            </w:tcMar>
          </w:tcPr>
          <w:p>
            <w:pPr>
              <w:ind w:firstLine="34"/>
              <w:jc w:val="center"/>
              <w:rPr>
                <w:szCs w:val="24"/>
              </w:rPr>
            </w:pPr>
            <w:r>
              <w:rPr>
                <w:szCs w:val="24"/>
              </w:rPr>
              <w:t>10.</w:t>
            </w:r>
          </w:p>
        </w:tc>
        <w:tc>
          <w:tcPr>
            <w:tcW w:w="4961" w:type="dxa"/>
            <w:tcMar>
              <w:top w:w="0" w:type="dxa"/>
              <w:left w:w="108" w:type="dxa"/>
              <w:bottom w:w="0" w:type="dxa"/>
              <w:right w:w="108" w:type="dxa"/>
            </w:tcMar>
          </w:tcPr>
          <w:p>
            <w:pPr>
              <w:ind w:firstLine="34"/>
              <w:jc w:val="both"/>
              <w:rPr>
                <w:szCs w:val="24"/>
              </w:rPr>
            </w:pPr>
            <w:r>
              <w:rPr>
                <w:szCs w:val="24"/>
              </w:rPr>
              <w:t>Statybinis gruntas</w:t>
            </w:r>
          </w:p>
        </w:tc>
        <w:tc>
          <w:tcPr>
            <w:tcW w:w="1418" w:type="dxa"/>
            <w:tcMar>
              <w:top w:w="0" w:type="dxa"/>
              <w:left w:w="108" w:type="dxa"/>
              <w:bottom w:w="0" w:type="dxa"/>
              <w:right w:w="108" w:type="dxa"/>
            </w:tcMar>
          </w:tcPr>
          <w:p>
            <w:pPr>
              <w:jc w:val="center"/>
              <w:rPr>
                <w:szCs w:val="24"/>
              </w:rPr>
            </w:pPr>
            <w:r>
              <w:rPr>
                <w:szCs w:val="24"/>
              </w:rPr>
              <w:t>m</w:t>
            </w:r>
            <w:r>
              <w:rPr>
                <w:szCs w:val="24"/>
                <w:vertAlign w:val="superscript"/>
              </w:rPr>
              <w:t>3</w:t>
            </w:r>
          </w:p>
        </w:tc>
        <w:tc>
          <w:tcPr>
            <w:tcW w:w="2126" w:type="dxa"/>
            <w:tcMar>
              <w:top w:w="0" w:type="dxa"/>
              <w:left w:w="108" w:type="dxa"/>
              <w:bottom w:w="0" w:type="dxa"/>
              <w:right w:w="108" w:type="dxa"/>
            </w:tcMar>
          </w:tcPr>
          <w:p>
            <w:pPr>
              <w:jc w:val="center"/>
              <w:rPr>
                <w:szCs w:val="24"/>
              </w:rPr>
            </w:pPr>
            <w:r>
              <w:rPr>
                <w:szCs w:val="24"/>
              </w:rPr>
              <w:t>0,26</w:t>
            </w:r>
          </w:p>
        </w:tc>
      </w:tr>
    </w:tbl>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62DCBC70B5">
        <w:r w:rsidRPr="00532B9F">
          <w:rPr>
            <w:rFonts w:ascii="Times New Roman" w:eastAsia="MS Mincho" w:hAnsi="Times New Roman"/>
            <w:sz w:val="20"/>
            <w:i/>
            <w:iCs/>
            <w:color w:val="0000FF" w:themeColor="hyperlink"/>
            <w:u w:val="single"/>
          </w:rPr>
          <w:t>XI-1818</w:t>
        </w:r>
      </w:fldSimple>
      <w:r>
        <w:rPr>
          <w:rFonts w:ascii="Times New Roman" w:eastAsia="MS Mincho" w:hAnsi="Times New Roman"/>
          <w:sz w:val="20"/>
          <w:i/>
          <w:iCs/>
        </w:rPr>
        <w:t>,
2011-12-20,
Žin., 2011, Nr.
161-7617 (2011-12-29), i. k. 1111010ISTA0XI-1818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100630544211e48329c4b5fc070a74">
        <w:r w:rsidRPr="00532B9F">
          <w:rPr>
            <w:rFonts w:ascii="Times New Roman" w:eastAsia="MS Mincho" w:hAnsi="Times New Roman"/>
            <w:sz w:val="20"/>
            <w:i/>
            <w:iCs/>
            <w:color w:val="0000FF" w:themeColor="hyperlink"/>
            <w:u w:val="single"/>
          </w:rPr>
          <w:t>XII-1196</w:t>
        </w:r>
      </w:fldSimple>
      <w:r>
        <w:rPr>
          <w:rFonts w:ascii="Times New Roman" w:eastAsia="MS Mincho" w:hAnsi="Times New Roman"/>
          <w:sz w:val="20"/>
          <w:i/>
          <w:iCs/>
        </w:rPr>
        <w:t>,
2014-10-07,
paskelbta TAR 2014-10-15, i. k. 2014-14127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954af09f4d11e58fd1fc0b9bba68a7">
        <w:r w:rsidRPr="00532B9F">
          <w:rPr>
            <w:rFonts w:ascii="Times New Roman" w:eastAsia="MS Mincho" w:hAnsi="Times New Roman"/>
            <w:sz w:val="20"/>
            <w:i/>
            <w:iCs/>
            <w:color w:val="0000FF" w:themeColor="hyperlink"/>
            <w:u w:val="single"/>
          </w:rPr>
          <w:t>XII-2148</w:t>
        </w:r>
      </w:fldSimple>
      <w:r>
        <w:rPr>
          <w:rFonts w:ascii="Times New Roman" w:eastAsia="MS Mincho" w:hAnsi="Times New Roman"/>
          <w:sz w:val="20"/>
          <w:i/>
          <w:iCs/>
        </w:rPr>
        <w:t>,
2015-12-08,
paskelbta TAR 2015-12-10, i. k. 2015-19625            </w:t>
      </w:r>
    </w:p>
    <w:p/>
    <w:p>
      <w:pPr>
        <w:ind w:firstLine="5760"/>
        <w:jc w:val="both"/>
        <w:sectPr>
          <w:pgSz w:w="11907" w:h="16839" w:code="9"/>
          <w:pgMar w:top="1134" w:right="567" w:bottom="1134" w:left="1701" w:header="567" w:footer="567" w:gutter="0"/>
          <w:pgNumType w:start="1"/>
          <w:cols w:space="1296"/>
          <w:titlePg/>
          <w:docGrid w:linePitch="360"/>
        </w:sectPr>
      </w:pPr>
    </w:p>
    <w:p>
      <w:pPr>
        <w:ind w:firstLine="5760"/>
        <w:jc w:val="both"/>
      </w:pPr>
      <w:r>
        <w:t xml:space="preserve">Lietuvos Respublikos </w:t>
      </w:r>
    </w:p>
    <w:p>
      <w:pPr>
        <w:ind w:firstLine="5760"/>
        <w:jc w:val="both"/>
      </w:pPr>
      <w:r>
        <w:t xml:space="preserve">mokesčio už valstybinius </w:t>
      </w:r>
    </w:p>
    <w:p>
      <w:pPr>
        <w:ind w:firstLine="5760"/>
        <w:jc w:val="both"/>
      </w:pPr>
      <w:r>
        <w:t>gamtos išteklius įstatymo</w:t>
      </w:r>
    </w:p>
    <w:p>
      <w:pPr>
        <w:ind w:firstLine="5760"/>
        <w:jc w:val="both"/>
      </w:pPr>
      <w:r>
        <w:t xml:space="preserve">3 priedas </w:t>
      </w:r>
    </w:p>
    <w:p>
      <w:pPr>
        <w:spacing w:line="360" w:lineRule="auto"/>
        <w:ind w:firstLine="720"/>
        <w:jc w:val="both"/>
      </w:pPr>
    </w:p>
    <w:p>
      <w:pPr>
        <w:spacing w:line="360" w:lineRule="auto"/>
        <w:ind w:firstLine="720"/>
        <w:jc w:val="center"/>
        <w:rPr>
          <w:b/>
          <w:bCs/>
        </w:rPr>
      </w:pPr>
      <w:r>
        <w:rPr>
          <w:b/>
          <w:bCs/>
        </w:rPr>
        <w:t>MOKESČIO UŽ MEDŽIOJAMUOSIUS GYVŪNUS TARIFAI PAGAL MEDŽIOKLĖS PLOTŲ KATEGORIJAS</w:t>
      </w:r>
    </w:p>
    <w:p>
      <w:pPr>
        <w:spacing w:line="360" w:lineRule="auto"/>
        <w:ind w:firstLine="720"/>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5222"/>
        <w:gridCol w:w="2577"/>
      </w:tblGrid>
      <w:tr>
        <w:trPr>
          <w:cantSplit/>
          <w:trHeight w:val="660"/>
          <w:tblHeader/>
        </w:trPr>
        <w:tc>
          <w:tcPr>
            <w:tcW w:w="6495" w:type="dxa"/>
            <w:gridSpan w:val="2"/>
            <w:tcMar>
              <w:top w:w="55" w:type="dxa"/>
              <w:left w:w="55" w:type="dxa"/>
              <w:bottom w:w="55" w:type="dxa"/>
              <w:right w:w="55" w:type="dxa"/>
            </w:tcMar>
            <w:hideMark/>
          </w:tcPr>
          <w:p>
            <w:pPr>
              <w:spacing w:line="276" w:lineRule="auto"/>
              <w:contextualSpacing/>
              <w:jc w:val="center"/>
              <w:rPr>
                <w:szCs w:val="24"/>
              </w:rPr>
            </w:pPr>
            <w:r>
              <w:rPr>
                <w:szCs w:val="24"/>
              </w:rPr>
              <w:t>Medžioklės plotų kategorijos pagal tinkamumą medžiojamiesiems gyvūnams gyventi bei veistis</w:t>
            </w:r>
          </w:p>
        </w:tc>
        <w:tc>
          <w:tcPr>
            <w:tcW w:w="2577" w:type="dxa"/>
            <w:vMerge w:val="restart"/>
            <w:tcMar>
              <w:top w:w="55" w:type="dxa"/>
              <w:left w:w="55" w:type="dxa"/>
              <w:bottom w:w="55" w:type="dxa"/>
              <w:right w:w="55" w:type="dxa"/>
            </w:tcMar>
            <w:vAlign w:val="center"/>
            <w:hideMark/>
          </w:tcPr>
          <w:p>
            <w:pPr>
              <w:spacing w:line="276" w:lineRule="auto"/>
              <w:contextualSpacing/>
              <w:jc w:val="center"/>
              <w:rPr>
                <w:szCs w:val="24"/>
              </w:rPr>
            </w:pPr>
            <w:r>
              <w:rPr>
                <w:szCs w:val="24"/>
              </w:rPr>
              <w:t>Metinis mokesčio tarifas (Eur/ha)</w:t>
            </w:r>
          </w:p>
        </w:tc>
      </w:tr>
      <w:tr>
        <w:trPr>
          <w:cantSplit/>
          <w:trHeight w:val="519"/>
        </w:trPr>
        <w:tc>
          <w:tcPr>
            <w:tcW w:w="1273" w:type="dxa"/>
            <w:tcMar>
              <w:top w:w="55" w:type="dxa"/>
              <w:left w:w="55" w:type="dxa"/>
              <w:bottom w:w="55" w:type="dxa"/>
              <w:right w:w="55" w:type="dxa"/>
            </w:tcMar>
            <w:hideMark/>
          </w:tcPr>
          <w:p>
            <w:pPr>
              <w:spacing w:line="276" w:lineRule="auto"/>
              <w:contextualSpacing/>
              <w:jc w:val="center"/>
              <w:rPr>
                <w:szCs w:val="24"/>
              </w:rPr>
            </w:pPr>
            <w:r>
              <w:rPr>
                <w:bCs/>
                <w:szCs w:val="24"/>
              </w:rPr>
              <w:t>Kategorija</w:t>
            </w:r>
          </w:p>
        </w:tc>
        <w:tc>
          <w:tcPr>
            <w:tcW w:w="5222" w:type="dxa"/>
            <w:tcMar>
              <w:top w:w="55" w:type="dxa"/>
              <w:left w:w="55" w:type="dxa"/>
              <w:bottom w:w="55" w:type="dxa"/>
              <w:right w:w="55" w:type="dxa"/>
            </w:tcMar>
            <w:hideMark/>
          </w:tcPr>
          <w:p>
            <w:pPr>
              <w:spacing w:line="276" w:lineRule="auto"/>
              <w:contextualSpacing/>
              <w:jc w:val="center"/>
              <w:rPr>
                <w:szCs w:val="24"/>
              </w:rPr>
            </w:pPr>
            <w:r>
              <w:rPr>
                <w:bCs/>
                <w:szCs w:val="24"/>
              </w:rPr>
              <w:t>Charakteristika</w:t>
            </w:r>
          </w:p>
        </w:tc>
        <w:tc>
          <w:tcPr>
            <w:tcW w:w="2577" w:type="dxa"/>
            <w:vMerge/>
            <w:vAlign w:val="center"/>
            <w:hideMark/>
          </w:tcPr>
          <w:p>
            <w:pPr>
              <w:spacing w:line="276" w:lineRule="auto"/>
              <w:ind w:firstLine="567"/>
              <w:contextualSpacing/>
              <w:jc w:val="both"/>
              <w:rPr>
                <w:szCs w:val="24"/>
              </w:rPr>
            </w:pPr>
          </w:p>
        </w:tc>
      </w:tr>
      <w:tr>
        <w:trPr>
          <w:cantSplit/>
          <w:trHeight w:val="741"/>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I</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Lapuočių ir mišrūs lapuočių su spygliuočiais medynai (spygliuočių – iki 50 procentų)</w:t>
            </w:r>
          </w:p>
        </w:tc>
        <w:tc>
          <w:tcPr>
            <w:tcW w:w="2577" w:type="dxa"/>
            <w:tcMar>
              <w:top w:w="55" w:type="dxa"/>
              <w:left w:w="55" w:type="dxa"/>
              <w:bottom w:w="55" w:type="dxa"/>
              <w:right w:w="55" w:type="dxa"/>
            </w:tcMar>
          </w:tcPr>
          <w:p>
            <w:pPr>
              <w:spacing w:line="276" w:lineRule="auto"/>
              <w:ind w:firstLine="26"/>
              <w:contextualSpacing/>
              <w:jc w:val="center"/>
              <w:rPr>
                <w:szCs w:val="24"/>
              </w:rPr>
            </w:pPr>
            <w:r>
              <w:rPr>
                <w:szCs w:val="24"/>
              </w:rPr>
              <w:t>0,52</w:t>
            </w:r>
          </w:p>
        </w:tc>
      </w:tr>
      <w:tr>
        <w:trPr>
          <w:cantSplit/>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II</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Mišrūs spygliuočių su lapuočiais medynai (lapuočių – nuo 25 iki 50 procentų)</w:t>
            </w:r>
          </w:p>
        </w:tc>
        <w:tc>
          <w:tcPr>
            <w:tcW w:w="2577" w:type="dxa"/>
            <w:tcMar>
              <w:top w:w="55" w:type="dxa"/>
              <w:left w:w="55" w:type="dxa"/>
              <w:bottom w:w="55" w:type="dxa"/>
              <w:right w:w="55" w:type="dxa"/>
            </w:tcMar>
          </w:tcPr>
          <w:p>
            <w:pPr>
              <w:spacing w:line="276" w:lineRule="auto"/>
              <w:ind w:firstLine="26"/>
              <w:contextualSpacing/>
              <w:jc w:val="center"/>
              <w:rPr>
                <w:szCs w:val="24"/>
              </w:rPr>
            </w:pPr>
            <w:r>
              <w:rPr>
                <w:szCs w:val="24"/>
              </w:rPr>
              <w:t>0,35</w:t>
            </w:r>
          </w:p>
        </w:tc>
      </w:tr>
      <w:tr>
        <w:trPr>
          <w:cantSplit/>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III</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Mišrūs spygliuočių su nedidele lapuočių priemaiša medynai (lapuočių – nuo 11 iki 24 procentų)</w:t>
            </w:r>
          </w:p>
        </w:tc>
        <w:tc>
          <w:tcPr>
            <w:tcW w:w="2577" w:type="dxa"/>
            <w:tcMar>
              <w:top w:w="55" w:type="dxa"/>
              <w:left w:w="55" w:type="dxa"/>
              <w:bottom w:w="55" w:type="dxa"/>
              <w:right w:w="55" w:type="dxa"/>
            </w:tcMar>
          </w:tcPr>
          <w:p>
            <w:pPr>
              <w:spacing w:line="276" w:lineRule="auto"/>
              <w:ind w:firstLine="26"/>
              <w:contextualSpacing/>
              <w:jc w:val="center"/>
              <w:rPr>
                <w:szCs w:val="24"/>
              </w:rPr>
            </w:pPr>
            <w:r>
              <w:rPr>
                <w:szCs w:val="24"/>
              </w:rPr>
              <w:t>0,26</w:t>
            </w:r>
          </w:p>
        </w:tc>
      </w:tr>
      <w:tr>
        <w:trPr>
          <w:cantSplit/>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IV</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 xml:space="preserve">Gryni pušynai su ne didesne kaip 10 procentų kitų medžių rūšių priemaiša </w:t>
            </w:r>
          </w:p>
        </w:tc>
        <w:tc>
          <w:tcPr>
            <w:tcW w:w="2577" w:type="dxa"/>
            <w:tcMar>
              <w:top w:w="55" w:type="dxa"/>
              <w:left w:w="55" w:type="dxa"/>
              <w:bottom w:w="55" w:type="dxa"/>
              <w:right w:w="55" w:type="dxa"/>
            </w:tcMar>
          </w:tcPr>
          <w:p>
            <w:pPr>
              <w:spacing w:line="276" w:lineRule="auto"/>
              <w:ind w:firstLine="26"/>
              <w:contextualSpacing/>
              <w:jc w:val="center"/>
              <w:rPr>
                <w:szCs w:val="24"/>
              </w:rPr>
            </w:pPr>
            <w:r>
              <w:rPr>
                <w:szCs w:val="24"/>
              </w:rPr>
              <w:t>0,13</w:t>
            </w:r>
          </w:p>
        </w:tc>
      </w:tr>
      <w:tr>
        <w:trPr>
          <w:cantSplit/>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V</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Laukai (žemės ūkio naudmenos ir krūmynai) Marijampolės apskrityje</w:t>
            </w:r>
          </w:p>
        </w:tc>
        <w:tc>
          <w:tcPr>
            <w:tcW w:w="2577" w:type="dxa"/>
            <w:tcMar>
              <w:top w:w="55" w:type="dxa"/>
              <w:left w:w="55" w:type="dxa"/>
              <w:bottom w:w="55" w:type="dxa"/>
              <w:right w:w="55" w:type="dxa"/>
            </w:tcMar>
          </w:tcPr>
          <w:p>
            <w:pPr>
              <w:spacing w:line="276" w:lineRule="auto"/>
              <w:ind w:firstLine="26"/>
              <w:contextualSpacing/>
              <w:jc w:val="center"/>
              <w:rPr>
                <w:szCs w:val="24"/>
              </w:rPr>
            </w:pPr>
            <w:r>
              <w:rPr>
                <w:szCs w:val="24"/>
              </w:rPr>
              <w:t>0,08</w:t>
            </w:r>
          </w:p>
        </w:tc>
      </w:tr>
      <w:tr>
        <w:trPr>
          <w:cantSplit/>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VI</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Laukai (žemės ūkio naudmenos ir krūmynai) kitoje Lietuvos Respublikos dalyje</w:t>
            </w:r>
          </w:p>
        </w:tc>
        <w:tc>
          <w:tcPr>
            <w:tcW w:w="2577" w:type="dxa"/>
            <w:tcMar>
              <w:top w:w="55" w:type="dxa"/>
              <w:left w:w="55" w:type="dxa"/>
              <w:bottom w:w="55" w:type="dxa"/>
              <w:right w:w="55" w:type="dxa"/>
            </w:tcMar>
          </w:tcPr>
          <w:p>
            <w:pPr>
              <w:spacing w:line="276" w:lineRule="auto"/>
              <w:ind w:firstLine="26"/>
              <w:contextualSpacing/>
              <w:jc w:val="center"/>
              <w:rPr>
                <w:szCs w:val="24"/>
              </w:rPr>
            </w:pPr>
            <w:r>
              <w:rPr>
                <w:szCs w:val="24"/>
              </w:rPr>
              <w:t>0,07</w:t>
            </w:r>
          </w:p>
        </w:tc>
      </w:tr>
      <w:tr>
        <w:trPr>
          <w:cantSplit/>
        </w:trPr>
        <w:tc>
          <w:tcPr>
            <w:tcW w:w="1273" w:type="dxa"/>
            <w:tcMar>
              <w:top w:w="55" w:type="dxa"/>
              <w:left w:w="55" w:type="dxa"/>
              <w:bottom w:w="55" w:type="dxa"/>
              <w:right w:w="55" w:type="dxa"/>
            </w:tcMar>
            <w:hideMark/>
          </w:tcPr>
          <w:p>
            <w:pPr>
              <w:spacing w:line="276" w:lineRule="auto"/>
              <w:ind w:firstLine="567"/>
              <w:contextualSpacing/>
              <w:jc w:val="both"/>
              <w:rPr>
                <w:szCs w:val="24"/>
              </w:rPr>
            </w:pPr>
            <w:r>
              <w:rPr>
                <w:szCs w:val="24"/>
              </w:rPr>
              <w:t>VII</w:t>
            </w:r>
          </w:p>
        </w:tc>
        <w:tc>
          <w:tcPr>
            <w:tcW w:w="5222" w:type="dxa"/>
            <w:tcMar>
              <w:top w:w="55" w:type="dxa"/>
              <w:left w:w="55" w:type="dxa"/>
              <w:bottom w:w="55" w:type="dxa"/>
              <w:right w:w="55" w:type="dxa"/>
            </w:tcMar>
            <w:hideMark/>
          </w:tcPr>
          <w:p>
            <w:pPr>
              <w:spacing w:line="276" w:lineRule="auto"/>
              <w:contextualSpacing/>
              <w:jc w:val="both"/>
              <w:rPr>
                <w:szCs w:val="24"/>
              </w:rPr>
            </w:pPr>
            <w:r>
              <w:rPr>
                <w:szCs w:val="24"/>
              </w:rPr>
              <w:t>Vandens telkiniai</w:t>
            </w:r>
          </w:p>
        </w:tc>
        <w:tc>
          <w:tcPr>
            <w:tcW w:w="2577" w:type="dxa"/>
            <w:tcMar>
              <w:top w:w="55" w:type="dxa"/>
              <w:left w:w="55" w:type="dxa"/>
              <w:bottom w:w="55" w:type="dxa"/>
              <w:right w:w="55" w:type="dxa"/>
            </w:tcMar>
            <w:hideMark/>
          </w:tcPr>
          <w:p>
            <w:pPr>
              <w:spacing w:line="276" w:lineRule="auto"/>
              <w:ind w:firstLine="26"/>
              <w:contextualSpacing/>
              <w:jc w:val="center"/>
              <w:rPr>
                <w:szCs w:val="24"/>
              </w:rPr>
            </w:pPr>
            <w:r>
              <w:rPr>
                <w:szCs w:val="24"/>
              </w:rPr>
              <w:t>0,03</w:t>
            </w:r>
          </w:p>
        </w:tc>
      </w:tr>
    </w:tbl>
    <w:p>
      <w:pPr>
        <w:spacing w:line="276" w:lineRule="auto"/>
        <w:ind w:firstLine="567"/>
        <w:contextualSpacing/>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100630544211e48329c4b5fc070a74">
        <w:r w:rsidRPr="00532B9F">
          <w:rPr>
            <w:rFonts w:ascii="Times New Roman" w:eastAsia="MS Mincho" w:hAnsi="Times New Roman"/>
            <w:sz w:val="20"/>
            <w:i/>
            <w:iCs/>
            <w:color w:val="0000FF" w:themeColor="hyperlink"/>
            <w:u w:val="single"/>
          </w:rPr>
          <w:t>XII-1196</w:t>
        </w:r>
      </w:fldSimple>
      <w:r>
        <w:rPr>
          <w:rFonts w:ascii="Times New Roman" w:eastAsia="MS Mincho" w:hAnsi="Times New Roman"/>
          <w:sz w:val="20"/>
          <w:i/>
          <w:iCs/>
        </w:rPr>
        <w:t>,
2014-10-07,
paskelbta TAR 2014-10-15, i. k. 2014-14127            </w:t>
      </w:r>
    </w:p>
    <w:p/>
    <w:p>
      <w:pPr>
        <w:widowControl w:val="0"/>
        <w:ind w:firstLine="5102"/>
        <w:rPr>
          <w:color w:val="000000"/>
        </w:rPr>
        <w:sectPr>
          <w:pgSz w:w="11907" w:h="16839" w:code="9"/>
          <w:pgMar w:top="1134" w:right="567" w:bottom="1134" w:left="1701" w:header="567" w:footer="567" w:gutter="0"/>
          <w:pgNumType w:start="1"/>
          <w:cols w:space="1296"/>
          <w:titlePg/>
          <w:docGrid w:linePitch="360"/>
        </w:sectPr>
      </w:pPr>
      <w:r>
        <w:rPr>
          <w:color w:val="000000"/>
        </w:rPr>
        <w:br w:type="page"/>
      </w:r>
    </w:p>
    <w:p>
      <w:pPr>
        <w:widowControl w:val="0"/>
        <w:ind w:firstLine="5102"/>
        <w:rPr>
          <w:color w:val="000000"/>
        </w:rPr>
      </w:pPr>
      <w:r>
        <w:rPr>
          <w:color w:val="000000"/>
        </w:rPr>
        <w:t xml:space="preserve">Lietuvos Respublikos mokesčio už </w:t>
      </w:r>
    </w:p>
    <w:p>
      <w:pPr>
        <w:widowControl w:val="0"/>
        <w:ind w:firstLine="5102"/>
        <w:rPr>
          <w:color w:val="000000"/>
        </w:rPr>
      </w:pPr>
      <w:r>
        <w:rPr>
          <w:color w:val="000000"/>
        </w:rPr>
        <w:t xml:space="preserve">valstybinius gamtos išteklius įstatymo </w:t>
      </w:r>
    </w:p>
    <w:p>
      <w:pPr>
        <w:widowControl w:val="0"/>
        <w:ind w:firstLine="5102"/>
        <w:rPr>
          <w:color w:val="000000"/>
        </w:rPr>
      </w:pPr>
      <w:r>
        <w:rPr>
          <w:color w:val="000000"/>
        </w:rPr>
        <w:t>4</w:t>
      </w:r>
      <w:r>
        <w:rPr>
          <w:color w:val="000000"/>
        </w:rPr>
        <w:t xml:space="preserve"> priedas</w:t>
      </w:r>
    </w:p>
    <w:p>
      <w:pPr>
        <w:widowControl w:val="0"/>
        <w:ind w:right="3400"/>
        <w:rPr>
          <w:i/>
          <w:color w:val="000000"/>
          <w:sz w:val="20"/>
        </w:rPr>
      </w:pPr>
      <w:r>
        <w:rPr>
          <w:i/>
          <w:color w:val="000000"/>
          <w:sz w:val="20"/>
        </w:rPr>
        <w:t>4 priedas neteko galios nuo 2010-01-01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ADD8D250EE">
        <w:r w:rsidRPr="00532B9F">
          <w:rPr>
            <w:rFonts w:ascii="Times New Roman" w:eastAsia="MS Mincho" w:hAnsi="Times New Roman"/>
            <w:sz w:val="20"/>
            <w:i/>
            <w:iCs/>
            <w:color w:val="0000FF" w:themeColor="hyperlink"/>
            <w:u w:val="single"/>
          </w:rPr>
          <w:t>XI-400</w:t>
        </w:r>
      </w:fldSimple>
      <w:r>
        <w:rPr>
          <w:rFonts w:ascii="Times New Roman" w:eastAsia="MS Mincho" w:hAnsi="Times New Roman"/>
          <w:sz w:val="20"/>
          <w:i/>
          <w:iCs/>
        </w:rPr>
        <w:t>,
2009-07-23,
Žin., 2009, Nr.
93-3989 (2009-08-04), i. k. 1091010ISTA00XI-400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BAECEB3544">
        <w:r w:rsidRPr="00532B9F">
          <w:rPr>
            <w:rFonts w:ascii="Times New Roman" w:eastAsia="MS Mincho" w:hAnsi="Times New Roman"/>
            <w:sz w:val="20"/>
            <w:iCs/>
            <w:color w:val="0000FF" w:themeColor="hyperlink"/>
            <w:u w:val="single"/>
          </w:rPr>
          <w:t>I-1313</w:t>
        </w:r>
      </w:fldSimple>
      <w:r>
        <w:rPr>
          <w:rFonts w:ascii="Times New Roman" w:eastAsia="MS Mincho" w:hAnsi="Times New Roman"/>
          <w:sz w:val="20"/>
          <w:iCs/>
        </w:rPr>
        <w:t>,
1996-04-30,
Žin., 1996, Nr.
46-1108 (1996-05-17), i. k. 0961010ISTA00I-1313                </w:t>
      </w:r>
    </w:p>
    <w:p>
      <w:pPr>
        <w:jc w:val="both"/>
        <w:rPr>
          <w:rFonts w:ascii="Times New Roman" w:hAnsi="Times New Roman"/>
        </w:rPr>
      </w:pPr>
      <w:r>
        <w:rPr>
          <w:rFonts w:ascii="Times New Roman" w:hAnsi="Times New Roman"/>
          <w:sz w:val="20"/>
        </w:rPr>
        <w:t>Lietuvos Respublikos mokesčių už valstybinius gamtos išteklius įstatymo 7, 9,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60C8DDC0A2">
        <w:r w:rsidRPr="00532B9F">
          <w:rPr>
            <w:rFonts w:ascii="Times New Roman" w:eastAsia="MS Mincho" w:hAnsi="Times New Roman"/>
            <w:sz w:val="20"/>
            <w:iCs/>
            <w:color w:val="0000FF" w:themeColor="hyperlink"/>
            <w:u w:val="single"/>
          </w:rPr>
          <w:t>VIII-2028</w:t>
        </w:r>
      </w:fldSimple>
      <w:r>
        <w:rPr>
          <w:rFonts w:ascii="Times New Roman" w:eastAsia="MS Mincho" w:hAnsi="Times New Roman"/>
          <w:sz w:val="20"/>
          <w:iCs/>
        </w:rPr>
        <w:t>,
2000-10-12,
Žin., 2000, Nr.
90-2775 (2000-10-27), i. k. 1001010ISTAIII-2028                </w:t>
      </w:r>
    </w:p>
    <w:p>
      <w:pPr>
        <w:jc w:val="both"/>
        <w:rPr>
          <w:rFonts w:ascii="Times New Roman" w:hAnsi="Times New Roman"/>
        </w:rPr>
      </w:pPr>
      <w:r>
        <w:rPr>
          <w:rFonts w:ascii="Times New Roman" w:hAnsi="Times New Roman"/>
          <w:sz w:val="20"/>
        </w:rPr>
        <w:t>Lietuvos Respublikos mokesčių už valstybinius gamtos išteklius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F4340CBBC">
        <w:r w:rsidRPr="00532B9F">
          <w:rPr>
            <w:rFonts w:ascii="Times New Roman" w:eastAsia="MS Mincho" w:hAnsi="Times New Roman"/>
            <w:sz w:val="20"/>
            <w:iCs/>
            <w:color w:val="0000FF" w:themeColor="hyperlink"/>
            <w:u w:val="single"/>
          </w:rPr>
          <w:t>IX-1093</w:t>
        </w:r>
      </w:fldSimple>
      <w:r>
        <w:rPr>
          <w:rFonts w:ascii="Times New Roman" w:eastAsia="MS Mincho" w:hAnsi="Times New Roman"/>
          <w:sz w:val="20"/>
          <w:iCs/>
        </w:rPr>
        <w:t>,
2002-09-19,
Žin., 2002, Nr.
96-4170 (2002-10-04), i. k. 1021010ISTA0IX-1093                </w:t>
      </w:r>
    </w:p>
    <w:p>
      <w:pPr>
        <w:jc w:val="both"/>
        <w:rPr>
          <w:rFonts w:ascii="Times New Roman" w:hAnsi="Times New Roman"/>
        </w:rPr>
      </w:pPr>
      <w:r>
        <w:rPr>
          <w:rFonts w:ascii="Times New Roman" w:hAnsi="Times New Roman"/>
          <w:sz w:val="20"/>
        </w:rPr>
        <w:t>Lietuvos Respublikos mokesčių už valstybinius gamtos išteklius įstatymo 3, 4, 6, 7, 11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2EFB8F5E9C">
        <w:r w:rsidRPr="00532B9F">
          <w:rPr>
            <w:rFonts w:ascii="Times New Roman" w:eastAsia="MS Mincho" w:hAnsi="Times New Roman"/>
            <w:sz w:val="20"/>
            <w:iCs/>
            <w:color w:val="0000FF" w:themeColor="hyperlink"/>
            <w:u w:val="single"/>
          </w:rPr>
          <w:t>IX-1609</w:t>
        </w:r>
      </w:fldSimple>
      <w:r>
        <w:rPr>
          <w:rFonts w:ascii="Times New Roman" w:eastAsia="MS Mincho" w:hAnsi="Times New Roman"/>
          <w:sz w:val="20"/>
          <w:iCs/>
        </w:rPr>
        <w:t>,
2003-06-10,
Žin., 2003, Nr.
61-2762 (2003-06-27), i. k. 1031010ISTA0IX-1609                </w:t>
      </w:r>
    </w:p>
    <w:p>
      <w:pPr>
        <w:jc w:val="both"/>
        <w:rPr>
          <w:rFonts w:ascii="Times New Roman" w:hAnsi="Times New Roman"/>
        </w:rPr>
      </w:pPr>
      <w:r>
        <w:rPr>
          <w:rFonts w:ascii="Times New Roman" w:hAnsi="Times New Roman"/>
          <w:sz w:val="20"/>
        </w:rPr>
        <w:t>Lietuvos Respublikos mokesčių už valstybinius gamtos išteklius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15225C9AC">
        <w:r w:rsidRPr="00532B9F">
          <w:rPr>
            <w:rFonts w:ascii="Times New Roman" w:eastAsia="MS Mincho" w:hAnsi="Times New Roman"/>
            <w:sz w:val="20"/>
            <w:iCs/>
            <w:color w:val="0000FF" w:themeColor="hyperlink"/>
            <w:u w:val="single"/>
          </w:rPr>
          <w:t>X-616</w:t>
        </w:r>
      </w:fldSimple>
      <w:r>
        <w:rPr>
          <w:rFonts w:ascii="Times New Roman" w:eastAsia="MS Mincho" w:hAnsi="Times New Roman"/>
          <w:sz w:val="20"/>
          <w:iCs/>
        </w:rPr>
        <w:t>,
2006-05-25,
Žin., 2006, Nr.
65-2382 (2006-06-10), i. k. 1061010ISTA000X-616                </w:t>
      </w:r>
    </w:p>
    <w:p>
      <w:pPr>
        <w:jc w:val="both"/>
        <w:rPr>
          <w:rFonts w:ascii="Times New Roman" w:hAnsi="Times New Roman"/>
        </w:rPr>
      </w:pPr>
      <w:r>
        <w:rPr>
          <w:rFonts w:ascii="Times New Roman" w:hAnsi="Times New Roman"/>
          <w:sz w:val="20"/>
        </w:rPr>
        <w:t>Lietuvos Respublikos mokesčių už valstybinius gamtos išteklius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50E6DF2AFC2">
        <w:r w:rsidRPr="00532B9F">
          <w:rPr>
            <w:rFonts w:ascii="Times New Roman" w:eastAsia="MS Mincho" w:hAnsi="Times New Roman"/>
            <w:sz w:val="20"/>
            <w:iCs/>
            <w:color w:val="0000FF" w:themeColor="hyperlink"/>
            <w:u w:val="single"/>
          </w:rPr>
          <w:t>X-1658</w:t>
        </w:r>
      </w:fldSimple>
      <w:r>
        <w:rPr>
          <w:rFonts w:ascii="Times New Roman" w:eastAsia="MS Mincho" w:hAnsi="Times New Roman"/>
          <w:sz w:val="20"/>
          <w:iCs/>
        </w:rPr>
        <w:t>,
2008-07-01,
Žin., 2008, Nr.
81-3170 (2008-07-17), i. k. 1081010ISTA00X-1658                </w:t>
      </w:r>
    </w:p>
    <w:p>
      <w:pPr>
        <w:jc w:val="both"/>
        <w:rPr>
          <w:rFonts w:ascii="Times New Roman" w:hAnsi="Times New Roman"/>
        </w:rPr>
      </w:pPr>
      <w:r>
        <w:rPr>
          <w:rFonts w:ascii="Times New Roman" w:hAnsi="Times New Roman"/>
          <w:sz w:val="20"/>
        </w:rPr>
        <w:t>Lietuvos Respublikos mokesčio už valstybinius gamtos išteklius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ADD8D250EE">
        <w:r w:rsidRPr="00532B9F">
          <w:rPr>
            <w:rFonts w:ascii="Times New Roman" w:eastAsia="MS Mincho" w:hAnsi="Times New Roman"/>
            <w:sz w:val="20"/>
            <w:iCs/>
            <w:color w:val="0000FF" w:themeColor="hyperlink"/>
            <w:u w:val="single"/>
          </w:rPr>
          <w:t>XI-400</w:t>
        </w:r>
      </w:fldSimple>
      <w:r>
        <w:rPr>
          <w:rFonts w:ascii="Times New Roman" w:eastAsia="MS Mincho" w:hAnsi="Times New Roman"/>
          <w:sz w:val="20"/>
          <w:iCs/>
        </w:rPr>
        <w:t>,
2009-07-23,
Žin., 2009, Nr.
93-3989 (2009-08-04), i. k. 1091010ISTA00XI-400                </w:t>
      </w:r>
    </w:p>
    <w:p>
      <w:pPr>
        <w:jc w:val="both"/>
        <w:rPr>
          <w:rFonts w:ascii="Times New Roman" w:hAnsi="Times New Roman"/>
        </w:rPr>
      </w:pPr>
      <w:r>
        <w:rPr>
          <w:rFonts w:ascii="Times New Roman" w:hAnsi="Times New Roman"/>
          <w:sz w:val="20"/>
        </w:rPr>
        <w:t>Lietuvos Respublikos mokesčio už valstybinius gamtos išteklius įstatymo 4, 6, 7 straipsnių ir 1, 2 priedų pakeitimo bei 4 priedo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1633499EE15">
        <w:r w:rsidRPr="00532B9F">
          <w:rPr>
            <w:rFonts w:ascii="Times New Roman" w:eastAsia="MS Mincho" w:hAnsi="Times New Roman"/>
            <w:sz w:val="20"/>
            <w:iCs/>
            <w:color w:val="0000FF" w:themeColor="hyperlink"/>
            <w:u w:val="single"/>
          </w:rPr>
          <w:t>XI-1120</w:t>
        </w:r>
      </w:fldSimple>
      <w:r>
        <w:rPr>
          <w:rFonts w:ascii="Times New Roman" w:eastAsia="MS Mincho" w:hAnsi="Times New Roman"/>
          <w:sz w:val="20"/>
          <w:iCs/>
        </w:rPr>
        <w:t>,
2010-11-12,
Žin., 2010, Nr.
139-7104 (2010-11-27), i. k. 1101010ISTA0XI-1120                </w:t>
      </w:r>
    </w:p>
    <w:p>
      <w:pPr>
        <w:jc w:val="both"/>
        <w:rPr>
          <w:rFonts w:ascii="Times New Roman" w:hAnsi="Times New Roman"/>
        </w:rPr>
      </w:pPr>
      <w:r>
        <w:rPr>
          <w:rFonts w:ascii="Times New Roman" w:hAnsi="Times New Roman"/>
          <w:sz w:val="20"/>
        </w:rPr>
        <w:t>Lietuvos Respublikos mokesčio už valstybinius gamtos išteklius įstatymo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462DCBC70B5">
        <w:r w:rsidRPr="00532B9F">
          <w:rPr>
            <w:rFonts w:ascii="Times New Roman" w:eastAsia="MS Mincho" w:hAnsi="Times New Roman"/>
            <w:sz w:val="20"/>
            <w:iCs/>
            <w:color w:val="0000FF" w:themeColor="hyperlink"/>
            <w:u w:val="single"/>
          </w:rPr>
          <w:t>XI-1818</w:t>
        </w:r>
      </w:fldSimple>
      <w:r>
        <w:rPr>
          <w:rFonts w:ascii="Times New Roman" w:eastAsia="MS Mincho" w:hAnsi="Times New Roman"/>
          <w:sz w:val="20"/>
          <w:iCs/>
        </w:rPr>
        <w:t>,
2011-12-20,
Žin., 2011, Nr.
161-7617 (2011-12-29), i. k. 1111010ISTA0XI-1818                </w:t>
      </w:r>
    </w:p>
    <w:p>
      <w:pPr>
        <w:jc w:val="both"/>
        <w:rPr>
          <w:rFonts w:ascii="Times New Roman" w:hAnsi="Times New Roman"/>
        </w:rPr>
      </w:pPr>
      <w:r>
        <w:rPr>
          <w:rFonts w:ascii="Times New Roman" w:hAnsi="Times New Roman"/>
          <w:sz w:val="20"/>
        </w:rPr>
        <w:t>Lietuvos Respublikos mokesčio už valstybinius gamtos išteklius įstatymo 6, 7 straipsnių ir 1, 2 priedų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4ec5840cfa111e3a8ded1a0f5aff0a9">
        <w:r w:rsidRPr="00532B9F">
          <w:rPr>
            <w:rFonts w:ascii="Times New Roman" w:eastAsia="MS Mincho" w:hAnsi="Times New Roman"/>
            <w:sz w:val="20"/>
            <w:iCs/>
            <w:color w:val="0000FF" w:themeColor="hyperlink"/>
            <w:u w:val="single"/>
          </w:rPr>
          <w:t>XII-835</w:t>
        </w:r>
      </w:fldSimple>
      <w:r>
        <w:rPr>
          <w:rFonts w:ascii="Times New Roman" w:eastAsia="MS Mincho" w:hAnsi="Times New Roman"/>
          <w:sz w:val="20"/>
          <w:iCs/>
        </w:rPr>
        <w:t>,
2014-04-17,
paskelbta TAR 2014-04-29, i. k. 2014-04869                </w:t>
      </w:r>
    </w:p>
    <w:p>
      <w:pPr>
        <w:jc w:val="both"/>
        <w:rPr>
          <w:rFonts w:ascii="Times New Roman" w:hAnsi="Times New Roman"/>
        </w:rPr>
      </w:pPr>
      <w:r>
        <w:rPr>
          <w:rFonts w:ascii="Times New Roman" w:hAnsi="Times New Roman"/>
          <w:sz w:val="20"/>
        </w:rPr>
        <w:t>Lietuvos Respublikos mokesčio už valstybinius gamtos išteklius įstatymo Nr. I-1163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a100630544211e48329c4b5fc070a74">
        <w:r w:rsidRPr="00532B9F">
          <w:rPr>
            <w:rFonts w:ascii="Times New Roman" w:eastAsia="MS Mincho" w:hAnsi="Times New Roman"/>
            <w:sz w:val="20"/>
            <w:iCs/>
            <w:color w:val="0000FF" w:themeColor="hyperlink"/>
            <w:u w:val="single"/>
          </w:rPr>
          <w:t>XII-1196</w:t>
        </w:r>
      </w:fldSimple>
      <w:r>
        <w:rPr>
          <w:rFonts w:ascii="Times New Roman" w:eastAsia="MS Mincho" w:hAnsi="Times New Roman"/>
          <w:sz w:val="20"/>
          <w:iCs/>
        </w:rPr>
        <w:t>,
2014-10-07,
paskelbta TAR 2014-10-15, i. k. 2014-14127                </w:t>
      </w:r>
    </w:p>
    <w:p>
      <w:pPr>
        <w:jc w:val="both"/>
        <w:rPr>
          <w:rFonts w:ascii="Times New Roman" w:hAnsi="Times New Roman"/>
        </w:rPr>
      </w:pPr>
      <w:r>
        <w:rPr>
          <w:rFonts w:ascii="Times New Roman" w:hAnsi="Times New Roman"/>
          <w:sz w:val="20"/>
        </w:rPr>
        <w:t>Lietuvos Respublikos mokesčio už valstybinius gamtos išteklius įstatymo Nr. I-1163 1, 2 ir 3 priedų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7954af09f4d11e58fd1fc0b9bba68a7">
        <w:r w:rsidRPr="00532B9F">
          <w:rPr>
            <w:rFonts w:ascii="Times New Roman" w:eastAsia="MS Mincho" w:hAnsi="Times New Roman"/>
            <w:sz w:val="20"/>
            <w:iCs/>
            <w:color w:val="0000FF" w:themeColor="hyperlink"/>
            <w:u w:val="single"/>
          </w:rPr>
          <w:t>XII-2148</w:t>
        </w:r>
      </w:fldSimple>
      <w:r>
        <w:rPr>
          <w:rFonts w:ascii="Times New Roman" w:eastAsia="MS Mincho" w:hAnsi="Times New Roman"/>
          <w:sz w:val="20"/>
          <w:iCs/>
        </w:rPr>
        <w:t>,
2015-12-08,
paskelbta TAR 2015-12-10, i. k. 2015-19625                </w:t>
      </w:r>
    </w:p>
    <w:p>
      <w:pPr>
        <w:jc w:val="both"/>
        <w:rPr>
          <w:rFonts w:ascii="Times New Roman" w:hAnsi="Times New Roman"/>
        </w:rPr>
      </w:pPr>
      <w:r>
        <w:rPr>
          <w:rFonts w:ascii="Times New Roman" w:hAnsi="Times New Roman"/>
          <w:sz w:val="20"/>
        </w:rPr>
        <w:t>Lietuvos Respublikos mokesčio už valstybinius gamtos išteklius įstatymo Nr. I-1163 6 straipsnio ir 1, 2 priedų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ddb8660a3ef11e58fd1fc0b9bba68a7">
        <w:r w:rsidRPr="00532B9F">
          <w:rPr>
            <w:rFonts w:ascii="Times New Roman" w:eastAsia="MS Mincho" w:hAnsi="Times New Roman"/>
            <w:sz w:val="20"/>
            <w:iCs/>
            <w:color w:val="0000FF" w:themeColor="hyperlink"/>
            <w:u w:val="single"/>
          </w:rPr>
          <w:t>XII-2155</w:t>
        </w:r>
      </w:fldSimple>
      <w:r>
        <w:rPr>
          <w:rFonts w:ascii="Times New Roman" w:eastAsia="MS Mincho" w:hAnsi="Times New Roman"/>
          <w:sz w:val="20"/>
          <w:iCs/>
        </w:rPr>
        <w:t>,
2015-12-10,
paskelbta TAR 2015-12-16, i. k. 2015-19851                </w:t>
      </w:r>
    </w:p>
    <w:p>
      <w:pPr>
        <w:jc w:val="both"/>
        <w:rPr>
          <w:rFonts w:ascii="Times New Roman" w:hAnsi="Times New Roman"/>
        </w:rPr>
      </w:pPr>
      <w:r>
        <w:rPr>
          <w:rFonts w:ascii="Times New Roman" w:hAnsi="Times New Roman"/>
          <w:sz w:val="20"/>
        </w:rPr>
        <w:t>Lietuvos Respublikos mokesčio už valstybinius gamtos išteklius įstatymo Nr. I-1163 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w:instrText>
    </w:r>
    <w:r>
      <w:instrText xml:space="preserve"> MERGEFORMAT</w:instrText>
    </w:r>
    <w:r>
      <w:fldChar w:fldCharType="separate"/>
    </w:r>
    <w:r>
      <w:t>5</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w:instrText>
    </w:r>
    <w:r>
      <w:instrText xml:space="preserve"> MERGEFORMAT</w:instrText>
    </w:r>
    <w:r>
      <w:fldChar w:fldCharType="separate"/>
    </w:r>
    <w:r>
      <w:t>5</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39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7</Pages>
  <Words>7792</Words>
  <Characters>4442</Characters>
  <Application>Microsoft Office Word</Application>
  <DocSecurity>0</DocSecurity>
  <Lines>37</Lines>
  <Paragraphs>24</Paragraphs>
  <ScaleCrop>false</ScaleCrop>
  <Company/>
  <LinksUpToDate>false</LinksUpToDate>
  <CharactersWithSpaces>12210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2015-10-04T01:19:00Z</dcterms:created>
  <dc:creator>Tadeuš Buivid</dc:creator>
  <lastModifiedBy>TRAPINSKIENĖ Aušrinė</lastModifiedBy>
  <dcterms:modified xsi:type="dcterms:W3CDTF">2018-09-11T08:41:00Z</dcterms:modified>
  <revision>31</revision>
</coreProperties>
</file>