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0c40ab1955a449ea7ec4245d645b9d9"/>
        <w:lock w:val="sdtLocked"/>
        <w:richText/>
      </w:sdtPr>
      <w:sdtContent>
        <w:p>
          <w:pPr>
            <w:jc w:val="both"/>
            <w:rPr>
              <w:rFonts w:ascii="Times New Roman" w:hAnsi="Times New Roman"/>
            </w:rPr>
          </w:pPr>
          <w:r>
            <w:rPr>
              <w:rFonts w:ascii="Times New Roman" w:hAnsi="Times New Roman"/>
              <w:b/>
              <w:i/>
            </w:rPr>
            <w:t>Suvestinė redakcija nuo 2016-10-07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6ab334eec6c84204875f943432cace71"/>
                <w:lock w:val="sdtLocked"/>
                <w:richText/>
              </w:sdtPr>
              <w:sdtContent>
                <w:p>
                  <w:pPr>
                    <w:widowControl w:val="0"/>
                    <w:suppressAutoHyphens/>
                    <w:ind w:firstLine="709"/>
                    <w:jc w:val="both"/>
                    <w:rPr>
                      <w:color w:val="000000"/>
                    </w:rPr>
                  </w:pPr>
                  <w:sdt>
                    <w:sdtPr>
                      <w:alias w:val="Numeris"/>
                      <w:tag w:val="nr_6ab334eec6c84204875f943432cace71"/>
                      <w:lock w:val="sdtLocked"/>
                      <w:richText/>
                    </w:sdtPr>
                    <w:sdtContent>
                      <w:r>
                        <w:rPr>
                          <w:color w:val="000000"/>
                        </w:rPr>
                        <w:t>1</w:t>
                      </w:r>
                    </w:sdtContent>
                  </w:sdt>
                  <w:r>
                    <w:rPr>
                      <w:color w:val="000000"/>
                    </w:rPr>
                    <w:t>. Programos tikslas – finansuoti aplinkosaugos ir kitas priemones, numatytas šio įstatymo 4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1584319641fe405091cf13c6cfee03f9"/>
                    <w:lock w:val="sdtLocked"/>
                    <w:richText/>
                  </w:sdtPr>
                  <w:sdtContent>
                    <w:p>
                      <w:pPr>
                        <w:suppressAutoHyphens/>
                        <w:ind w:firstLine="720"/>
                        <w:jc w:val="both"/>
                        <w:rPr>
                          <w:color w:val="000000"/>
                        </w:rPr>
                      </w:pPr>
                      <w:sdt>
                        <w:sdtPr>
                          <w:alias w:val="Numeris"/>
                          <w:tag w:val="nr_1584319641fe405091cf13c6cfee03f9"/>
                          <w:lock w:val="sdtLocked"/>
                          <w:richText/>
                        </w:sdtPr>
                        <w:sdtContent>
                          <w:r>
                            <w:rPr>
                              <w:szCs w:val="24"/>
                              <w:shd w:val="clear" w:color="auto" w:fill="FFFFFF"/>
                              <w:lang w:eastAsia="lt-LT"/>
                            </w:rPr>
                            <w:t>2</w:t>
                          </w:r>
                        </w:sdtContent>
                      </w:sdt>
                      <w:r>
                        <w:rPr>
                          <w:szCs w:val="24"/>
                          <w:shd w:val="clear" w:color="auto" w:fill="FFFFFF"/>
                          <w:lang w:eastAsia="lt-LT"/>
                        </w:rPr>
                        <w:t xml:space="preserve">) lėšos iš sumokėtų </w:t>
                      </w:r>
                      <w:r>
                        <w:rPr>
                          <w:bCs/>
                          <w:szCs w:val="24"/>
                          <w:lang w:eastAsia="ar-SA"/>
                        </w:rPr>
                        <w:t>Lietuvos Respublikos</w:t>
                      </w:r>
                      <w:r>
                        <w:rPr>
                          <w:szCs w:val="24"/>
                          <w:shd w:val="clear" w:color="auto" w:fill="FFFFFF"/>
                          <w:lang w:eastAsia="lt-LT"/>
                        </w:rPr>
                        <w:t xml:space="preserve"> administracinių teisės pažeidimų kodekse ir </w:t>
                      </w:r>
                      <w:r>
                        <w:rPr>
                          <w:bCs/>
                          <w:szCs w:val="24"/>
                          <w:lang w:eastAsia="ar-SA"/>
                        </w:rPr>
                        <w:t>Lietuvos Respublikos</w:t>
                      </w:r>
                      <w:r>
                        <w:rPr>
                          <w:szCs w:val="24"/>
                          <w:shd w:val="clear" w:color="auto" w:fill="FFFFFF"/>
                          <w:lang w:eastAsia="lt-LT"/>
                        </w:rPr>
                        <w:t xml:space="preserve"> baudžiamajame kodekse nustatytų baudų už aplinkos apsaugos įstatymų ar kitų aplinkos apsaugą reglamentuojančių teisės aktų pažeidimus, </w:t>
                      </w:r>
                      <w:r>
                        <w:rPr>
                          <w:bCs/>
                          <w:szCs w:val="24"/>
                          <w:shd w:val="clear" w:color="auto" w:fill="FFFFFF"/>
                          <w:lang w:eastAsia="lt-LT"/>
                        </w:rPr>
                        <w:t xml:space="preserve">taip pat </w:t>
                      </w:r>
                      <w:r>
                        <w:rPr>
                          <w:bCs/>
                          <w:szCs w:val="24"/>
                          <w:lang w:eastAsia="lt-LT"/>
                        </w:rPr>
                        <w:t>lėšos iš juridinių asmenų (</w:t>
                      </w:r>
                      <w:r>
                        <w:rPr>
                          <w:szCs w:val="24"/>
                          <w:lang w:eastAsia="ar-SA"/>
                        </w:rPr>
                        <w:t xml:space="preserve">įskaitant </w:t>
                      </w:r>
                      <w:r>
                        <w:rPr>
                          <w:bCs/>
                          <w:szCs w:val="24"/>
                          <w:lang w:eastAsia="ar-SA"/>
                        </w:rPr>
                        <w:t>užsienio</w:t>
                      </w:r>
                      <w:r>
                        <w:rPr>
                          <w:szCs w:val="24"/>
                          <w:lang w:eastAsia="ar-SA"/>
                        </w:rPr>
                        <w:t xml:space="preserve"> valstybių juridinius asmenis ir kitas organizacijas, taip pat šių juridinių asmenų ir organizacijų padalinius)</w:t>
                      </w:r>
                      <w:r>
                        <w:rPr>
                          <w:bCs/>
                          <w:szCs w:val="24"/>
                          <w:lang w:eastAsia="lt-LT"/>
                        </w:rPr>
                        <w:t xml:space="preserve"> sumokėtų baudų už aplinkos apsaugą ir gamtos išteklių naudojimą reglamentuojančių teisės aktų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dac3d00ba511e6a238c18f7a3f1736">
                        <w:r w:rsidRPr="00532B9F">
                          <w:rPr>
                            <w:rFonts w:ascii="Times New Roman" w:eastAsia="MS Mincho" w:hAnsi="Times New Roman"/>
                            <w:sz w:val="20"/>
                            <w:i/>
                            <w:iCs/>
                            <w:color w:val="0000FF" w:themeColor="hyperlink"/>
                            <w:u w:val="single"/>
                          </w:rPr>
                          <w:t>XII-2297</w:t>
                        </w:r>
                      </w:fldSimple>
                      <w:r>
                        <w:rPr>
                          <w:rFonts w:ascii="Times New Roman" w:eastAsia="MS Mincho" w:hAnsi="Times New Roman"/>
                          <w:sz w:val="20"/>
                          <w:i/>
                          <w:iCs/>
                        </w:rPr>
                        <w:t>,
2016-04-14,
paskelbta TAR 2016-04-26, i. k. 2016-10401            </w:t>
                      </w:r>
                    </w:p>
                    <w:p/>
                  </w:sdtContent>
                </w:sdt>
                <w:sdt>
                  <w:sdtPr>
                    <w:alias w:val="3 str. 1 d. 3 p."/>
                    <w:tag w:val="part_778eb74fda114c5596465845a53f210c"/>
                    <w:lock w:val="sdtLocked"/>
                    <w:richText/>
                  </w:sdtPr>
                  <w:sdtContent>
                    <w:p>
                      <w:pPr>
                        <w:ind w:firstLine="720"/>
                        <w:jc w:val="both"/>
                        <w:rPr>
                          <w:color w:val="000000"/>
                        </w:rPr>
                      </w:pPr>
                      <w:sdt>
                        <w:sdtPr>
                          <w:alias w:val="Numeris"/>
                          <w:tag w:val="nr_778eb74fda114c5596465845a53f210c"/>
                          <w:lock w:val="sdtLocked"/>
                          <w:richText/>
                        </w:sdtPr>
                        <w:sdtContent>
                          <w:r>
                            <w:rPr>
                              <w:szCs w:val="24"/>
                              <w:lang w:eastAsia="lt-LT"/>
                            </w:rPr>
                            <w:t>3</w:t>
                          </w:r>
                        </w:sdtContent>
                      </w:sdt>
                      <w:r>
                        <w:rPr>
                          <w:szCs w:val="24"/>
                          <w:lang w:eastAsia="lt-LT"/>
                        </w:rPr>
                        <w:t>) lėšos, gautos kaip didesnio tarifo mokestis už aplinkos teršimą, kai šis mokestis taikomas už nuslėptą teršalų</w:t>
                      </w:r>
                      <w:r>
                        <w:rPr>
                          <w:bCs/>
                          <w:szCs w:val="24"/>
                          <w:lang w:eastAsia="lt-LT"/>
                        </w:rPr>
                        <w:t>, sunaudotų degalų, sąvartyne pašalintų atliekų</w:t>
                      </w:r>
                      <w:r>
                        <w:rPr>
                          <w:szCs w:val="24"/>
                          <w:lang w:eastAsia="lt-LT"/>
                        </w:rPr>
                        <w:t xml:space="preserve"> ir apmokestinamųjų gaminių bei </w:t>
                      </w:r>
                      <w:r>
                        <w:rPr>
                          <w:bCs/>
                          <w:szCs w:val="24"/>
                          <w:lang w:eastAsia="lt-LT"/>
                        </w:rPr>
                        <w:t xml:space="preserve">pripildytos gaminių </w:t>
                      </w:r>
                      <w:r>
                        <w:rPr>
                          <w:szCs w:val="24"/>
                          <w:lang w:eastAsia="lt-LT"/>
                        </w:rPr>
                        <w:t>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6D42A988FC">
                        <w:r w:rsidRPr="00532B9F">
                          <w:rPr>
                            <w:rFonts w:ascii="Times New Roman" w:eastAsia="MS Mincho" w:hAnsi="Times New Roman"/>
                            <w:sz w:val="20"/>
                            <w:i/>
                            <w:iCs/>
                            <w:color w:val="0000FF" w:themeColor="hyperlink"/>
                            <w:u w:val="single"/>
                          </w:rPr>
                          <w:t>IX-2380</w:t>
                        </w:r>
                      </w:fldSimple>
                      <w:r>
                        <w:rPr>
                          <w:rFonts w:ascii="Times New Roman" w:eastAsia="MS Mincho" w:hAnsi="Times New Roman"/>
                          <w:sz w:val="20"/>
                          <w:i/>
                          <w:iCs/>
                        </w:rPr>
                        <w:t>,
2004-07-15,
Žin., 2004, Nr.
116-4328 (2004-07-27), i. k. 1041010ISTA0IX-2380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3b2208b8d11e6b969d7ae07280e89">
                        <w:r w:rsidRPr="00532B9F">
                          <w:rPr>
                            <w:rFonts w:ascii="Times New Roman" w:eastAsia="MS Mincho" w:hAnsi="Times New Roman"/>
                            <w:sz w:val="20"/>
                            <w:i/>
                            <w:iCs/>
                            <w:color w:val="0000FF" w:themeColor="hyperlink"/>
                            <w:u w:val="single"/>
                          </w:rPr>
                          <w:t>XII-2644</w:t>
                        </w:r>
                      </w:fldSimple>
                      <w:r>
                        <w:rPr>
                          <w:rFonts w:ascii="Times New Roman" w:eastAsia="MS Mincho" w:hAnsi="Times New Roman"/>
                          <w:sz w:val="20"/>
                          <w:i/>
                          <w:iCs/>
                        </w:rPr>
                        <w:t>,
2016-09-27,
paskelbta TAR 2016-10-06, i. k. 2016-24684            </w:t>
                      </w:r>
                    </w:p>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c55a2331fd374ebb8fd8940153fcefac"/>
                    <w:lock w:val="sdtLocked"/>
                    <w:richText/>
                  </w:sdtPr>
                  <w:sdtContent>
                    <w:p>
                      <w:pPr>
                        <w:ind w:firstLine="709"/>
                        <w:jc w:val="both"/>
                        <w:rPr>
                          <w:color w:val="000000"/>
                        </w:rPr>
                      </w:pPr>
                      <w:sdt>
                        <w:sdtPr>
                          <w:alias w:val="Numeris"/>
                          <w:tag w:val="nr_c55a2331fd374ebb8fd8940153fcefac"/>
                          <w:lock w:val="sdtLocked"/>
                          <w:richText/>
                        </w:sdtPr>
                        <w:sdtContent>
                          <w:r>
                            <w:t>5</w:t>
                          </w:r>
                        </w:sdtContent>
                      </w:sdt>
                      <w:r>
                        <w:t>) asmenų, kurie užsiima žvejyba vidaus vandenyse, lėšos, skirtos žuvų ištekliams atkurti ir išsaugoti;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F761328A19">
                        <w:r w:rsidRPr="00532B9F">
                          <w:rPr>
                            <w:rFonts w:ascii="Times New Roman" w:eastAsia="MS Mincho" w:hAnsi="Times New Roman"/>
                            <w:sz w:val="20"/>
                            <w:i/>
                            <w:iCs/>
                            <w:color w:val="0000FF" w:themeColor="hyperlink"/>
                            <w:u w:val="single"/>
                          </w:rPr>
                          <w:t>X-1728</w:t>
                        </w:r>
                      </w:fldSimple>
                      <w:r>
                        <w:rPr>
                          <w:rFonts w:ascii="Times New Roman" w:eastAsia="MS Mincho" w:hAnsi="Times New Roman"/>
                          <w:sz w:val="20"/>
                          <w:i/>
                          <w:iCs/>
                        </w:rPr>
                        <w:t>,
2008-09-22,
Žin., 2008, Nr.
117-4444 (2008-10-11), i. k. 1081010ISTA00X-1728            </w:t>
                      </w:r>
                    </w:p>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1d996079798249d8bded9197068d751f"/>
                    <w:lock w:val="sdtLocked"/>
                    <w:richText/>
                  </w:sdtPr>
                  <w:sdtContent>
                    <w:p>
                      <w:pPr>
                        <w:widowControl w:val="0"/>
                        <w:suppressAutoHyphens/>
                        <w:ind w:firstLine="708"/>
                        <w:jc w:val="both"/>
                        <w:rPr>
                          <w:color w:val="000000"/>
                        </w:rPr>
                      </w:pPr>
                      <w:sdt>
                        <w:sdtPr>
                          <w:alias w:val="Numeris"/>
                          <w:tag w:val="nr_1d996079798249d8bded9197068d751f"/>
                          <w:lock w:val="sdtLocked"/>
                          <w:richText/>
                        </w:sdtPr>
                        <w:sdtContent>
                          <w:r>
                            <w:rPr>
                              <w:color w:val="000000"/>
                            </w:rPr>
                            <w:t>7</w:t>
                          </w:r>
                        </w:sdtContent>
                      </w:sdt>
                      <w:r>
                        <w:rPr>
                          <w:color w:val="000000"/>
                        </w:rPr>
                        <w:t>) juridinių ir fizinių asmenų, kurių ūkinė veikla daro neigiamą poveikį žuvų ištekliams, lėšos, skirtos šiam poveikiui kompensuoti;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sdt>
                  <w:sdtPr>
                    <w:alias w:val="8 p."/>
                    <w:tag w:val="part_08930f30a6894a8687f307d052c8c14e"/>
                    <w:lock w:val="sdtLocked"/>
                    <w:richText/>
                  </w:sdtPr>
                  <w:sdtContent>
                    <w:p>
                      <w:pPr>
                        <w:ind w:firstLine="708"/>
                        <w:jc w:val="both"/>
                        <w:rPr>
                          <w:color w:val="000000"/>
                        </w:rPr>
                      </w:pPr>
                      <w:sdt>
                        <w:sdtPr>
                          <w:alias w:val="Numeris"/>
                          <w:tag w:val="nr_08930f30a6894a8687f307d052c8c14e"/>
                          <w:lock w:val="sdtLocked"/>
                          <w:richText/>
                        </w:sdtPr>
                        <w:sdtContent>
                          <w:r>
                            <w:rPr>
                              <w:color w:val="000000"/>
                            </w:rPr>
                            <w:t>8</w:t>
                          </w:r>
                        </w:sdtContent>
                      </w:sdt>
                      <w:r>
                        <w:rPr>
                          <w:color w:val="000000"/>
                        </w:rPr>
                        <w:t>) 30 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731e720570894d04bb40e2d6339633f8"/>
                    <w:lock w:val="sdtLocked"/>
                    <w:richText/>
                  </w:sdtPr>
                  <w:sdtContent>
                    <w:p>
                      <w:pPr>
                        <w:widowControl w:val="0"/>
                        <w:suppressAutoHyphens/>
                        <w:ind w:firstLine="708"/>
                        <w:jc w:val="both"/>
                        <w:rPr>
                          <w:color w:val="000000"/>
                        </w:rPr>
                      </w:pPr>
                      <w:sdt>
                        <w:sdtPr>
                          <w:alias w:val="Numeris"/>
                          <w:tag w:val="nr_731e720570894d04bb40e2d6339633f8"/>
                          <w:lock w:val="sdtLocked"/>
                          <w:richText/>
                        </w:sdtPr>
                        <w:sdtContent>
                          <w:r>
                            <w:rPr>
                              <w:color w:val="000000"/>
                            </w:rPr>
                            <w:t>10</w:t>
                          </w:r>
                        </w:sdtContent>
                      </w:sdt>
                      <w:r>
                        <w:rPr>
                          <w:color w:val="000000"/>
                        </w:rPr>
                        <w:t>) savanoriškos juridinių ir fizinių asmenų įmokos;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11 p."/>
                    <w:tag w:val="part_137a6af6cb424e35ad9faec066ae95bf"/>
                    <w:lock w:val="sdtLocked"/>
                    <w:richText/>
                  </w:sdtPr>
                  <w:sdtContent>
                    <w:p>
                      <w:pPr>
                        <w:widowControl w:val="0"/>
                        <w:suppressAutoHyphens/>
                        <w:ind w:firstLine="708"/>
                        <w:jc w:val="both"/>
                      </w:pPr>
                      <w:sdt>
                        <w:sdtPr>
                          <w:alias w:val="Numeris"/>
                          <w:tag w:val="nr_137a6af6cb424e35ad9faec066ae95bf"/>
                          <w:lock w:val="sdtLocked"/>
                          <w:richText/>
                        </w:sdtPr>
                        <w:sdtContent>
                          <w:r>
                            <w:rPr>
                              <w:color w:val="000000"/>
                            </w:rPr>
                            <w:t>11</w:t>
                          </w:r>
                        </w:sdtContent>
                      </w:sdt>
                      <w:r>
                        <w:rPr>
                          <w:color w:val="000000"/>
                        </w:rPr>
                        <w:t>) lėšos iš sumokėtų Statybos įstatyme, Administracinių teisės pažeidimų kodekse nustatytų baudų už statinių statybą reglamentuojančių teisės aktų pažeidimus, taip pat lėšos iš sumokėtų įmokų už savavališkų statybų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12 p."/>
                    <w:tag w:val="part_ebf6d3c3ba87465aaa1db8c7af3b51bb"/>
                    <w:lock w:val="sdtLocked"/>
                    <w:richText/>
                  </w:sdtPr>
                  <w:sdtContent>
                    <w:p>
                      <w:pPr>
                        <w:widowControl w:val="0"/>
                        <w:suppressAutoHyphens/>
                        <w:ind w:firstLine="709"/>
                        <w:jc w:val="both"/>
                        <w:rPr>
                          <w:color w:val="000000"/>
                        </w:rPr>
                      </w:pPr>
                      <w:sdt>
                        <w:sdtPr>
                          <w:alias w:val="Numeris"/>
                          <w:tag w:val="nr_ebf6d3c3ba87465aaa1db8c7af3b51bb"/>
                          <w:lock w:val="sdtLocked"/>
                          <w:richText/>
                        </w:sdtPr>
                        <w:sdtContent>
                          <w:r>
                            <w:rPr>
                              <w:color w:val="000000"/>
                            </w:rPr>
                            <w:t>12</w:t>
                          </w:r>
                        </w:sdtContent>
                      </w:sdt>
                      <w:r>
                        <w:rPr>
                          <w:color w:val="000000"/>
                        </w:rPr>
                        <w:t>) už savavališkai pastatytų ar savavališkai statomų statinių, statinių, pastatytų ar statomų pagal neteisėtai išduotus statybą leidžiančius dokumentus, nugriovimą, savavališkai ar pagal neteisėtai išduotus statybą leidžiančius dokumentus perstatytų ar pertvarkytų statinio dalių išardymą ar nugriauto kultūros paveldo statinio (jo dalies) atstatymą pagal teismo sprendimą iš kaltų asmenų išieškotos lėšos;</w:t>
                      </w:r>
                      <w:r>
                        <w:rPr>
                          <w:b/>
                          <w:bCs/>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3 str. 1 d. 13 p."/>
                    <w:tag w:val="part_b675900ae6e047c788447b407e8c1dea"/>
                    <w:lock w:val="sdtLocked"/>
                    <w:richText/>
                  </w:sdtPr>
                  <w:sdtContent>
                    <w:p>
                      <w:pPr>
                        <w:ind w:firstLine="708"/>
                        <w:jc w:val="both"/>
                      </w:pPr>
                      <w:sdt>
                        <w:sdtPr>
                          <w:alias w:val="Numeris"/>
                          <w:tag w:val="nr_b675900ae6e047c788447b407e8c1dea"/>
                          <w:lock w:val="sdtLocked"/>
                          <w:richText/>
                        </w:sdtPr>
                        <w:sdtContent>
                          <w:r>
                            <w:rPr>
                              <w:color w:val="000000"/>
                            </w:rPr>
                            <w:t>13</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4e56294e63ac48ed962e0f14546223f0"/>
                <w:lock w:val="sdtLocked"/>
                <w:richText/>
              </w:sdtPr>
              <w:sdtContent>
                <w:p>
                  <w:pPr>
                    <w:widowControl w:val="0"/>
                    <w:suppressAutoHyphens/>
                    <w:ind w:firstLine="709"/>
                    <w:jc w:val="both"/>
                    <w:rPr>
                      <w:color w:val="000000"/>
                    </w:rPr>
                  </w:pPr>
                  <w:sdt>
                    <w:sdtPr>
                      <w:alias w:val="Numeris"/>
                      <w:tag w:val="nr_4e56294e63ac48ed962e0f14546223f0"/>
                      <w:lock w:val="sdtLocked"/>
                      <w:richText/>
                    </w:sdtPr>
                    <w:sdtContent>
                      <w:r>
                        <w:rPr>
                          <w:color w:val="000000"/>
                        </w:rPr>
                        <w:t>1</w:t>
                      </w:r>
                    </w:sdtContent>
                  </w:sdt>
                  <w:r>
                    <w:rPr>
                      <w:color w:val="000000"/>
                    </w:rPr>
                    <w:t>. Programos lėšos naudojamos:</w:t>
                  </w:r>
                </w:p>
                <w:sdt>
                  <w:sdtPr>
                    <w:alias w:val="4 str. 1 d. 1 p."/>
                    <w:tag w:val="part_72afd3601c4e4ba3a44188d901fedb4a"/>
                    <w:lock w:val="sdtLocked"/>
                    <w:richText/>
                  </w:sdtPr>
                  <w:sdtContent>
                    <w:p>
                      <w:pPr>
                        <w:ind w:firstLine="720"/>
                        <w:jc w:val="both"/>
                        <w:rPr>
                          <w:color w:val="000000"/>
                        </w:rPr>
                      </w:pPr>
                      <w:sdt>
                        <w:sdtPr>
                          <w:alias w:val="Numeris"/>
                          <w:tag w:val="nr_72afd3601c4e4ba3a44188d901fedb4a"/>
                          <w:lock w:val="sdtLocked"/>
                          <w:richText/>
                        </w:sdtPr>
                        <w:sdtContent>
                          <w:r>
                            <w:rPr>
                              <w:lang w:eastAsia="lt-LT"/>
                            </w:rPr>
                            <w:t>1</w:t>
                          </w:r>
                        </w:sdtContent>
                      </w:sdt>
                      <w:r>
                        <w:rPr>
                          <w:lang w:eastAsia="lt-LT"/>
                        </w:rPr>
                        <w:t xml:space="preserve">) priemonėms, kuriomis kompensuojama aplinkai padaryta žala, kraštovaizdžio kompleksams ar elementams atkurti, aplinkosaugos objektams projektuoti, statyti, rekonstruoti, remontuoti, aplinkos teršimo šaltiniams pašalinti, gamtos ištekliams atkurti ir gausinti, </w:t>
                      </w:r>
                      <w:r>
                        <w:rPr>
                          <w:color w:val="000000"/>
                        </w:rPr>
                        <w:t xml:space="preserve">aplinkos apsaugos valstybinę kontrolę vykdančių pareigūnų </w:t>
                      </w:r>
                      <w:r>
                        <w:t>darbo užmokesčiui</w:t>
                      </w:r>
                      <w:r>
                        <w:rPr>
                          <w:lang w:eastAsia="lt-LT"/>
                        </w:rPr>
                        <w:t xml:space="preserve"> ‒ ne mažiau kaip 30 procentų Programos metinių įplaukų (neįskaitant įplaukų pagal šio įstatymo 3 straipsnio 5, 6, 7, 8,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2 p."/>
                    <w:tag w:val="part_7167c8260c6a4bdba3228cbe6fd999f7"/>
                    <w:lock w:val="sdtLocked"/>
                    <w:richText/>
                  </w:sdtPr>
                  <w:sdtContent>
                    <w:p>
                      <w:pPr>
                        <w:ind w:firstLine="720"/>
                        <w:jc w:val="both"/>
                        <w:rPr>
                          <w:color w:val="000000"/>
                        </w:rPr>
                      </w:pPr>
                      <w:sdt>
                        <w:sdtPr>
                          <w:alias w:val="Numeris"/>
                          <w:tag w:val="nr_7167c8260c6a4bdba3228cbe6fd999f7"/>
                          <w:lock w:val="sdtLocked"/>
                          <w:richText/>
                        </w:sdtPr>
                        <w:sdtContent>
                          <w:r>
                            <w:rPr>
                              <w:lang w:eastAsia="lt-LT"/>
                            </w:rPr>
                            <w:t>2</w:t>
                          </w:r>
                        </w:sdtContent>
                      </w:sdt>
                      <w:r>
                        <w:rPr>
                          <w:lang w:eastAsia="lt-LT"/>
                        </w:rPr>
                        <w:t xml:space="preserve">) žuvų ištekliams atkurti ir saugoti, </w:t>
                      </w:r>
                      <w:r>
                        <w:rPr>
                          <w:color w:val="000000"/>
                        </w:rPr>
                        <w:t xml:space="preserve">aplinkos apsaugos valstybinę kontrolę vykdančių pareigūnų </w:t>
                      </w:r>
                      <w:r>
                        <w:t>darbo užmokesčiui</w:t>
                      </w:r>
                      <w:r>
                        <w:rPr>
                          <w:lang w:eastAsia="lt-LT"/>
                        </w:rPr>
                        <w:t xml:space="preserve"> ‒ įplaukos pagal šio įstatymo 3 straipsnio 5, 6 ir 7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3 p."/>
                    <w:tag w:val="part_229b61417e254afd8bd4e4cb84cbe003"/>
                    <w:lock w:val="sdtLocked"/>
                    <w:richText/>
                  </w:sdtPr>
                  <w:sdtContent>
                    <w:p>
                      <w:pPr>
                        <w:ind w:firstLine="720"/>
                        <w:jc w:val="both"/>
                        <w:rPr>
                          <w:color w:val="000000"/>
                        </w:rPr>
                      </w:pPr>
                      <w:sdt>
                        <w:sdtPr>
                          <w:alias w:val="Numeris"/>
                          <w:tag w:val="nr_229b61417e254afd8bd4e4cb84cbe003"/>
                          <w:lock w:val="sdtLocked"/>
                          <w:richText/>
                        </w:sdtPr>
                        <w:sdtContent>
                          <w:r>
                            <w:rPr>
                              <w:lang w:eastAsia="lt-LT"/>
                            </w:rPr>
                            <w:t>3</w:t>
                          </w:r>
                        </w:sdtContent>
                      </w:sdt>
                      <w:r>
                        <w:rPr>
                          <w:lang w:eastAsia="lt-LT"/>
                        </w:rPr>
                        <w:t xml:space="preserve">)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ir tradicijas puoselėjančioms priemonėms; griežtai saugomų 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Lietuvos Respublikos medžioklės įstatymo 22 straipsnyje nustatytoms kompensacijoms medžioklės plotų naudotojams ir privačių žemės sklypų savininkams mokėti, </w:t>
                      </w:r>
                      <w:r>
                        <w:rPr>
                          <w:color w:val="000000"/>
                        </w:rPr>
                        <w:t xml:space="preserve">aplinkos apsaugos valstybinę kontrolę vykdančių pareigūnų </w:t>
                      </w:r>
                      <w:r>
                        <w:t>darbo užmokesčiui</w:t>
                      </w:r>
                      <w:r>
                        <w:rPr>
                          <w:lang w:eastAsia="lt-LT"/>
                        </w:rPr>
                        <w:t xml:space="preserve"> ‒ įplaukos pagal šio įstatymo 3 straipsnio 8 punktą;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440E3BEFB">
                        <w:r w:rsidRPr="00532B9F">
                          <w:rPr>
                            <w:rFonts w:ascii="Times New Roman" w:eastAsia="MS Mincho" w:hAnsi="Times New Roman"/>
                            <w:sz w:val="20"/>
                            <w:i/>
                            <w:iCs/>
                            <w:color w:val="0000FF" w:themeColor="hyperlink"/>
                            <w:u w:val="single"/>
                          </w:rPr>
                          <w:t>XII-373</w:t>
                        </w:r>
                      </w:fldSimple>
                      <w:r>
                        <w:rPr>
                          <w:rFonts w:ascii="Times New Roman" w:eastAsia="MS Mincho" w:hAnsi="Times New Roman"/>
                          <w:sz w:val="20"/>
                          <w:i/>
                          <w:iCs/>
                        </w:rPr>
                        <w:t>,
2013-06-18,
Žin., 2013, Nr.
67-3336 (2013-06-26), i. k. 1131010ISTA0XII-373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4 p."/>
                    <w:tag w:val="part_a7444247622d420b8af0007fd8a0fa13"/>
                    <w:lock w:val="sdtLocked"/>
                    <w:richText/>
                  </w:sdtPr>
                  <w:sdtContent>
                    <w:p>
                      <w:pPr>
                        <w:widowControl w:val="0"/>
                        <w:suppressAutoHyphens/>
                        <w:ind w:firstLine="709"/>
                        <w:jc w:val="both"/>
                        <w:rPr>
                          <w:color w:val="000000"/>
                        </w:rPr>
                      </w:pPr>
                      <w:sdt>
                        <w:sdtPr>
                          <w:alias w:val="Numeris"/>
                          <w:tag w:val="nr_a7444247622d420b8af0007fd8a0fa13"/>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 (neįskaitant įplaukų pagal šio įstatymo 3 straipsnio 11 ir 12 punktus);</w:t>
                      </w:r>
                    </w:p>
                  </w:sdtContent>
                </w:sdt>
                <w:sdt>
                  <w:sdtPr>
                    <w:alias w:val="4 str. 1 d. 5 p."/>
                    <w:tag w:val="part_e20afad497d14843b1848f03a86c36ca"/>
                    <w:lock w:val="sdtLocked"/>
                    <w:richText/>
                  </w:sdtPr>
                  <w:sdtContent>
                    <w:p>
                      <w:pPr>
                        <w:widowControl w:val="0"/>
                        <w:suppressAutoHyphens/>
                        <w:ind w:firstLine="709"/>
                        <w:jc w:val="both"/>
                        <w:rPr>
                          <w:color w:val="000000"/>
                        </w:rPr>
                      </w:pPr>
                      <w:sdt>
                        <w:sdtPr>
                          <w:alias w:val="Numeris"/>
                          <w:tag w:val="nr_e20afad497d14843b1848f03a86c36ca"/>
                          <w:lock w:val="sdtLocked"/>
                          <w:richText/>
                        </w:sdtPr>
                        <w:sdtContent>
                          <w:r>
                            <w:rPr>
                              <w:color w:val="000000"/>
                            </w:rPr>
                            <w:t>5</w:t>
                          </w:r>
                        </w:sdtContent>
                      </w:sdt>
                      <w:r>
                        <w:rPr>
                          <w:color w:val="000000"/>
                        </w:rPr>
                        <w:t>) moksliniams taikomiesiems darbams, aplinkos monitoringui, poveikio aplinkai vertinimui (neįskaitant įplaukų pagal šio įstatymo 3 straipsnio 11 ir 12 punktus);</w:t>
                      </w:r>
                    </w:p>
                  </w:sdtContent>
                </w:sdt>
                <w:sdt>
                  <w:sdtPr>
                    <w:alias w:val="4 str. 1 d. 6 p."/>
                    <w:tag w:val="part_c54ae2377048472ab45acb9b1e471c7f"/>
                    <w:lock w:val="sdtLocked"/>
                    <w:richText/>
                  </w:sdtPr>
                  <w:sdtContent>
                    <w:p>
                      <w:pPr>
                        <w:widowControl w:val="0"/>
                        <w:suppressAutoHyphens/>
                        <w:ind w:firstLine="709"/>
                        <w:jc w:val="both"/>
                        <w:rPr>
                          <w:color w:val="000000"/>
                        </w:rPr>
                      </w:pPr>
                      <w:sdt>
                        <w:sdtPr>
                          <w:alias w:val="Numeris"/>
                          <w:tag w:val="nr_c54ae2377048472ab45acb9b1e471c7f"/>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 (neįskaitant įplaukų pagal šio įstatymo 3 straipsnio 11 ir 12 punktus);</w:t>
                      </w:r>
                    </w:p>
                  </w:sdtContent>
                </w:sdt>
                <w:sdt>
                  <w:sdtPr>
                    <w:alias w:val="4 str. 1 d. 7 p."/>
                    <w:tag w:val="part_27e5714bfbb04fcaafac120c42af3adf"/>
                    <w:lock w:val="sdtLocked"/>
                    <w:richText/>
                  </w:sdtPr>
                  <w:sdtContent>
                    <w:p>
                      <w:pPr>
                        <w:widowControl w:val="0"/>
                        <w:suppressAutoHyphens/>
                        <w:ind w:firstLine="709"/>
                        <w:jc w:val="both"/>
                        <w:rPr>
                          <w:color w:val="000000"/>
                        </w:rPr>
                      </w:pPr>
                      <w:sdt>
                        <w:sdtPr>
                          <w:alias w:val="Numeris"/>
                          <w:tag w:val="nr_27e5714bfbb04fcaafac120c42af3adf"/>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ir konkursams organizuoti, tarptautinių projektų ir sutarčių aplinkosaugos srityje įgyvendinimo išlaidoms apmokėti (neįskaitant įplaukų pagal šio įstatymo 3 straipsnio 11 ir 12 punktus);</w:t>
                      </w:r>
                    </w:p>
                  </w:sdtContent>
                </w:sdt>
                <w:sdt>
                  <w:sdtPr>
                    <w:alias w:val="4 str. 1 d. 8 p."/>
                    <w:tag w:val="part_ed3c9e98e6864f9baac483a271c7b5e3"/>
                    <w:lock w:val="sdtLocked"/>
                    <w:richText/>
                  </w:sdtPr>
                  <w:sdtContent>
                    <w:p>
                      <w:pPr>
                        <w:widowControl w:val="0"/>
                        <w:suppressAutoHyphens/>
                        <w:ind w:firstLine="709"/>
                        <w:jc w:val="both"/>
                        <w:rPr>
                          <w:color w:val="000000"/>
                        </w:rPr>
                      </w:pPr>
                      <w:sdt>
                        <w:sdtPr>
                          <w:alias w:val="Numeris"/>
                          <w:tag w:val="nr_ed3c9e98e6864f9baac483a271c7b5e3"/>
                          <w:lock w:val="sdtLocked"/>
                          <w:richText/>
                        </w:sdtPr>
                        <w:sdtContent>
                          <w:r>
                            <w:rPr>
                              <w:color w:val="000000"/>
                            </w:rPr>
                            <w:t>8</w:t>
                          </w:r>
                        </w:sdtContent>
                      </w:sdt>
                      <w:r>
                        <w:rPr>
                          <w:color w:val="000000"/>
                        </w:rPr>
                        <w:t>) vardinėms premijoms skirti asmenims už nuopelnus aplinkosaugos srityje (neįskaitant įplaukų pagal šio įstatymo 3 straipsnio 11 ir 12 punktus);</w:t>
                      </w:r>
                    </w:p>
                  </w:sdtContent>
                </w:sdt>
                <w:sdt>
                  <w:sdtPr>
                    <w:alias w:val="4 str. 1 d. 9 p."/>
                    <w:tag w:val="part_be109add404c4df8aa1d617b4710d704"/>
                    <w:lock w:val="sdtLocked"/>
                    <w:richText/>
                  </w:sdtPr>
                  <w:sdtContent>
                    <w:p>
                      <w:pPr>
                        <w:widowControl w:val="0"/>
                        <w:suppressAutoHyphens/>
                        <w:ind w:firstLine="709"/>
                        <w:jc w:val="both"/>
                        <w:rPr>
                          <w:color w:val="000000"/>
                        </w:rPr>
                      </w:pPr>
                      <w:sdt>
                        <w:sdtPr>
                          <w:alias w:val="Numeris"/>
                          <w:tag w:val="nr_be109add404c4df8aa1d617b4710d704"/>
                          <w:lock w:val="sdtLocked"/>
                          <w:richText/>
                        </w:sdtPr>
                        <w:sdtContent>
                          <w:r>
                            <w:rPr>
                              <w:color w:val="000000"/>
                            </w:rPr>
                            <w:t>9</w:t>
                          </w:r>
                        </w:sdtContent>
                      </w:sdt>
                      <w:r>
                        <w:rPr>
                          <w:color w:val="000000"/>
                        </w:rPr>
                        <w:t xml:space="preserve">) neetatiniams aplinkos apsaugos inspektoriams skatinti ir atliekamiems aplinkos apsaugos ir gamtos išteklių naudojimo kontrolės darbams bei rengiamoms programoms įgyvendinti – ne daugiau kaip 5 procentai Programos metinių įplaukų (neįskaitant įplaukų pagal šio įstatymo 3 straipsnio 5, 6, 7, 8, 11 ir 12 punktus); </w:t>
                      </w:r>
                    </w:p>
                  </w:sdtContent>
                </w:sdt>
                <w:sdt>
                  <w:sdtPr>
                    <w:alias w:val="4 str. 1 d. 10 p."/>
                    <w:tag w:val="part_7e893edafa224e148dda1fdb1ae5e0a1"/>
                    <w:lock w:val="sdtLocked"/>
                    <w:richText/>
                  </w:sdtPr>
                  <w:sdtContent>
                    <w:p>
                      <w:pPr>
                        <w:ind w:firstLine="720"/>
                        <w:jc w:val="both"/>
                      </w:pPr>
                      <w:sdt>
                        <w:sdtPr>
                          <w:alias w:val="Numeris"/>
                          <w:tag w:val="nr_7e893edafa224e148dda1fdb1ae5e0a1"/>
                          <w:lock w:val="sdtLocked"/>
                          <w:richText/>
                        </w:sdtPr>
                        <w:sdtContent>
                          <w:r>
                            <w:rPr>
                              <w:bCs/>
                              <w:color w:val="000000"/>
                              <w:szCs w:val="24"/>
                              <w:lang w:eastAsia="x-none"/>
                            </w:rPr>
                            <w:t>10</w:t>
                          </w:r>
                        </w:sdtContent>
                      </w:sdt>
                      <w:r>
                        <w:rPr>
                          <w:bCs/>
                          <w:color w:val="000000"/>
                          <w:szCs w:val="24"/>
                          <w:lang w:eastAsia="x-none"/>
                        </w:rPr>
                        <w:t>) savavališkai pastatytiems ar savavališkai statomiems statiniams, statiniams, pastatytiems ar statomiems pagal neteisėtai išduotus statybą leidžiančius dokumentus, nugriauti, savavališkai ar pagal neteisėtai išduotus statybą leidžiančius dokumentus perstatytoms ar pertvarkytoms statinio dalims išardyti ar nugriautam kultūros paveldo statiniui (jo daliai) atstatyti pagal teismo sprendimą; savavališkų statybų prevencijai; statinių ekspertizėms atlikti tais atvejais, kai šias ekspertizes būtina atlikti dėl statinių avarijų prevencijos ar pareiškiant ieškinius teismams; teritorijų planavimo valstybinės priežiūros ir statybos valstybinės priežiūros srityse švietimui, leidybai, specialistų mokymui, jų kvalifikacijai kelti; statybos valstybinę priežiūrą atliekantiems specialistams aprūpinti prietaisais, įrenginiais, medžiagomis ir kitomis materialinėmis priemonėmis jų veiklai statybos valstybinės priežiūros srityje vykdyti, jų darbo užmokesčiui – įplaukos pagal šio įstatymo 3 straipsnio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sdt>
                  <w:sdtPr>
                    <w:alias w:val="11 p."/>
                    <w:tag w:val="part_bc357da641c344aab343111c39235f53"/>
                    <w:lock w:val="sdtLocked"/>
                    <w:richText/>
                  </w:sdtPr>
                  <w:sdtContent>
                    <w:p>
                      <w:pPr>
                        <w:ind w:firstLine="720"/>
                        <w:jc w:val="both"/>
                      </w:pPr>
                      <w:sdt>
                        <w:sdtPr>
                          <w:alias w:val="Numeris"/>
                          <w:tag w:val="nr_bc357da641c344aab343111c39235f53"/>
                          <w:lock w:val="sdtLocked"/>
                          <w:richText/>
                        </w:sdtPr>
                        <w:sdtContent>
                          <w:r>
                            <w:rPr>
                              <w:bCs/>
                              <w:szCs w:val="24"/>
                              <w:lang w:eastAsia="lt-LT"/>
                            </w:rPr>
                            <w:t>11</w:t>
                          </w:r>
                        </w:sdtContent>
                      </w:sdt>
                      <w:r>
                        <w:rPr>
                          <w:bCs/>
                          <w:szCs w:val="24"/>
                          <w:lang w:eastAsia="lt-LT"/>
                        </w:rPr>
                        <w:t xml:space="preserve">) kraujasiurbių upinių mašalų populiacijos pokyčių stebėjimams ir populiacijos reguliavimo priemonėms finansuoti (neįskaitant įplaukų pagal šio įstatymo 3 straipsnio 11 ir 12 punktus).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CA80817C20">
            <w:r w:rsidRPr="00532B9F">
              <w:rPr>
                <w:rFonts w:ascii="Times New Roman" w:eastAsia="MS Mincho" w:hAnsi="Times New Roman"/>
                <w:sz w:val="20"/>
                <w:iCs/>
                <w:color w:val="0000FF" w:themeColor="hyperlink"/>
                <w:u w:val="single"/>
              </w:rPr>
              <w:t>X-268</w:t>
            </w:r>
          </w:fldSimple>
          <w:r>
            <w:rPr>
              <w:rFonts w:ascii="Times New Roman" w:eastAsia="MS Mincho" w:hAnsi="Times New Roman"/>
              <w:sz w:val="20"/>
              <w:iCs/>
            </w:rPr>
            <w:t>,
2005-06-23,
Žin., 2005, Nr.
84-3107 (2005-07-12), i. k. 1051010ISTA000X-268                </w:t>
          </w:r>
        </w:p>
        <w:p>
          <w:pPr>
            <w:jc w:val="both"/>
            <w:rPr>
              <w:rFonts w:ascii="Times New Roman" w:hAnsi="Times New Roman"/>
            </w:rPr>
          </w:pPr>
          <w:r>
            <w:rPr>
              <w:rFonts w:ascii="Times New Roman" w:hAnsi="Times New Roman"/>
              <w:sz w:val="20"/>
            </w:rPr>
            <w:t>Lietuvos Respublikos aplinkos apsaugos rėmimo programos įstatymo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F761328A19">
            <w:r w:rsidRPr="00532B9F">
              <w:rPr>
                <w:rFonts w:ascii="Times New Roman" w:eastAsia="MS Mincho" w:hAnsi="Times New Roman"/>
                <w:sz w:val="20"/>
                <w:iCs/>
                <w:color w:val="0000FF" w:themeColor="hyperlink"/>
                <w:u w:val="single"/>
              </w:rPr>
              <w:t>X-1728</w:t>
            </w:r>
          </w:fldSimple>
          <w:r>
            <w:rPr>
              <w:rFonts w:ascii="Times New Roman" w:eastAsia="MS Mincho" w:hAnsi="Times New Roman"/>
              <w:sz w:val="20"/>
              <w:iCs/>
            </w:rPr>
            <w:t>,
2008-09-22,
Žin., 2008, Nr.
117-4444 (2008-10-11), i. k. 1081010ISTA00X-1728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8B02D55AF7C">
            <w:r w:rsidRPr="00532B9F">
              <w:rPr>
                <w:rFonts w:ascii="Times New Roman" w:eastAsia="MS Mincho" w:hAnsi="Times New Roman"/>
                <w:sz w:val="20"/>
                <w:iCs/>
                <w:color w:val="0000FF" w:themeColor="hyperlink"/>
                <w:u w:val="single"/>
              </w:rPr>
              <w:t>XI-922</w:t>
            </w:r>
          </w:fldSimple>
          <w:r>
            <w:rPr>
              <w:rFonts w:ascii="Times New Roman" w:eastAsia="MS Mincho" w:hAnsi="Times New Roman"/>
              <w:sz w:val="20"/>
              <w:iCs/>
            </w:rPr>
            <w:t>,
2010-06-22,
Žin., 2010, Nr.
81-4220 (2010-07-10), i. k. 1101010ISTA00XI-922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E5F5AC6F48">
            <w:r w:rsidRPr="00532B9F">
              <w:rPr>
                <w:rFonts w:ascii="Times New Roman" w:eastAsia="MS Mincho" w:hAnsi="Times New Roman"/>
                <w:sz w:val="20"/>
                <w:iCs/>
                <w:color w:val="0000FF" w:themeColor="hyperlink"/>
                <w:u w:val="single"/>
              </w:rPr>
              <w:t>XI-1000</w:t>
            </w:r>
          </w:fldSimple>
          <w:r>
            <w:rPr>
              <w:rFonts w:ascii="Times New Roman" w:eastAsia="MS Mincho" w:hAnsi="Times New Roman"/>
              <w:sz w:val="20"/>
              <w:iCs/>
            </w:rPr>
            <w:t>,
2010-07-02,
Žin., 2010, Nr.
84-4409 (2010-07-15), i. k. 1101010ISTA0XI-1000                </w:t>
          </w:r>
        </w:p>
        <w:p>
          <w:pPr>
            <w:jc w:val="both"/>
            <w:rPr>
              <w:rFonts w:ascii="Times New Roman" w:hAnsi="Times New Roman"/>
            </w:rPr>
          </w:pPr>
          <w:r>
            <w:rPr>
              <w:rFonts w:ascii="Times New Roman" w:hAnsi="Times New Roman"/>
              <w:sz w:val="20"/>
            </w:rPr>
            <w:t>Lietuvos Respublikos aplinkos apsaugos rėmimo programos įstatymo 2,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440E3BEFB">
            <w:r w:rsidRPr="00532B9F">
              <w:rPr>
                <w:rFonts w:ascii="Times New Roman" w:eastAsia="MS Mincho" w:hAnsi="Times New Roman"/>
                <w:sz w:val="20"/>
                <w:iCs/>
                <w:color w:val="0000FF" w:themeColor="hyperlink"/>
                <w:u w:val="single"/>
              </w:rPr>
              <w:t>XII-373</w:t>
            </w:r>
          </w:fldSimple>
          <w:r>
            <w:rPr>
              <w:rFonts w:ascii="Times New Roman" w:eastAsia="MS Mincho" w:hAnsi="Times New Roman"/>
              <w:sz w:val="20"/>
              <w:iCs/>
            </w:rPr>
            <w:t>,
2013-06-18,
Žin., 2013, Nr.
67-3336 (2013-06-26), i. k. 1131010ISTA0XII-373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ac760fcf811e39cfacd978b6fd9bb">
            <w:r w:rsidRPr="00532B9F">
              <w:rPr>
                <w:rFonts w:ascii="Times New Roman" w:eastAsia="MS Mincho" w:hAnsi="Times New Roman"/>
                <w:sz w:val="20"/>
                <w:iCs/>
                <w:color w:val="0000FF" w:themeColor="hyperlink"/>
                <w:u w:val="single"/>
              </w:rPr>
              <w:t>XII-937</w:t>
            </w:r>
          </w:fldSimple>
          <w:r>
            <w:rPr>
              <w:rFonts w:ascii="Times New Roman" w:eastAsia="MS Mincho" w:hAnsi="Times New Roman"/>
              <w:sz w:val="20"/>
              <w:iCs/>
            </w:rPr>
            <w:t>,
2014-06-12,
paskelbta TAR 2014-06-26, i. k. 2014-09159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af33d0ae3211e5b12fbb7dc920ee2c">
            <w:r w:rsidRPr="00532B9F">
              <w:rPr>
                <w:rFonts w:ascii="Times New Roman" w:eastAsia="MS Mincho" w:hAnsi="Times New Roman"/>
                <w:sz w:val="20"/>
                <w:iCs/>
                <w:color w:val="0000FF" w:themeColor="hyperlink"/>
                <w:u w:val="single"/>
              </w:rPr>
              <w:t>XII-2199</w:t>
            </w:r>
          </w:fldSimple>
          <w:r>
            <w:rPr>
              <w:rFonts w:ascii="Times New Roman" w:eastAsia="MS Mincho" w:hAnsi="Times New Roman"/>
              <w:sz w:val="20"/>
              <w:iCs/>
            </w:rPr>
            <w:t>,
2015-12-17,
paskelbta TAR 2015-12-29, i. k. 2015-20900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dac3d00ba511e6a238c18f7a3f1736">
            <w:r w:rsidRPr="00532B9F">
              <w:rPr>
                <w:rFonts w:ascii="Times New Roman" w:eastAsia="MS Mincho" w:hAnsi="Times New Roman"/>
                <w:sz w:val="20"/>
                <w:iCs/>
                <w:color w:val="0000FF" w:themeColor="hyperlink"/>
                <w:u w:val="single"/>
              </w:rPr>
              <w:t>XII-2297</w:t>
            </w:r>
          </w:fldSimple>
          <w:r>
            <w:rPr>
              <w:rFonts w:ascii="Times New Roman" w:eastAsia="MS Mincho" w:hAnsi="Times New Roman"/>
              <w:sz w:val="20"/>
              <w:iCs/>
            </w:rPr>
            <w:t>,
2016-04-14,
paskelbta TAR 2016-04-26, i. k. 2016-10401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3b2208b8d11e6b969d7ae07280e89">
            <w:r w:rsidRPr="00532B9F">
              <w:rPr>
                <w:rFonts w:ascii="Times New Roman" w:eastAsia="MS Mincho" w:hAnsi="Times New Roman"/>
                <w:sz w:val="20"/>
                <w:iCs/>
                <w:color w:val="0000FF" w:themeColor="hyperlink"/>
                <w:u w:val="single"/>
              </w:rPr>
              <w:t>XII-2644</w:t>
            </w:r>
          </w:fldSimple>
          <w:r>
            <w:rPr>
              <w:rFonts w:ascii="Times New Roman" w:eastAsia="MS Mincho" w:hAnsi="Times New Roman"/>
              <w:sz w:val="20"/>
              <w:iCs/>
            </w:rPr>
            <w:t>,
2016-09-27,
paskelbta TAR 2016-10-06, i. k. 2016-24684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7D5FA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a0c40ab1955a449ea7ec4245d645b9d9">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6ab334eec6c84204875f943432cace7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1584319641fe405091cf13c6cfee03f9"/>
        <Part Type="strPunktas" Nr="3" Abbr="3 str. 1 d. 3 p." DocPartId="bd53df5e34bd47d080123038ada4e895" PartId="778eb74fda114c5596465845a53f210c"/>
        <Part Type="strPunktas" Nr="4" Abbr="3 str. 1 d. 4 p." DocPartId="049bcbb05078466189845a28bdc264dd" PartId="6678ebc02ae7461ebe83d8e95613dc20"/>
        <Part Type="strPunktas" Nr="5" Abbr="3 str. 1 d. 5 p." DocPartId="fc55dcc45a0d47c2a3190da095470d25" PartId="c55a2331fd374ebb8fd8940153fcefac"/>
        <Part Type="strPunktas" Nr="6" Abbr="3 str. 1 d. 6 p." DocPartId="0d7324a820994918aeea2a1aa3ba72da" PartId="fea964b8eb5f412ca472c956c28acf95"/>
        <Part Type="strPunktas" Nr="7" Abbr="3 str. 1 d. 7 p." DocPartId="b778ff46a2264df880609d517afae383" PartId="1d996079798249d8bded9197068d751f"/>
        <Part Type="strPunktas" Nr="8" Abbr="8 p." DocPartId="1b509dfaa58842d998625e7ddbd321d7" PartId="08930f30a6894a8687f307d052c8c14e"/>
        <Part Type="strPunktas" Nr="9" Abbr="3 str. 1 d. 9 p." DocPartId="9fb09979179c481aac210a1a33ea2641" PartId="d3e7818d44194068b58da8bacc4d9e8b"/>
        <Part Type="strPunktas" Nr="10" Abbr="3 str. 1 d. 10 p." DocPartId="cfcd5d3ded91417bbf4cf0e46e8c2143" PartId="731e720570894d04bb40e2d6339633f8"/>
        <Part Type="strPunktas" Nr="11" Abbr="11 p." DocPartId="b234467daea741e78eebffc9151dba77" PartId="137a6af6cb424e35ad9faec066ae95bf"/>
        <Part Type="strPunktas" Nr="12" Abbr="12 p." DocPartId="b16365edc6114a2da576d0b377c35550" PartId="ebf6d3c3ba87465aaa1db8c7af3b51bb"/>
        <Part Type="strPunktas" Nr="13" Abbr="3 str. 1 d. 13 p." DocPartId="5eee22e561f24168941e46d8a9fd9f3f" PartId="b675900ae6e047c788447b407e8c1dea"/>
      </Part>
    </Part>
    <Part Type="straipsnis" Nr="4" Abbr="4 str." Title="Programos lėšų naudojimas" DocPartId="532b2148af074ebb85e15a3af3ee7bb4" PartId="deb25b66e5ae4f41ab5254f83c393b3e">
      <Part Type="strDalis" Nr="1" Abbr="4 str. 1 d." DocPartId="8f5b036572124df5bd0cad926dc1f9bc" PartId="4e56294e63ac48ed962e0f14546223f0">
        <Part Type="strPunktas" Nr="1" Abbr="4 str. 1 d. 1 p." DocPartId="fa1151618afe4226b7df12c301b62c3b" PartId="72afd3601c4e4ba3a44188d901fedb4a"/>
        <Part Type="strPunktas" Nr="2" Abbr="4 str. 1 d. 2 p." DocPartId="22ac2c14eb954c2e8c74f55a122a508d" PartId="7167c8260c6a4bdba3228cbe6fd999f7"/>
        <Part Type="strPunktas" Nr="3" Abbr="4 str. 1 d. 3 p." DocPartId="9d93baea2325485e9fa3f2a4eb0184c5" PartId="229b61417e254afd8bd4e4cb84cbe003"/>
        <Part Type="strPunktas" Nr="4" Abbr="4 str. 1 d. 4 p." DocPartId="b363d0dcbfdd49b49ffdacbde2adb973" PartId="a7444247622d420b8af0007fd8a0fa13"/>
        <Part Type="strPunktas" Nr="5" Abbr="4 str. 1 d. 5 p." DocPartId="91b66f6f422e413aa145161a1c0944e4" PartId="e20afad497d14843b1848f03a86c36ca"/>
        <Part Type="strPunktas" Nr="6" Abbr="4 str. 1 d. 6 p." DocPartId="010ad5fe30f44e61a0918ea9d6f40287" PartId="c54ae2377048472ab45acb9b1e471c7f"/>
        <Part Type="strPunktas" Nr="7" Abbr="4 str. 1 d. 7 p." DocPartId="1c476430f1224064b5c726c3fb7eac49" PartId="27e5714bfbb04fcaafac120c42af3adf"/>
        <Part Type="strPunktas" Nr="8" Abbr="4 str. 1 d. 8 p." DocPartId="116284ca601a43559576c418b94046bf" PartId="ed3c9e98e6864f9baac483a271c7b5e3"/>
        <Part Type="strPunktas" Nr="9" Abbr="4 str. 1 d. 9 p." DocPartId="12f74d0545454d41978392c84d7a5763" PartId="be109add404c4df8aa1d617b4710d704"/>
        <Part Type="strPunktas" Nr="10" Abbr="4 str. 1 d. 10 p." DocPartId="234cce4ad5ec4e4ba6aab959a706e93b" PartId="7e893edafa224e148dda1fdb1ae5e0a1"/>
        <Part Type="strPunktas" Nr="11" Abbr="11 p." DocPartId="9d9ff44fc4874559b1b6a58933464008" PartId="bc357da641c344aab343111c39235f53"/>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F2D20F2F-B9FC-4A00-B1DC-53B7A7098384}">
  <ds:schemaRefs>
    <ds:schemaRef ds:uri="http://lrs.lt/TAIS/DocParts"/>
  </ds:schemaRefs>
</ds:datastoreItem>
</file>

<file path=docProps/app.xml><?xml version="1.0" encoding="utf-8"?>
<Properties xmlns="http://schemas.openxmlformats.org/officeDocument/2006/extended-properties">
  <Template>Normal.dotm</Template>
  <TotalTime>12</TotalTime>
  <Pages>3</Pages>
  <Words>5531</Words>
  <Characters>3153</Characters>
  <Application>Microsoft Office Word</Application>
  <DocSecurity>0</DocSecurity>
  <Lines>26</Lines>
  <Paragraphs>17</Paragraphs>
  <ScaleCrop>false</ScaleCrop>
  <Company/>
  <LinksUpToDate>false</LinksUpToDate>
  <CharactersWithSpaces>8667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2016-10-07T07:19:00Z</dcterms:modified>
  <revision>16</revision>
</coreProperties>
</file>