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2017-10-06 iki 2017-11-28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8"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9"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2"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20"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2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7"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8"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9"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30"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31"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5"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8"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40"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41"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2"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5"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5"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8c6f6de98b324436a4be9f9c80c81b73"/>
                        <w:lock w:val="sdtLocked"/>
                        <w:richText/>
                      </w:sdtPr>
                      <w:sdtContent>
                        <w:p>
                          <w:pPr>
                            <w:ind w:firstLine="720"/>
                            <w:jc w:val="both"/>
                          </w:pPr>
                          <w:sdt>
                            <w:sdtPr>
                              <w:alias w:val="Numeris"/>
                              <w:tag w:val="nr_8c6f6de98b324436a4be9f9c80c81b73"/>
                              <w:lock w:val="sdtLocked"/>
                              <w:richText/>
                            </w:sdtPr>
                            <w:sdtContent>
                              <w:r>
                                <w:rPr>
                                  <w:color w:val="000000"/>
                                  <w:sz w:val="22"/>
                                  <w:szCs w:val="22"/>
                                </w:rPr>
                                <w:t>8</w:t>
                              </w:r>
                            </w:sdtContent>
                          </w:sdt>
                          <w:r>
                            <w:rPr>
                              <w:color w:val="000000"/>
                              <w:sz w:val="22"/>
                              <w:szCs w:val="22"/>
                            </w:rPr>
                            <w:t>. Jeigu asmuo vengia savu noru sumokėti baudą ir nėra galimybių ją išieškoti, teismas gali pakeisti baudą areštu. Keisdamas baudą areštu, teismas vadovaujasi šio kodekso 65 straipsnyje nustatytomis taisyklėmis.</w:t>
                          </w:r>
                          <w:r>
                            <w:t xml:space="preserve"> </w:t>
                          </w:r>
                        </w:p>
                        <w:p>
                          <w:pPr>
                            <w:jc w:val="both"/>
                          </w:pPr>
                          <w:r>
                            <w:rPr>
                              <w:i/>
                              <w:color w:val="000000"/>
                              <w:sz w:val="20"/>
                            </w:rPr>
                            <w:t>Straipsnio pakeitimai:</w:t>
                          </w:r>
                        </w:p>
                        <w:p>
                          <w:pPr>
                            <w:jc w:val="both"/>
                          </w:pPr>
                          <w:r>
                            <w:rPr>
                              <w:i/>
                              <w:sz w:val="20"/>
                              <w:lang w:val="x-none"/>
                            </w:rPr>
                            <w:t xml:space="preserve">Nr. </w:t>
                          </w:r>
                          <w:hyperlink r:id="rId463" w:history="1">
                            <w:r>
                              <w:rPr>
                                <w:i/>
                                <w:color w:val="0000FF"/>
                                <w:sz w:val="20"/>
                                <w:u w:val="single"/>
                                <w:lang w:val="x-none"/>
                              </w:rPr>
                              <w:t>IX-1495</w:t>
                            </w:r>
                          </w:hyperlink>
                          <w:r>
                            <w:rPr>
                              <w:i/>
                              <w:sz w:val="20"/>
                              <w:lang w:val="x-none"/>
                            </w:rPr>
                            <w:t>, 2003-04-10, Žin., 2003, Nr. 38-1733 (2003-04-24)</w:t>
                          </w:r>
                        </w:p>
                        <w:p>
                          <w:pPr>
                            <w:jc w:val="both"/>
                          </w:pPr>
                          <w:r>
                            <w:rPr>
                              <w:rFonts w:eastAsia="MS Mincho"/>
                              <w:i/>
                              <w:iCs/>
                              <w:sz w:val="20"/>
                              <w:lang w:val="x-none"/>
                            </w:rPr>
                            <w:t xml:space="preserve">Nr. </w:t>
                          </w:r>
                          <w:hyperlink r:id="rId46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465" w:history="1">
                            <w:r>
                              <w:rPr>
                                <w:i/>
                                <w:color w:val="0000FF"/>
                                <w:sz w:val="20"/>
                                <w:u w:val="single"/>
                              </w:rPr>
                              <w:t>XI-1350</w:t>
                            </w:r>
                          </w:hyperlink>
                          <w:r>
                            <w:rPr>
                              <w:i/>
                              <w:sz w:val="20"/>
                            </w:rPr>
                            <w:t>, 2011-04-21, Žin., 2011, Nr. 49-2374 (2011-04-28)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7457566e85674a80ae974ee0c78834ca"/>
                    <w:lock w:val="sdtLocked"/>
                    <w:richText/>
                  </w:sdtPr>
                  <w:sdtContent>
                    <w:p>
                      <w:pPr>
                        <w:ind w:firstLine="720"/>
                        <w:jc w:val="both"/>
                        <w:rPr>
                          <w:sz w:val="22"/>
                          <w:szCs w:val="22"/>
                        </w:rPr>
                      </w:pPr>
                      <w:sdt>
                        <w:sdtPr>
                          <w:alias w:val="Numeris"/>
                          <w:tag w:val="nr_7457566e85674a80ae974ee0c78834ca"/>
                          <w:lock w:val="sdtLocked"/>
                          <w:richText/>
                        </w:sdtPr>
                        <w:sdtContent>
                          <w:r>
                            <w:rPr>
                              <w:b/>
                              <w:sz w:val="22"/>
                              <w:szCs w:val="22"/>
                            </w:rPr>
                            <w:t>71</w:t>
                          </w:r>
                        </w:sdtContent>
                      </w:sdt>
                      <w:r>
                        <w:rPr>
                          <w:b/>
                          <w:sz w:val="22"/>
                          <w:szCs w:val="22"/>
                        </w:rPr>
                        <w:t xml:space="preserve"> straipsnis. </w:t>
                      </w:r>
                      <w:sdt>
                        <w:sdtPr>
                          <w:alias w:val="Pavadinimas"/>
                          <w:tag w:val="title_7457566e85674a80ae974ee0c78834ca"/>
                          <w:lock w:val="sdtLocked"/>
                          <w:richText/>
                        </w:sdtPr>
                        <w:sdtContent>
                          <w:r>
                            <w:rPr>
                              <w:b/>
                              <w:sz w:val="22"/>
                              <w:szCs w:val="22"/>
                            </w:rPr>
                            <w:t>Įmoka į nukentėjusių nuo nusikaltimų asmenų fondą</w:t>
                          </w:r>
                        </w:sdtContent>
                      </w:sdt>
                    </w:p>
                    <w:sdt>
                      <w:sdtPr>
                        <w:alias w:val="71 str. 1 d."/>
                        <w:tag w:val="part_d32398ed85b740509a266f45aecb3ac7"/>
                        <w:lock w:val="sdtLocked"/>
                        <w:richText/>
                      </w:sdtPr>
                      <w:sdtContent>
                        <w:p>
                          <w:pPr>
                            <w:ind w:firstLine="720"/>
                            <w:jc w:val="both"/>
                            <w:rPr>
                              <w:b/>
                              <w:color w:val="000000"/>
                              <w:sz w:val="22"/>
                            </w:rPr>
                          </w:pPr>
                          <w:r>
                            <w:rPr>
                              <w:sz w:val="22"/>
                              <w:szCs w:val="22"/>
                            </w:rPr>
                            <w:t>Teismas gali paskirti nuo 5 iki 125 MGL dydžio įmoką į nukentėjusių nuo nusikaltimų asmenų fondą. Įmoka turi būti sumokėta per teismo nustatytą terminą. Šis terminas negali būti ilgesnis negu treji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9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6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1cb84f88629941d0a5363e257deb410f"/>
                    <w:lock w:val="sdtLocked"/>
                    <w:richText/>
                  </w:sdtPr>
                  <w:sdtContent>
                    <w:p>
                      <w:pPr>
                        <w:ind w:firstLine="720"/>
                        <w:jc w:val="both"/>
                        <w:rPr>
                          <w:b/>
                          <w:color w:val="000000"/>
                          <w:sz w:val="22"/>
                          <w:szCs w:val="22"/>
                        </w:rPr>
                      </w:pPr>
                      <w:sdt>
                        <w:sdtPr>
                          <w:alias w:val="Numeris"/>
                          <w:tag w:val="nr_1cb84f88629941d0a5363e257deb410f"/>
                          <w:lock w:val="sdtLocked"/>
                          <w:richText/>
                        </w:sdtPr>
                        <w:sdtContent>
                          <w:r>
                            <w:rPr>
                              <w:b/>
                              <w:color w:val="000000"/>
                              <w:sz w:val="22"/>
                              <w:szCs w:val="22"/>
                            </w:rPr>
                            <w:t>220</w:t>
                          </w:r>
                        </w:sdtContent>
                      </w:sdt>
                      <w:r>
                        <w:rPr>
                          <w:b/>
                          <w:color w:val="000000"/>
                          <w:sz w:val="22"/>
                          <w:szCs w:val="22"/>
                        </w:rPr>
                        <w:t xml:space="preserve"> straipsnis. </w:t>
                      </w:r>
                      <w:sdt>
                        <w:sdtPr>
                          <w:alias w:val="Pavadinimas"/>
                          <w:tag w:val="title_1cb84f88629941d0a5363e257deb410f"/>
                          <w:lock w:val="sdtLocked"/>
                          <w:richText/>
                        </w:sdtPr>
                        <w:sdtContent>
                          <w:r>
                            <w:rPr>
                              <w:b/>
                              <w:color w:val="000000"/>
                              <w:sz w:val="22"/>
                              <w:szCs w:val="22"/>
                            </w:rPr>
                            <w:t>Neteisingų duomenų apie pajamas, pelną ar turtą pateikimas</w:t>
                          </w:r>
                        </w:sdtContent>
                      </w:sdt>
                    </w:p>
                    <w:sdt>
                      <w:sdtPr>
                        <w:alias w:val="220 str. 1 d."/>
                        <w:tag w:val="part_e13d6d20638547d3af93b7866cabe182"/>
                        <w:lock w:val="sdtLocked"/>
                        <w:richText/>
                      </w:sdtPr>
                      <w:sdtContent>
                        <w:p>
                          <w:pPr>
                            <w:ind w:firstLine="720"/>
                            <w:jc w:val="both"/>
                            <w:rPr>
                              <w:color w:val="000000"/>
                              <w:sz w:val="22"/>
                              <w:szCs w:val="22"/>
                              <w:lang w:eastAsia="lt-LT"/>
                            </w:rPr>
                          </w:pPr>
                          <w:sdt>
                            <w:sdtPr>
                              <w:alias w:val="Numeris"/>
                              <w:tag w:val="nr_e13d6d20638547d3af93b7866cabe182"/>
                              <w:lock w:val="sdtLocked"/>
                              <w:richText/>
                            </w:sdtPr>
                            <w:sdtContent>
                              <w:r>
                                <w:rPr>
                                  <w:color w:val="000000"/>
                                  <w:sz w:val="22"/>
                                  <w:szCs w:val="22"/>
                                  <w:lang w:eastAsia="lt-LT"/>
                                </w:rPr>
                                <w:t>1</w:t>
                              </w:r>
                            </w:sdtContent>
                          </w:sdt>
                          <w:r>
                            <w:rPr>
                              <w:color w:val="000000"/>
                              <w:sz w:val="22"/>
                              <w:szCs w:val="22"/>
                              <w:lang w:eastAsia="lt-LT"/>
                            </w:rPr>
                            <w:t>. Tas, kas siekdamas išvengti mokesčių</w:t>
                          </w:r>
                          <w:r>
                            <w:rPr>
                              <w:b/>
                              <w:color w:val="000000"/>
                              <w:sz w:val="22"/>
                              <w:szCs w:val="22"/>
                              <w:lang w:eastAsia="lt-LT"/>
                            </w:rPr>
                            <w:t xml:space="preserve">, </w:t>
                          </w:r>
                          <w:r>
                            <w:rPr>
                              <w:color w:val="000000"/>
                              <w:sz w:val="22"/>
                              <w:szCs w:val="22"/>
                              <w:lang w:eastAsia="lt-LT"/>
                            </w:rPr>
                            <w:t xml:space="preserve">kurių suma viršija 10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color w:val="000000"/>
                              <w:sz w:val="22"/>
                              <w:szCs w:val="22"/>
                              <w:lang w:eastAsia="lt-LT"/>
                            </w:rPr>
                          </w:pPr>
                          <w:r>
                            <w:rPr>
                              <w:color w:val="000000"/>
                              <w:sz w:val="22"/>
                              <w:szCs w:val="22"/>
                              <w:lang w:eastAsia="lt-LT"/>
                            </w:rPr>
                            <w:t>baudžiamas bauda arba laisvės apribojimu, arba laisvės atėmimu iki trejų metų.</w:t>
                          </w:r>
                        </w:p>
                      </w:sdtContent>
                    </w:sdt>
                    <w:sdt>
                      <w:sdtPr>
                        <w:alias w:val="220 str. 2 d."/>
                        <w:tag w:val="part_7420ddf7981043458d518f5bf511243d"/>
                        <w:lock w:val="sdtLocked"/>
                        <w:richText/>
                      </w:sdtPr>
                      <w:sdtContent>
                        <w:p>
                          <w:pPr>
                            <w:ind w:firstLine="720"/>
                            <w:jc w:val="both"/>
                          </w:pPr>
                          <w:sdt>
                            <w:sdtPr>
                              <w:alias w:val="Numeris"/>
                              <w:tag w:val="nr_7420ddf7981043458d518f5bf511243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tabs>
                          <w:tab w:val="left" w:pos="709"/>
                        </w:tabs>
                        <w:jc w:val="both"/>
                        <w:rPr>
                          <w:color w:val="000000"/>
                          <w:sz w:val="22"/>
                        </w:rPr>
                      </w:pPr>
                      <w:r>
                        <w:rPr>
                          <w:i/>
                          <w:color w:val="000000"/>
                          <w:sz w:val="20"/>
                        </w:rPr>
                        <w:t>Straipsnio pakeitimai:</w:t>
                      </w:r>
                    </w:p>
                    <w:p>
                      <w:pPr>
                        <w:tabs>
                          <w:tab w:val="left" w:pos="851"/>
                        </w:tabs>
                        <w:rPr>
                          <w:color w:val="000000"/>
                          <w:sz w:val="22"/>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27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21 str."/>
                    <w:tag w:val="part_d015b16f86a24721ad2142f629c21925"/>
                    <w:lock w:val="sdtLocked"/>
                    <w:richText/>
                  </w:sdtPr>
                  <w:sdtContent>
                    <w:p>
                      <w:pPr>
                        <w:ind w:firstLine="720"/>
                        <w:rPr>
                          <w:sz w:val="22"/>
                          <w:szCs w:val="22"/>
                        </w:rPr>
                      </w:pPr>
                      <w:sdt>
                        <w:sdtPr>
                          <w:alias w:val="Numeris"/>
                          <w:tag w:val="nr_d015b16f86a24721ad2142f629c21925"/>
                          <w:lock w:val="sdtLocked"/>
                          <w:richText/>
                        </w:sdtPr>
                        <w:sdtContent>
                          <w:r>
                            <w:rPr>
                              <w:b/>
                              <w:sz w:val="22"/>
                              <w:szCs w:val="22"/>
                            </w:rPr>
                            <w:t>221</w:t>
                          </w:r>
                        </w:sdtContent>
                      </w:sdt>
                      <w:r>
                        <w:rPr>
                          <w:b/>
                          <w:sz w:val="22"/>
                          <w:szCs w:val="22"/>
                        </w:rPr>
                        <w:t xml:space="preserve"> straipsnis. </w:t>
                      </w:r>
                      <w:sdt>
                        <w:sdtPr>
                          <w:alias w:val="Pavadinimas"/>
                          <w:tag w:val="title_d015b16f86a24721ad2142f629c21925"/>
                          <w:lock w:val="sdtLocked"/>
                          <w:richText/>
                        </w:sdtPr>
                        <w:sdtContent>
                          <w:r>
                            <w:rPr>
                              <w:b/>
                              <w:sz w:val="22"/>
                              <w:szCs w:val="22"/>
                            </w:rPr>
                            <w:t>Deklaracijos, ataskaitos ar kito dokumento nepateikimas</w:t>
                          </w:r>
                        </w:sdtContent>
                      </w:sdt>
                    </w:p>
                    <w:sdt>
                      <w:sdtPr>
                        <w:alias w:val="221 str. 1 d."/>
                        <w:tag w:val="part_afcd512f34244e808c6d1058c0314199"/>
                        <w:lock w:val="sdtLocked"/>
                        <w:richText/>
                      </w:sdtPr>
                      <w:sdtContent>
                        <w:p>
                          <w:pPr>
                            <w:ind w:firstLine="720"/>
                            <w:jc w:val="both"/>
                            <w:rPr>
                              <w:sz w:val="22"/>
                              <w:szCs w:val="22"/>
                            </w:rPr>
                          </w:pPr>
                          <w:sdt>
                            <w:sdtPr>
                              <w:alias w:val="Numeris"/>
                              <w:tag w:val="nr_afcd512f34244e808c6d1058c0314199"/>
                              <w:lock w:val="sdtLocked"/>
                              <w:richText/>
                            </w:sdtPr>
                            <w:sdtContent>
                              <w:r>
                                <w:rPr>
                                  <w:sz w:val="22"/>
                                  <w:szCs w:val="22"/>
                                </w:rPr>
                                <w:t>1</w:t>
                              </w:r>
                            </w:sdtContent>
                          </w:sdt>
                          <w:r>
                            <w:rPr>
                              <w:sz w:val="22"/>
                              <w:szCs w:val="22"/>
                            </w:rPr>
                            <w:t xml:space="preserve">. Tas, kas siekdamas išvengti daugiau kaip 500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rPr>
                              <w:sz w:val="22"/>
                              <w:szCs w:val="22"/>
                            </w:rPr>
                          </w:pPr>
                          <w:r>
                            <w:rPr>
                              <w:sz w:val="22"/>
                              <w:szCs w:val="22"/>
                            </w:rPr>
                            <w:t>baudžiamas bauda arba laisvės atėmimu iki trejų metų.</w:t>
                          </w:r>
                        </w:p>
                      </w:sdtContent>
                    </w:sdt>
                    <w:sdt>
                      <w:sdtPr>
                        <w:alias w:val="221 str. 2 d."/>
                        <w:tag w:val="part_370b31e2d27c48d4ad3c1c3e263e3dfe"/>
                        <w:lock w:val="sdtLocked"/>
                        <w:richText/>
                      </w:sdtPr>
                      <w:sdtContent>
                        <w:p>
                          <w:pPr>
                            <w:ind w:firstLine="720"/>
                            <w:jc w:val="both"/>
                          </w:pPr>
                          <w:sdt>
                            <w:sdtPr>
                              <w:alias w:val="Numeris"/>
                              <w:tag w:val="nr_370b31e2d27c48d4ad3c1c3e263e3dfe"/>
                              <w:lock w:val="sdtLocked"/>
                              <w:richText/>
                            </w:sdtPr>
                            <w:sdtContent>
                              <w:r>
                                <w:rPr>
                                  <w:sz w:val="22"/>
                                  <w:szCs w:val="22"/>
                                </w:rPr>
                                <w:t>2</w:t>
                              </w:r>
                            </w:sdtContent>
                          </w:sdt>
                          <w:r>
                            <w:rPr>
                              <w:sz w:val="22"/>
                              <w:szCs w:val="22"/>
                            </w:rPr>
                            <w:t>. Už šiame straipsnyje numatytą veiką</w:t>
                          </w:r>
                          <w:r>
                            <w:rPr>
                              <w:b/>
                              <w:sz w:val="22"/>
                              <w:szCs w:val="22"/>
                            </w:rPr>
                            <w:t xml:space="preserve"> </w:t>
                          </w:r>
                          <w:r>
                            <w:rPr>
                              <w:sz w:val="22"/>
                              <w:szCs w:val="22"/>
                            </w:rPr>
                            <w:t>atsako ir juridinis asmuo.</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lang w:val="en-US"/>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tabs>
                          <w:tab w:val="left" w:pos="851"/>
                        </w:tabs>
                        <w:rPr>
                          <w:color w:val="000000"/>
                          <w:sz w:val="22"/>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82"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8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8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8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319"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1 str. 2 d."/>
                        <w:tag w:val="part_27d725cd254c4e0082b71fe71587af95"/>
                        <w:lock w:val="sdtLocked"/>
                        <w:richText/>
                      </w:sdtPr>
                      <w:sdtContent>
                        <w:p>
                          <w:pPr>
                            <w:ind w:firstLine="720"/>
                            <w:jc w:val="both"/>
                            <w:rPr>
                              <w:color w:val="000000"/>
                              <w:sz w:val="22"/>
                            </w:rPr>
                          </w:pPr>
                          <w:sdt>
                            <w:sdtPr>
                              <w:alias w:val="Numeris"/>
                              <w:tag w:val="nr_27d725cd254c4e0082b71fe71587af95"/>
                              <w:lock w:val="sdtLocked"/>
                              <w:richText/>
                            </w:sdtPr>
                            <w:sdtContent>
                              <w:r>
                                <w:rPr>
                                  <w:iCs/>
                                  <w:sz w:val="22"/>
                                  <w:szCs w:val="22"/>
                                </w:rPr>
                                <w:t>2</w:t>
                              </w:r>
                            </w:sdtContent>
                          </w:sdt>
                          <w:r>
                            <w:rPr>
                              <w:iCs/>
                              <w:sz w:val="22"/>
                              <w:szCs w:val="22"/>
                            </w:rPr>
                            <w:t>. Su teroristine veikla susiję nusikaltimai yra šio Kodekso 249</w:t>
                          </w:r>
                          <w:r>
                            <w:rPr>
                              <w:iCs/>
                              <w:sz w:val="22"/>
                              <w:szCs w:val="22"/>
                              <w:vertAlign w:val="superscript"/>
                            </w:rPr>
                            <w:t>1</w:t>
                          </w:r>
                          <w:r>
                            <w:rPr>
                              <w:iCs/>
                              <w:sz w:val="22"/>
                              <w:szCs w:val="22"/>
                            </w:rPr>
                            <w:t>, 250</w:t>
                          </w:r>
                          <w:r>
                            <w:rPr>
                              <w:iCs/>
                              <w:sz w:val="22"/>
                              <w:szCs w:val="22"/>
                              <w:vertAlign w:val="superscript"/>
                            </w:rPr>
                            <w:t>1</w:t>
                          </w:r>
                          <w:r>
                            <w:rPr>
                              <w:iCs/>
                              <w:sz w:val="22"/>
                              <w:szCs w:val="22"/>
                            </w:rPr>
                            <w:t>, 250</w:t>
                          </w:r>
                          <w:r>
                            <w:rPr>
                              <w:iCs/>
                              <w:sz w:val="22"/>
                              <w:szCs w:val="22"/>
                              <w:vertAlign w:val="superscript"/>
                            </w:rPr>
                            <w:t>2</w:t>
                          </w:r>
                          <w:r>
                            <w:rPr>
                              <w:iCs/>
                              <w:sz w:val="22"/>
                              <w:szCs w:val="22"/>
                            </w:rPr>
                            <w:t>, 250</w:t>
                          </w:r>
                          <w:r>
                            <w:rPr>
                              <w:iCs/>
                              <w:sz w:val="22"/>
                              <w:szCs w:val="22"/>
                              <w:vertAlign w:val="superscript"/>
                            </w:rPr>
                            <w:t>3</w:t>
                          </w:r>
                          <w:r>
                            <w:rPr>
                              <w:iCs/>
                              <w:sz w:val="22"/>
                              <w:szCs w:val="22"/>
                            </w:rPr>
                            <w:t>, 250</w:t>
                          </w:r>
                          <w:r>
                            <w:rPr>
                              <w:iCs/>
                              <w:sz w:val="22"/>
                              <w:szCs w:val="22"/>
                              <w:vertAlign w:val="superscript"/>
                            </w:rPr>
                            <w:t>4</w:t>
                          </w:r>
                          <w:r>
                            <w:rPr>
                              <w:iCs/>
                              <w:sz w:val="22"/>
                              <w:szCs w:val="22"/>
                            </w:rPr>
                            <w:t>,</w:t>
                          </w:r>
                          <w:r>
                            <w:rPr>
                              <w:b/>
                              <w:iCs/>
                              <w:sz w:val="22"/>
                              <w:szCs w:val="22"/>
                            </w:rPr>
                            <w:t xml:space="preserve"> </w:t>
                          </w:r>
                          <w:r>
                            <w:rPr>
                              <w:iCs/>
                              <w:sz w:val="22"/>
                              <w:szCs w:val="22"/>
                            </w:rPr>
                            <w:t>250</w:t>
                          </w:r>
                          <w:r>
                            <w:rPr>
                              <w:iCs/>
                              <w:sz w:val="22"/>
                              <w:szCs w:val="22"/>
                              <w:vertAlign w:val="superscript"/>
                            </w:rPr>
                            <w:t>5</w:t>
                          </w:r>
                          <w:r>
                            <w:rPr>
                              <w:iCs/>
                              <w:sz w:val="22"/>
                              <w:szCs w:val="22"/>
                            </w:rPr>
                            <w:t xml:space="preserve"> ir 250</w:t>
                          </w:r>
                          <w:r>
                            <w:rPr>
                              <w:iCs/>
                              <w:sz w:val="22"/>
                              <w:szCs w:val="22"/>
                              <w:vertAlign w:val="superscript"/>
                            </w:rPr>
                            <w:t>6</w:t>
                          </w:r>
                          <w:r>
                            <w:rPr>
                              <w:b/>
                              <w:iCs/>
                              <w:sz w:val="22"/>
                              <w:szCs w:val="22"/>
                            </w:rPr>
                            <w:t xml:space="preserve"> </w:t>
                          </w:r>
                          <w:r>
                            <w:rPr>
                              <w:iCs/>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7 d."/>
                        <w:tag w:val="part_4247988dd8b9418d84e5dc3038a18c3b"/>
                        <w:lock w:val="sdtLocked"/>
                        <w:richText/>
                      </w:sdtPr>
                      <w:sdtContent>
                        <w:p>
                          <w:pPr>
                            <w:tabs>
                              <w:tab w:val="left" w:pos="0"/>
                              <w:tab w:val="left" w:pos="709"/>
                              <w:tab w:val="left" w:pos="993"/>
                            </w:tabs>
                            <w:ind w:firstLine="720"/>
                            <w:jc w:val="both"/>
                            <w:rPr>
                              <w:sz w:val="22"/>
                              <w:szCs w:val="22"/>
                              <w:lang w:eastAsia="lt-LT"/>
                            </w:rPr>
                          </w:pPr>
                          <w:sdt>
                            <w:sdtPr>
                              <w:alias w:val="Numeris"/>
                              <w:tag w:val="nr_4247988dd8b9418d84e5dc3038a18c3b"/>
                              <w:lock w:val="sdtLocked"/>
                              <w:richText/>
                            </w:sdtPr>
                            <w:sdtContent>
                              <w:r>
                                <w:rPr>
                                  <w:sz w:val="22"/>
                                  <w:szCs w:val="22"/>
                                  <w:lang w:eastAsia="lt-LT"/>
                                </w:rPr>
                                <w:t>7</w:t>
                              </w:r>
                            </w:sdtContent>
                          </w:sdt>
                          <w:r>
                            <w:rPr>
                              <w:sz w:val="22"/>
                              <w:szCs w:val="22"/>
                              <w:lang w:eastAsia="lt-LT"/>
                            </w:rPr>
                            <w:t xml:space="preserve">. Tas, kas vairavo kelių transporto priemonę </w:t>
                          </w:r>
                          <w:r>
                            <w:rPr>
                              <w:color w:val="000000"/>
                              <w:sz w:val="22"/>
                              <w:szCs w:val="22"/>
                              <w:lang w:eastAsia="lt-LT"/>
                            </w:rPr>
                            <w:t xml:space="preserve">arba mokė praktinio vairavimo </w:t>
                          </w:r>
                          <w:r>
                            <w:rPr>
                              <w:sz w:val="22"/>
                              <w:szCs w:val="22"/>
                              <w:lang w:eastAsia="lt-LT"/>
                            </w:rPr>
                            <w:t xml:space="preserve">būdamas apsvaigęs nuo alkoholio, kai jo kraujyje buvo daugiau negu 1,5 promilės alkoholio, </w:t>
                          </w:r>
                        </w:p>
                        <w:p>
                          <w:pPr>
                            <w:ind w:firstLine="720"/>
                            <w:jc w:val="both"/>
                            <w:rPr>
                              <w:color w:val="000000"/>
                              <w:sz w:val="22"/>
                            </w:rPr>
                          </w:pPr>
                          <w:r>
                            <w:rPr>
                              <w:sz w:val="22"/>
                              <w:szCs w:val="22"/>
                              <w:lang w:eastAsia="lt-LT"/>
                            </w:rPr>
                            <w:t xml:space="preserve">baudžiamas bauda arba areštu, arba laisvės atėmimu </w:t>
                          </w:r>
                          <w:r>
                            <w:rPr>
                              <w:color w:val="000000"/>
                              <w:sz w:val="22"/>
                              <w:szCs w:val="22"/>
                              <w:lang w:eastAsia="lt-LT"/>
                            </w:rPr>
                            <w:t>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8 d."/>
                        <w:tag w:val="part_e8bbc14b65b341f5902ad38582809145"/>
                        <w:lock w:val="sdtLocked"/>
                        <w:richText/>
                      </w:sdtPr>
                      <w:sdtContent>
                        <w:p>
                          <w:pPr>
                            <w:ind w:firstLine="720"/>
                            <w:jc w:val="both"/>
                            <w:rPr>
                              <w:color w:val="000000"/>
                              <w:sz w:val="22"/>
                            </w:rPr>
                          </w:pPr>
                          <w:sdt>
                            <w:sdtPr>
                              <w:alias w:val="Numeris"/>
                              <w:tag w:val="nr_e8bbc14b65b341f5902ad38582809145"/>
                              <w:lock w:val="sdtLocked"/>
                              <w:richText/>
                            </w:sdtPr>
                            <w:sdtContent>
                              <w:r>
                                <w:rPr>
                                  <w:color w:val="000000"/>
                                  <w:sz w:val="22"/>
                                </w:rPr>
                                <w:t>8</w:t>
                              </w:r>
                            </w:sdtContent>
                          </w:sdt>
                          <w:r>
                            <w:rPr>
                              <w:color w:val="000000"/>
                              <w:sz w:val="22"/>
                            </w:rPr>
                            <w:t>. Asmuo atsako pagal šio straipsnio 1–6 dalis tik tais atvejais, kai jose numatytos veikos yra padarytos dėl neatsargumo.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9 d."/>
                        <w:tag w:val="part_3a202612ce4b40598d522dce2bf0f78a"/>
                        <w:lock w:val="sdtLocked"/>
                        <w:richText/>
                      </w:sdtPr>
                      <w:sdtContent>
                        <w:p>
                          <w:pPr>
                            <w:tabs>
                              <w:tab w:val="left" w:pos="709"/>
                            </w:tabs>
                            <w:ind w:firstLine="720"/>
                            <w:jc w:val="both"/>
                          </w:pPr>
                          <w:sdt>
                            <w:sdtPr>
                              <w:alias w:val="Numeris"/>
                              <w:tag w:val="nr_3a202612ce4b40598d522dce2bf0f78a"/>
                              <w:lock w:val="sdtLocked"/>
                              <w:richText/>
                            </w:sdtPr>
                            <w:sdtContent>
                              <w:r>
                                <w:rPr>
                                  <w:sz w:val="22"/>
                                  <w:szCs w:val="22"/>
                                  <w:lang w:eastAsia="lt-LT"/>
                                </w:rPr>
                                <w:t>9</w:t>
                              </w:r>
                            </w:sdtContent>
                          </w:sdt>
                          <w:r>
                            <w:rPr>
                              <w:sz w:val="22"/>
                              <w:szCs w:val="22"/>
                              <w:lang w:eastAsia="lt-LT"/>
                            </w:rPr>
                            <w:t>. Laikoma, kad šio straipsnio 2, 4 ar 6 dalyje numatytą veiką padaręs asmuo yra apsvaigęs nuo alkoholio, kai jo kraujyje yra 0,41 promilės ir daugiau alkoholio arba kai jis vengia neblaivumo patikrinimo arba vartojo alkoholį po eismo įvykio iki jo aplinkybių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10 d."/>
                        <w:tag w:val="part_41ddaf61eb1c493cb3c58bb3829177a8"/>
                        <w:lock w:val="sdtLocked"/>
                        <w:richText/>
                      </w:sdtPr>
                      <w:sdtContent>
                        <w:p>
                          <w:pPr>
                            <w:ind w:firstLine="720"/>
                            <w:jc w:val="both"/>
                            <w:rPr>
                              <w:color w:val="000000"/>
                              <w:sz w:val="22"/>
                            </w:rPr>
                          </w:pPr>
                          <w:sdt>
                            <w:sdtPr>
                              <w:alias w:val="Numeris"/>
                              <w:tag w:val="nr_41ddaf61eb1c493cb3c58bb3829177a8"/>
                              <w:lock w:val="sdtLocked"/>
                              <w:richText/>
                            </w:sdtPr>
                            <w:sdtContent>
                              <w:r>
                                <w:rPr>
                                  <w:color w:val="000000"/>
                                  <w:sz w:val="22"/>
                                </w:rPr>
                                <w:t>10</w:t>
                              </w:r>
                            </w:sdtContent>
                          </w:sdt>
                          <w:r>
                            <w:rPr>
                              <w:color w:val="000000"/>
                              <w:sz w:val="22"/>
                            </w:rPr>
                            <w:t>. Šiame straipsnyje nurodytos kelių transporto priemonės yra visų rūšių automobiliai, traktoriai, kitos savaeigės mašinos, troleibusai, motociklai ir kitos mechaninės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424bfbeb5db4484db3a2c319ef521e92"/>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424bfbeb5db4484db3a2c319ef521e92"/>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13"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14"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5"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6"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7"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8"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9"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1"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2"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3"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4"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5"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26"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7"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8"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9"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31"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37"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90AFF1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hyperlink" TargetMode="External" Target="http://www3.lrs.lt/cgi-bin/preps2?a=209705&amp;b="/>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hyperlink" TargetMode="External" Target="http://www3.lrs.lt/cgi-bin/preps2?a=301997&amp;b="/>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openxmlformats.org/officeDocument/2006/relationships/hyperlink" TargetMode="External" Target="http://www3.lrs.lt/cgi-bin/preps2?a=397236&amp;b="/>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settings" Target="settings.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styles" Target="style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microsoft.com/office/2007/relationships/stylesWithEffects" Target="stylesWithEffects.xml"/>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theme" Target="theme/theme1.xml"/>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webSettings" Target="webSettings.xml"/>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193744&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cgi-bin/preps2?a=232220&amp;b="/>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56.xml"/>
  <Relationship Id="rId20" Type="http://schemas.openxmlformats.org/officeDocument/2006/relationships/hyperlink" TargetMode="External" Target="http://www3.lrs.lt/cgi-bin/preps2?a=388230&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394926&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pls/inter/dokpaieska.showdoc_l?p_id=467552&amp;p_tr2=2"/>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209705&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209705&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301997&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394926&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0251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15778&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53252&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55.xml"/>
  <Relationship Id="rId30" Type="http://schemas.openxmlformats.org/officeDocument/2006/relationships/hyperlink" TargetMode="External" Target="http://www3.lrs.lt/cgi-bin/preps2?a=463436&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467421&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67421&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0970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2220&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450198&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2695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237323&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209705&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209705&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56.xml"/>
  <Relationship Id="rId40" Type="http://schemas.openxmlformats.org/officeDocument/2006/relationships/hyperlink" TargetMode="External" Target="http://www3.lrs.lt/cgi-bin/preps2?a=453252&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467421&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434533&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301997&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365360&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209705&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hyperlink" TargetMode="External" Target="http://www3.lrs.lt/cgi-bin/preps2?a=209705&amp;b="/>
  <Relationship Id="rId464" Type="http://schemas.openxmlformats.org/officeDocument/2006/relationships/hyperlink" TargetMode="External" Target="http://www3.lrs.lt/cgi-bin/preps2?a=301997&amp;b="/>
  <Relationship Id="rId465" Type="http://schemas.openxmlformats.org/officeDocument/2006/relationships/hyperlink" TargetMode="External" Target="http://www3.lrs.lt/cgi-bin/preps2?a=397236&amp;b="/>
  <Relationship Id="rId466" Type="http://schemas.openxmlformats.org/officeDocument/2006/relationships/customXml" Target="../customXml/item1.xml"/>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237323&amp;b="/>
  <Relationship Id="rId49" Type="http://schemas.openxmlformats.org/officeDocument/2006/relationships/hyperlink" TargetMode="External" Target="http://www3.lrs.lt/cgi-bin/preps2?a=323071&amp;b="/>
  <Relationship Id="rId5" Type="http://schemas.openxmlformats.org/officeDocument/2006/relationships/header" Target="header57.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402516&amp;b="/>
  <Relationship Id="rId53" Type="http://schemas.openxmlformats.org/officeDocument/2006/relationships/hyperlink" TargetMode="External" Target="http://www3.lrs.lt/cgi-bin/preps2?a=402516&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369669&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57.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8c6f6de98b324436a4be9f9c80c81b7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7457566e85674a80ae974ee0c78834ca">
          <Part Type="strDalis" Nr="1" Abbr="71 str. 1 d." DocPartId="b221905cd5714dcca2e08148d3327d4d" PartId="d32398ed85b740509a266f45aecb3ac7"/>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1cb84f88629941d0a5363e257deb410f">
          <Part Type="strDalis" Nr="1" Abbr="220 str. 1 d." DocPartId="d33081b344ec4cc88edca3cdd61ebe44" PartId="e13d6d20638547d3af93b7866cabe182"/>
          <Part Type="strDalis" Nr="2" Abbr="220 str. 2 d." DocPartId="74d2537e36884c8794a683c49bdb636a" PartId="7420ddf7981043458d518f5bf511243d"/>
        </Part>
        <Part Type="straipsnis" Nr="221" Abbr="221 str." Title="Deklaracijos, ataskaitos ar kito dokumento nepateikimas" DocPartId="b21b65a00487403f8b5b4d95aecb3791" PartId="d015b16f86a24721ad2142f629c21925">
          <Part Type="strDalis" Nr="1" Abbr="221 str. 1 d." DocPartId="fbe7c797a598441b8d95233db9d331f3" PartId="afcd512f34244e808c6d1058c0314199"/>
          <Part Type="strDalis" Nr="2" Abbr="221 str. 2 d." DocPartId="2f5f230bd7e64b08859607a51f425b6a" PartId="370b31e2d27c48d4ad3c1c3e263e3dfe"/>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1 str. 2 d." DocPartId="55b1b9a4fad442baad7278e4cce32dd7" PartId="27d725cd254c4e0082b71fe71587af95"/>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7" Abbr="7 d." DocPartId="ccfb57c30ff349e79c9325d8ce9b13dc" PartId="4247988dd8b9418d84e5dc3038a18c3b"/>
          <Part Type="strDalis" Nr="8" Abbr="281 str. 8 d." DocPartId="7bd47a87423349b8b4426cbad71811cc" PartId="e8bbc14b65b341f5902ad38582809145"/>
          <Part Type="strDalis" Nr="9" Abbr="281 str. 9 d." DocPartId="9ee54888269b46079011368ffd377713" PartId="3a202612ce4b40598d522dce2bf0f78a"/>
          <Part Type="strDalis" Nr="10" Abbr="281 str. 10 d." DocPartId="cec8f86cda1c424c81769827ac6ef344" PartId="41ddaf61eb1c493cb3c58bb3829177a8"/>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424bfbeb5db4484db3a2c319ef521e92">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Part Type="skirsnis" Title="Pakeitimai:" DocPartId="b163efa8152e41d3971a9864a69008f3" PartId="d99aa92526fd4072b72fd58c7f8b7001"/>
</Parts>
</file>

<file path=customXml/itemProps1.xml><?xml version="1.0" encoding="utf-8"?>
<ds:datastoreItem xmlns:ds="http://schemas.openxmlformats.org/officeDocument/2006/customXml" ds:itemID="{92BC48D6-A505-40BA-9C1F-B0DB6F59AA88}">
  <ds:schemaRefs>
    <ds:schemaRef ds:uri="http://lrs.lt/TAIS/DocParts"/>
  </ds:schemaRefs>
</ds:datastoreItem>
</file>

<file path=docProps/app.xml><?xml version="1.0" encoding="utf-8"?>
<Properties xmlns="http://schemas.openxmlformats.org/officeDocument/2006/extended-properties">
  <Template>Normal.dotm</Template>
  <TotalTime>59</TotalTime>
  <Pages>107</Pages>
  <Words>251385</Words>
  <Characters>143290</Characters>
  <Application>Microsoft Office Word</Application>
  <DocSecurity>0</DocSecurity>
  <Lines>1194</Lines>
  <Paragraphs>787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393888</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2017-10-06T09:58:00Z</dcterms:modified>
  <revision>33</revision>
</coreProperties>
</file>