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0475280fa4490cb150d3bd2e225e5c"/>
        <w:lock w:val="sdtLocked"/>
        <w:richText/>
      </w:sdtPr>
      <w:sdtContent>
        <w:p>
          <w:pPr>
            <w:jc w:val="both"/>
            <w:rPr>
              <w:rFonts w:ascii="Times New Roman" w:hAnsi="Times New Roman"/>
            </w:rPr>
          </w:pPr>
          <w:r>
            <w:rPr>
              <w:rFonts w:ascii="Times New Roman" w:hAnsi="Times New Roman"/>
              <w:b/>
              <w:i/>
            </w:rPr>
            <w:t>Suvestinė redakcija nuo 2015-01-01 iki 2015-02-28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pPr>
        </w:p>
        <w:p>
          <w:pPr>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a0c731aaf1b439bbd0b74cb660918fa"/>
                        <w:lock w:val="sdtLocked"/>
                        <w:richText/>
                      </w:sdtPr>
                      <w:sdtContent>
                        <w:p>
                          <w:pPr>
                            <w:ind w:firstLine="720"/>
                            <w:jc w:val="both"/>
                            <w:rPr>
                              <w:color w:val="000000"/>
                              <w:sz w:val="22"/>
                            </w:rPr>
                          </w:pPr>
                          <w:sdt>
                            <w:sdtPr>
                              <w:alias w:val="Numeris"/>
                              <w:tag w:val="nr_ca0c731aaf1b439bbd0b74cb660918fa"/>
                              <w:lock w:val="sdtLocked"/>
                              <w:richText/>
                            </w:sdtPr>
                            <w:sdtContent>
                              <w:r>
                                <w:rPr>
                                  <w:color w:val="000000"/>
                                  <w:sz w:val="22"/>
                                </w:rPr>
                                <w:t>4</w:t>
                              </w:r>
                            </w:sdtContent>
                          </w:sdt>
                          <w:r>
                            <w:rPr>
                              <w:color w:val="000000"/>
                              <w:sz w:val="22"/>
                            </w:rPr>
                            <w:t>.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10cf7381842a4e7a86e81a164c3aebf8"/>
                        <w:lock w:val="sdtLocked"/>
                        <w:richText/>
                      </w:sdtPr>
                      <w:sdtContent>
                        <w:p>
                          <w:pPr>
                            <w:ind w:firstLine="720"/>
                            <w:jc w:val="both"/>
                            <w:rPr>
                              <w:bCs/>
                              <w:sz w:val="22"/>
                            </w:rPr>
                          </w:pPr>
                          <w:sdt>
                            <w:sdtPr>
                              <w:alias w:val="Numeris"/>
                              <w:tag w:val="nr_10cf7381842a4e7a86e81a164c3aebf8"/>
                              <w:lock w:val="sdtLocked"/>
                              <w:richText/>
                            </w:sdtPr>
                            <w:sdtContent>
                              <w:r>
                                <w:rPr>
                                  <w:bCs/>
                                  <w:sz w:val="22"/>
                                </w:rPr>
                                <w:t>7</w:t>
                              </w:r>
                            </w:sdtContent>
                          </w:sdt>
                          <w:r>
                            <w:rPr>
                              <w:bCs/>
                              <w:sz w:val="22"/>
                            </w:rPr>
                            <w:t>.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ca07cda291d848f0aa20470fa26407ec"/>
                        <w:lock w:val="sdtLocked"/>
                        <w:richText/>
                      </w:sdtPr>
                      <w:sdtContent>
                        <w:p>
                          <w:pPr>
                            <w:ind w:firstLine="720"/>
                            <w:jc w:val="both"/>
                            <w:rPr>
                              <w:color w:val="000000"/>
                              <w:sz w:val="22"/>
                            </w:rPr>
                          </w:pPr>
                          <w:sdt>
                            <w:sdtPr>
                              <w:alias w:val="Numeris"/>
                              <w:tag w:val="nr_ca07cda291d848f0aa20470fa26407ec"/>
                              <w:lock w:val="sdtLocked"/>
                              <w:richText/>
                            </w:sdtPr>
                            <w:sdtContent>
                              <w:r>
                                <w:rPr>
                                  <w:color w:val="000000"/>
                                  <w:sz w:val="22"/>
                                </w:rPr>
                                <w:t>1</w:t>
                              </w:r>
                            </w:sdtContent>
                          </w:sdt>
                          <w:r>
                            <w:rPr>
                              <w:color w:val="000000"/>
                              <w:sz w:val="22"/>
                            </w:rPr>
                            <w:t>. Nusikaltimų recidyvas yra tada, kai asmuo, jau teistas už tyčinio nusikaltimo padarymą, jeigu teistumas už jį neišnykęs ar nepanaikintas įstatymų nustatyta tvarka, vėl padaro vieną ar daugiau tyčinių nusikaltimų. Toks asmuo yra recidyvistas.</w:t>
                          </w:r>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2cac85f8db904173926407aecdfcff5d"/>
                        <w:lock w:val="sdtLocked"/>
                        <w:richText/>
                      </w:sdtPr>
                      <w:sdtContent>
                        <w:p>
                          <w:pPr>
                            <w:ind w:firstLine="720"/>
                            <w:jc w:val="both"/>
                            <w:rPr>
                              <w:color w:val="000000"/>
                              <w:sz w:val="22"/>
                            </w:rPr>
                          </w:pPr>
                          <w:sdt>
                            <w:sdtPr>
                              <w:alias w:val="Numeris"/>
                              <w:tag w:val="nr_2cac85f8db904173926407aecdfcff5d"/>
                              <w:lock w:val="sdtLocked"/>
                              <w:richText/>
                            </w:sdtPr>
                            <w:sdtContent>
                              <w:r>
                                <w:rPr>
                                  <w:color w:val="000000"/>
                                  <w:sz w:val="22"/>
                                </w:rPr>
                                <w:t>2</w:t>
                              </w:r>
                            </w:sdtContent>
                          </w:sdt>
                          <w:r>
                            <w:rPr>
                              <w:color w:val="000000"/>
                              <w:sz w:val="22"/>
                            </w:rPr>
                            <w:t>.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7ff8aab1994b4acebe9a0679d05eca49"/>
                    <w:lock w:val="sdtLocked"/>
                    <w:richText/>
                  </w:sdtPr>
                  <w:sdtContent>
                    <w:p>
                      <w:pPr>
                        <w:ind w:left="2700" w:hanging="1980"/>
                        <w:jc w:val="both"/>
                        <w:rPr>
                          <w:b/>
                          <w:color w:val="000000"/>
                          <w:sz w:val="22"/>
                        </w:rPr>
                      </w:pPr>
                      <w:sdt>
                        <w:sdtPr>
                          <w:alias w:val="Numeris"/>
                          <w:tag w:val="nr_7ff8aab1994b4acebe9a0679d05eca49"/>
                          <w:lock w:val="sdtLocked"/>
                          <w:richText/>
                        </w:sdtPr>
                        <w:sdtContent>
                          <w:r>
                            <w:rPr>
                              <w:b/>
                              <w:color w:val="000000"/>
                              <w:sz w:val="22"/>
                            </w:rPr>
                            <w:t>39</w:t>
                          </w:r>
                        </w:sdtContent>
                      </w:sdt>
                      <w:r>
                        <w:rPr>
                          <w:b/>
                          <w:color w:val="000000"/>
                          <w:sz w:val="22"/>
                        </w:rPr>
                        <w:t xml:space="preserve"> straipsnis. </w:t>
                      </w:r>
                      <w:sdt>
                        <w:sdtPr>
                          <w:alias w:val="Pavadinimas"/>
                          <w:tag w:val="title_7ff8aab1994b4acebe9a0679d05eca49"/>
                          <w:lock w:val="sdtLocked"/>
                          <w:richText/>
                        </w:sdtPr>
                        <w:sdtContent>
                          <w:r>
                            <w:rPr>
                              <w:b/>
                              <w:color w:val="000000"/>
                              <w:sz w:val="22"/>
                            </w:rPr>
                            <w:t xml:space="preserve">Atleidimas nuo baudžiamosios atsakomybės, kai yra lengvinančių aplinkybių </w:t>
                          </w:r>
                        </w:sdtContent>
                      </w:sdt>
                    </w:p>
                    <w:sdt>
                      <w:sdtPr>
                        <w:alias w:val="39 str. 1 d."/>
                        <w:tag w:val="part_3dd7db601d764bdfafcc9e47cecac7a6"/>
                        <w:lock w:val="sdtLocked"/>
                        <w:richText/>
                      </w:sdtPr>
                      <w:sdtContent>
                        <w:p>
                          <w:pPr>
                            <w:ind w:firstLine="720"/>
                            <w:jc w:val="both"/>
                            <w:rPr>
                              <w:rFonts w:eastAsia="Courier New"/>
                              <w:sz w:val="22"/>
                            </w:rPr>
                          </w:pPr>
                          <w:r>
                            <w:rPr>
                              <w:rFonts w:eastAsia="Courier New"/>
                              <w:sz w:val="22"/>
                            </w:rPr>
                            <w:t xml:space="preserve">Asmuo, padaręs baudžiamąjį nusižengimą arba neatsargų nusikaltimą, teismo motyvuotu sprendimu gali būti atleistas nuo baudžiamosios atsakomybės, jeigu: </w:t>
                          </w:r>
                        </w:p>
                        <w:sdt>
                          <w:sdtPr>
                            <w:alias w:val="39 str. 1 d. 1 p."/>
                            <w:tag w:val="part_b0570f5036c34c599c88c83873dc0c61"/>
                            <w:lock w:val="sdtLocked"/>
                            <w:richText/>
                          </w:sdtPr>
                          <w:sdtContent>
                            <w:p>
                              <w:pPr>
                                <w:ind w:firstLine="720"/>
                                <w:jc w:val="both"/>
                                <w:rPr>
                                  <w:rFonts w:eastAsia="Courier New"/>
                                  <w:sz w:val="22"/>
                                </w:rPr>
                              </w:pPr>
                              <w:sdt>
                                <w:sdtPr>
                                  <w:alias w:val="Numeris"/>
                                  <w:tag w:val="nr_b0570f5036c34c599c88c83873dc0c61"/>
                                  <w:lock w:val="sdtLocked"/>
                                  <w:richText/>
                                </w:sdtPr>
                                <w:sdtContent>
                                  <w:r>
                                    <w:rPr>
                                      <w:rFonts w:eastAsia="Courier New"/>
                                      <w:sz w:val="22"/>
                                    </w:rPr>
                                    <w:t>1</w:t>
                                  </w:r>
                                </w:sdtContent>
                              </w:sdt>
                              <w:r>
                                <w:rPr>
                                  <w:rFonts w:eastAsia="Courier New"/>
                                  <w:sz w:val="22"/>
                                </w:rPr>
                                <w:t xml:space="preserve">) jis pirmą kartą padarė nusikalstamą veiką ir </w:t>
                              </w:r>
                            </w:p>
                          </w:sdtContent>
                        </w:sdt>
                        <w:sdt>
                          <w:sdtPr>
                            <w:alias w:val="39 str. 1 d. 2 p."/>
                            <w:tag w:val="part_e3606c5ce9b64a229e90a4bc476fc3ca"/>
                            <w:lock w:val="sdtLocked"/>
                            <w:richText/>
                          </w:sdtPr>
                          <w:sdtContent>
                            <w:p>
                              <w:pPr>
                                <w:ind w:firstLine="720"/>
                                <w:jc w:val="both"/>
                                <w:rPr>
                                  <w:rFonts w:eastAsia="Courier New"/>
                                  <w:sz w:val="22"/>
                                </w:rPr>
                              </w:pPr>
                              <w:sdt>
                                <w:sdtPr>
                                  <w:alias w:val="Numeris"/>
                                  <w:tag w:val="nr_e3606c5ce9b64a229e90a4bc476fc3ca"/>
                                  <w:lock w:val="sdtLocked"/>
                                  <w:richText/>
                                </w:sdtPr>
                                <w:sdtContent>
                                  <w:r>
                                    <w:rPr>
                                      <w:rFonts w:eastAsia="Courier New"/>
                                      <w:sz w:val="22"/>
                                    </w:rPr>
                                    <w:t>2</w:t>
                                  </w:r>
                                </w:sdtContent>
                              </w:sdt>
                              <w:r>
                                <w:rPr>
                                  <w:rFonts w:eastAsia="Courier New"/>
                                  <w:sz w:val="22"/>
                                </w:rPr>
                                <w:t xml:space="preserve">) yra ne mažiau kaip dvi šio kodekso 59 straipsnio 1 dalyje numatytos atsakomybę lengvinančios aplinkybės, ir </w:t>
                              </w:r>
                            </w:p>
                          </w:sdtContent>
                        </w:sdt>
                        <w:sdt>
                          <w:sdtPr>
                            <w:alias w:val="39 str. 1 d. 3 p."/>
                            <w:tag w:val="part_c7dd94a7f36a44fabae7ba2d254590f0"/>
                            <w:lock w:val="sdtLocked"/>
                            <w:richText/>
                          </w:sdtPr>
                          <w:sdtContent>
                            <w:p>
                              <w:pPr>
                                <w:ind w:firstLine="720"/>
                                <w:jc w:val="both"/>
                                <w:rPr>
                                  <w:rFonts w:eastAsia="Courier New"/>
                                  <w:sz w:val="22"/>
                                </w:rPr>
                              </w:pPr>
                              <w:sdt>
                                <w:sdtPr>
                                  <w:alias w:val="Numeris"/>
                                  <w:tag w:val="nr_c7dd94a7f36a44fabae7ba2d254590f0"/>
                                  <w:lock w:val="sdtLocked"/>
                                  <w:richText/>
                                </w:sdtPr>
                                <w:sdtContent>
                                  <w:r>
                                    <w:rPr>
                                      <w:rFonts w:eastAsia="Courier New"/>
                                      <w:sz w:val="22"/>
                                    </w:rPr>
                                    <w:t>3</w:t>
                                  </w:r>
                                </w:sdtContent>
                              </w:sdt>
                              <w:r>
                                <w:rPr>
                                  <w:rFonts w:eastAsia="Courier New"/>
                                  <w:sz w:val="22"/>
                                </w:rPr>
                                <w:t>) nėra atsakomybę sunkinančių aplinkybių.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rPr>
                          <w:b/>
                          <w:sz w:val="22"/>
                        </w:rPr>
                      </w:pPr>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7156f4d9bcb14a70a1b3f0f3b6d7c772"/>
                        <w:lock w:val="sdtLocked"/>
                        <w:richText/>
                      </w:sdtPr>
                      <w:sdtContent>
                        <w:p>
                          <w:pPr>
                            <w:ind w:firstLine="720"/>
                            <w:jc w:val="both"/>
                            <w:rPr>
                              <w:rFonts w:eastAsia="MS Mincho"/>
                              <w:iCs/>
                              <w:sz w:val="22"/>
                            </w:rPr>
                          </w:pPr>
                          <w:sdt>
                            <w:sdtPr>
                              <w:alias w:val="Numeris"/>
                              <w:tag w:val="nr_7156f4d9bcb14a70a1b3f0f3b6d7c77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 xml:space="preserve">2 </w:t>
                          </w:r>
                          <w:r>
                            <w:rPr>
                              <w:sz w:val="22"/>
                              <w:szCs w:val="22"/>
                            </w:rPr>
                            <w:t>ir 72</w:t>
                          </w:r>
                          <w:r>
                            <w:rPr>
                              <w:sz w:val="22"/>
                              <w:szCs w:val="22"/>
                              <w:vertAlign w:val="superscript"/>
                            </w:rPr>
                            <w:t>3</w:t>
                          </w:r>
                          <w:r>
                            <w:rPr>
                              <w:sz w:val="22"/>
                              <w:szCs w:val="22"/>
                            </w:rPr>
                            <w:t xml:space="preserve"> straipsniais, gali būti skiriamos viena arba daugiau šių baudžiamojo poveikio priemonių – </w:t>
                          </w:r>
                          <w:r>
                            <w:rPr>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48a0a4a0b6248edb4e781829da1e7a2"/>
                    <w:lock w:val="sdtLocked"/>
                    <w:richText/>
                  </w:sdtPr>
                  <w:sdtContent>
                    <w:p>
                      <w:pPr>
                        <w:ind w:left="2430" w:hanging="1710"/>
                        <w:jc w:val="both"/>
                        <w:rPr>
                          <w:b/>
                          <w:color w:val="000000"/>
                          <w:sz w:val="22"/>
                        </w:rPr>
                      </w:pPr>
                      <w:sdt>
                        <w:sdtPr>
                          <w:alias w:val="Numeris"/>
                          <w:tag w:val="nr_648a0a4a0b6248edb4e781829da1e7a2"/>
                          <w:lock w:val="sdtLocked"/>
                          <w:richText/>
                        </w:sdtPr>
                        <w:sdtContent>
                          <w:r>
                            <w:rPr>
                              <w:b/>
                              <w:color w:val="000000"/>
                              <w:sz w:val="22"/>
                            </w:rPr>
                            <w:t>55</w:t>
                          </w:r>
                        </w:sdtContent>
                      </w:sdt>
                      <w:r>
                        <w:rPr>
                          <w:b/>
                          <w:color w:val="000000"/>
                          <w:sz w:val="22"/>
                        </w:rPr>
                        <w:t xml:space="preserve"> straipsnis. </w:t>
                      </w:r>
                      <w:sdt>
                        <w:sdtPr>
                          <w:alias w:val="Pavadinimas"/>
                          <w:tag w:val="title_648a0a4a0b6248edb4e781829da1e7a2"/>
                          <w:lock w:val="sdtLocked"/>
                          <w:richText/>
                        </w:sdtPr>
                        <w:sdtContent>
                          <w:r>
                            <w:rPr>
                              <w:b/>
                              <w:color w:val="000000"/>
                              <w:sz w:val="22"/>
                            </w:rPr>
                            <w:t xml:space="preserve">Bausmės skyrimas asmeniui, pirmą kartą teisiamam už nesunkų ar apysunkį tyčinį nusikaltimą </w:t>
                          </w:r>
                        </w:sdtContent>
                      </w:sdt>
                    </w:p>
                    <w:sdt>
                      <w:sdtPr>
                        <w:alias w:val="55 str. 1 d."/>
                        <w:tag w:val="part_8f3242d3450b45008c42e91de8633eb5"/>
                        <w:lock w:val="sdtLocked"/>
                        <w:richText/>
                      </w:sdtPr>
                      <w:sdtContent>
                        <w:p>
                          <w:pPr>
                            <w:ind w:firstLine="720"/>
                            <w:jc w:val="both"/>
                            <w:rPr>
                              <w:color w:val="000000"/>
                              <w:sz w:val="22"/>
                            </w:rPr>
                          </w:pPr>
                          <w:r>
                            <w:rPr>
                              <w:color w:val="000000"/>
                              <w:sz w:val="22"/>
                            </w:rPr>
                            <w:t>Asmeniui, pirmą kartą teisiamam už nesunkų ar apysunkį tyčinį nusikaltimą, teismas paprastai skiria su laisvės atėmimu nesusijusias bausmes. Skirdamas laisvės atėmimo bausmę, teismas privalo motyvuoti savo sprendimą.</w:t>
                          </w:r>
                        </w:p>
                        <w:p>
                          <w:pPr>
                            <w:ind w:firstLine="720"/>
                            <w:jc w:val="both"/>
                            <w:rPr>
                              <w:color w:val="000000"/>
                              <w:sz w:val="22"/>
                            </w:rPr>
                          </w:pPr>
                        </w:p>
                      </w:sdtContent>
                    </w:sdt>
                  </w:sdtContent>
                </w:sdt>
                <w:sdt>
                  <w:sdtPr>
                    <w:alias w:val="56 str."/>
                    <w:tag w:val="part_d035014739f241e19933a5f9a0fdae41"/>
                    <w:lock w:val="sdtLocked"/>
                    <w:richText/>
                  </w:sdtPr>
                  <w:sdtContent>
                    <w:p>
                      <w:pPr>
                        <w:ind w:left="2430" w:hanging="1710"/>
                        <w:jc w:val="both"/>
                        <w:rPr>
                          <w:b/>
                          <w:color w:val="000000"/>
                          <w:sz w:val="22"/>
                        </w:rPr>
                      </w:pPr>
                      <w:sdt>
                        <w:sdtPr>
                          <w:alias w:val="Numeris"/>
                          <w:tag w:val="nr_d035014739f241e19933a5f9a0fdae41"/>
                          <w:lock w:val="sdtLocked"/>
                          <w:richText/>
                        </w:sdtPr>
                        <w:sdtContent>
                          <w:r>
                            <w:rPr>
                              <w:b/>
                              <w:color w:val="000000"/>
                              <w:sz w:val="22"/>
                            </w:rPr>
                            <w:t>56</w:t>
                          </w:r>
                        </w:sdtContent>
                      </w:sdt>
                      <w:r>
                        <w:rPr>
                          <w:b/>
                          <w:color w:val="000000"/>
                          <w:sz w:val="22"/>
                        </w:rPr>
                        <w:t xml:space="preserve"> straipsnis. </w:t>
                      </w:r>
                      <w:sdt>
                        <w:sdtPr>
                          <w:alias w:val="Pavadinimas"/>
                          <w:tag w:val="title_d035014739f241e19933a5f9a0fdae41"/>
                          <w:lock w:val="sdtLocked"/>
                          <w:richText/>
                        </w:sdtPr>
                        <w:sdtContent>
                          <w:r>
                            <w:rPr>
                              <w:b/>
                              <w:color w:val="000000"/>
                              <w:sz w:val="22"/>
                            </w:rPr>
                            <w:t xml:space="preserve">Bausmės skyrimas recidyvistui už tyčinio nusikaltimo padarymą </w:t>
                          </w:r>
                        </w:sdtContent>
                      </w:sdt>
                    </w:p>
                    <w:sdt>
                      <w:sdtPr>
                        <w:alias w:val="56 str. 1 d."/>
                        <w:tag w:val="part_cb916f867f7c4158bda50085896cb2e4"/>
                        <w:lock w:val="sdtLocked"/>
                        <w:richText/>
                      </w:sdtPr>
                      <w:sdtContent>
                        <w:p>
                          <w:pPr>
                            <w:ind w:firstLine="720"/>
                            <w:jc w:val="both"/>
                            <w:rPr>
                              <w:color w:val="000000"/>
                              <w:sz w:val="22"/>
                            </w:rPr>
                          </w:pPr>
                          <w:sdt>
                            <w:sdtPr>
                              <w:alias w:val="Numeris"/>
                              <w:tag w:val="nr_cb916f867f7c4158bda50085896cb2e4"/>
                              <w:lock w:val="sdtLocked"/>
                              <w:richText/>
                            </w:sdtPr>
                            <w:sdtContent>
                              <w:r>
                                <w:rPr>
                                  <w:color w:val="000000"/>
                                  <w:sz w:val="22"/>
                                </w:rPr>
                                <w:t>1</w:t>
                              </w:r>
                            </w:sdtContent>
                          </w:sdt>
                          <w:r>
                            <w:rPr>
                              <w:color w:val="000000"/>
                              <w:sz w:val="22"/>
                            </w:rPr>
                            <w:t xml:space="preserve">. Recidyvistui už tyčinio nusikaltimo padarymą teismas paprastai skiria laisvės atėmimo bausmę. </w:t>
                          </w:r>
                        </w:p>
                      </w:sdtContent>
                    </w:sdt>
                    <w:sdt>
                      <w:sdtPr>
                        <w:alias w:val="56 str. 2 d."/>
                        <w:tag w:val="part_1d6d478d9e9740e1b0f7a198a6503662"/>
                        <w:lock w:val="sdtLocked"/>
                        <w:richText/>
                      </w:sdtPr>
                      <w:sdtContent>
                        <w:p>
                          <w:pPr>
                            <w:ind w:firstLine="720"/>
                            <w:jc w:val="both"/>
                            <w:rPr>
                              <w:color w:val="000000"/>
                              <w:sz w:val="22"/>
                            </w:rPr>
                          </w:pPr>
                          <w:sdt>
                            <w:sdtPr>
                              <w:alias w:val="Numeris"/>
                              <w:tag w:val="nr_1d6d478d9e9740e1b0f7a198a6503662"/>
                              <w:lock w:val="sdtLocked"/>
                              <w:richText/>
                            </w:sdtPr>
                            <w:sdtContent>
                              <w:r>
                                <w:rPr>
                                  <w:color w:val="000000"/>
                                  <w:sz w:val="22"/>
                                </w:rPr>
                                <w:t>2</w:t>
                              </w:r>
                            </w:sdtContent>
                          </w:sdt>
                          <w:r>
                            <w:rPr>
                              <w:color w:val="000000"/>
                              <w:sz w:val="22"/>
                            </w:rPr>
                            <w:t>.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pPr>
                            <w:ind w:firstLine="720"/>
                            <w:jc w:val="both"/>
                            <w:rPr>
                              <w:color w:val="000000"/>
                              <w:sz w:val="22"/>
                            </w:rPr>
                          </w:pPr>
                        </w:p>
                      </w:sdtContent>
                    </w:sdt>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1043f9efaddf40c0bac9c40ca665a24a"/>
                            <w:lock w:val="sdtLocked"/>
                            <w:richText/>
                          </w:sdtPr>
                          <w:sdtContent>
                            <w:p>
                              <w:pPr>
                                <w:ind w:firstLine="720"/>
                                <w:jc w:val="both"/>
                                <w:rPr>
                                  <w:color w:val="000000"/>
                                  <w:sz w:val="22"/>
                                </w:rPr>
                              </w:pPr>
                              <w:sdt>
                                <w:sdtPr>
                                  <w:alias w:val="Numeris"/>
                                  <w:tag w:val="nr_1043f9efaddf40c0bac9c40ca665a24a"/>
                                  <w:lock w:val="sdtLocked"/>
                                  <w:richText/>
                                </w:sdtPr>
                                <w:sdtContent>
                                  <w:r>
                                    <w:rPr>
                                      <w:color w:val="000000"/>
                                      <w:sz w:val="22"/>
                                    </w:rPr>
                                    <w:t>2</w:t>
                                  </w:r>
                                </w:sdtContent>
                              </w:sdt>
                              <w:r>
                                <w:rPr>
                                  <w:color w:val="000000"/>
                                  <w:sz w:val="22"/>
                                </w:rPr>
                                <w:t>) paskirti mažesnę bausmę, negu nustatyta šio kodekso 56 straipsnio 2 dalyje, arba</w:t>
                              </w:r>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5acb1b7f807048ad8aebd0ca4ae69f8f"/>
                            <w:lock w:val="sdtLocked"/>
                            <w:richText/>
                          </w:sdtPr>
                          <w:sdtContent>
                            <w:p>
                              <w:pPr>
                                <w:ind w:right="135" w:firstLine="720"/>
                                <w:jc w:val="both"/>
                                <w:rPr>
                                  <w:sz w:val="22"/>
                                  <w:szCs w:val="22"/>
                                  <w:lang w:val="x-none"/>
                                </w:rPr>
                              </w:pPr>
                              <w:sdt>
                                <w:sdtPr>
                                  <w:alias w:val="Numeris"/>
                                  <w:tag w:val="nr_5acb1b7f807048ad8aebd0ca4ae69f8f"/>
                                  <w:lock w:val="sdtLocked"/>
                                  <w:richText/>
                                </w:sdtPr>
                                <w:sdtContent>
                                  <w:r>
                                    <w:rPr>
                                      <w:sz w:val="22"/>
                                      <w:szCs w:val="22"/>
                                      <w:lang w:val="x-none"/>
                                    </w:rPr>
                                    <w:t>8</w:t>
                                  </w:r>
                                </w:sdtContent>
                              </w:sdt>
                              <w:r>
                                <w:rPr>
                                  <w:sz w:val="22"/>
                                  <w:szCs w:val="22"/>
                                  <w:lang w:val="x-none"/>
                                </w:rPr>
                                <w:t>) draudimas prisiartinti prie nukentėjusio asmens;</w:t>
                              </w:r>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f2ce54e5e16542eb8ff590d4c4a02e1d"/>
                        <w:lock w:val="sdtLocked"/>
                        <w:richText/>
                      </w:sdtPr>
                      <w:sdtContent>
                        <w:p>
                          <w:pPr>
                            <w:ind w:firstLine="720"/>
                            <w:jc w:val="both"/>
                            <w:rPr>
                              <w:sz w:val="22"/>
                              <w:szCs w:val="22"/>
                            </w:rPr>
                          </w:pPr>
                          <w:sdt>
                            <w:sdtPr>
                              <w:alias w:val="Numeris"/>
                              <w:tag w:val="nr_f2ce54e5e16542eb8ff590d4c4a02e1d"/>
                              <w:lock w:val="sdtLocked"/>
                              <w:richText/>
                            </w:sdtPr>
                            <w:sdtContent>
                              <w:r>
                                <w:rPr>
                                  <w:sz w:val="22"/>
                                  <w:szCs w:val="22"/>
                                </w:rPr>
                                <w:t>3</w:t>
                              </w:r>
                            </w:sdtContent>
                          </w:sdt>
                          <w:r>
                            <w:rPr>
                              <w:sz w:val="22"/>
                              <w:szCs w:val="22"/>
                            </w:rPr>
                            <w:t xml:space="preserve">. Uždraudimas naudotis specialia teise, </w:t>
                          </w:r>
                          <w:r>
                            <w:rPr>
                              <w:iCs/>
                              <w:sz w:val="22"/>
                              <w:szCs w:val="22"/>
                            </w:rPr>
                            <w:t>viešųjų teisių atėmimas,</w:t>
                          </w:r>
                          <w:r>
                            <w:rPr>
                              <w:sz w:val="22"/>
                              <w:szCs w:val="22"/>
                            </w:rPr>
                            <w:t xml:space="preserve"> </w:t>
                          </w:r>
                          <w:r>
                            <w:rPr>
                              <w:iCs/>
                              <w:sz w:val="22"/>
                              <w:szCs w:val="22"/>
                            </w:rPr>
                            <w:t>teisės dirbti tam tikrą darbą arba užsiimti tam tikra veikla atėmimas,</w:t>
                          </w:r>
                          <w:r>
                            <w:rPr>
                              <w:sz w:val="22"/>
                              <w:szCs w:val="22"/>
                            </w:rPr>
                            <w:t xml:space="preserve"> turto konfiskavimas, draudimas prisiartinti prie nukentėjusio asmens, dalyvavimas smurtinį elgesį keičiančiose programose, išplėstinis turto konfiskavimas gali būti skiriami kartu su bausme.</w:t>
                          </w:r>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c8b02f1b62f24a8c9ba1e53b32f8c4f3"/>
                    <w:lock w:val="sdtLocked"/>
                    <w:richText/>
                  </w:sdtPr>
                  <w:sdtContent>
                    <w:p>
                      <w:pPr>
                        <w:ind w:firstLine="720"/>
                        <w:jc w:val="both"/>
                        <w:rPr>
                          <w:sz w:val="22"/>
                          <w:szCs w:val="22"/>
                        </w:rPr>
                      </w:pPr>
                      <w:sdt>
                        <w:sdtPr>
                          <w:alias w:val="Numeris"/>
                          <w:tag w:val="nr_c8b02f1b62f24a8c9ba1e53b32f8c4f3"/>
                          <w:lock w:val="sdtLocked"/>
                          <w:richText/>
                        </w:sdtPr>
                        <w:sdtContent>
                          <w:r>
                            <w:rPr>
                              <w:b/>
                              <w:bCs/>
                              <w:sz w:val="22"/>
                            </w:rPr>
                            <w:t>72</w:t>
                          </w:r>
                          <w:r>
                            <w:rPr>
                              <w:b/>
                              <w:bCs/>
                              <w:sz w:val="22"/>
                              <w:vertAlign w:val="superscript"/>
                            </w:rPr>
                            <w:t>1</w:t>
                          </w:r>
                        </w:sdtContent>
                      </w:sdt>
                      <w:r>
                        <w:rPr>
                          <w:b/>
                          <w:bCs/>
                          <w:sz w:val="22"/>
                        </w:rPr>
                        <w:t xml:space="preserve"> straipsnis. </w:t>
                      </w:r>
                      <w:sdt>
                        <w:sdtPr>
                          <w:alias w:val="Pavadinimas"/>
                          <w:tag w:val="title_c8b02f1b62f24a8c9ba1e53b32f8c4f3"/>
                          <w:lock w:val="sdtLocked"/>
                          <w:richText/>
                        </w:sdtPr>
                        <w:sdtContent>
                          <w:r>
                            <w:rPr>
                              <w:b/>
                              <w:bCs/>
                              <w:sz w:val="22"/>
                              <w:szCs w:val="22"/>
                            </w:rPr>
                            <w:t>Draudimas prisiartinti prie nukentėjusio asmens</w:t>
                          </w:r>
                        </w:sdtContent>
                      </w:sdt>
                    </w:p>
                    <w:sdt>
                      <w:sdtPr>
                        <w:alias w:val="72-1 str. 1 d."/>
                        <w:tag w:val="part_76f7768d81d746e2ac3cd346f03f4e8c"/>
                        <w:lock w:val="sdtLocked"/>
                        <w:richText/>
                      </w:sdtPr>
                      <w:sdtContent>
                        <w:p>
                          <w:pPr>
                            <w:ind w:firstLine="720"/>
                            <w:jc w:val="both"/>
                            <w:rPr>
                              <w:sz w:val="22"/>
                              <w:szCs w:val="22"/>
                            </w:rPr>
                          </w:pPr>
                          <w:sdt>
                            <w:sdtPr>
                              <w:alias w:val="Numeris"/>
                              <w:tag w:val="nr_76f7768d81d746e2ac3cd346f03f4e8c"/>
                              <w:lock w:val="sdtLocked"/>
                              <w:richText/>
                            </w:sdtPr>
                            <w:sdtContent>
                              <w:r>
                                <w:rPr>
                                  <w:color w:val="000000"/>
                                  <w:sz w:val="22"/>
                                  <w:szCs w:val="22"/>
                                </w:rPr>
                                <w:t>1</w:t>
                              </w:r>
                            </w:sdtContent>
                          </w:sdt>
                          <w:r>
                            <w:rPr>
                              <w:color w:val="000000"/>
                              <w:sz w:val="22"/>
                              <w:szCs w:val="22"/>
                            </w:rPr>
                            <w:t xml:space="preserve">. Teismas gali skirti </w:t>
                          </w:r>
                          <w:r>
                            <w:rPr>
                              <w:sz w:val="22"/>
                              <w:szCs w:val="22"/>
                            </w:rPr>
                            <w:t>draudimą prisiartinti prie nukentėjusio asmens</w:t>
                          </w:r>
                          <w:r>
                            <w:rPr>
                              <w:color w:val="000000"/>
                              <w:sz w:val="22"/>
                              <w:szCs w:val="22"/>
                            </w:rPr>
                            <w:t>, j</w:t>
                          </w:r>
                          <w:r>
                            <w:rPr>
                              <w:sz w:val="22"/>
                              <w:szCs w:val="22"/>
                            </w:rPr>
                            <w:t>ei tai būtina siekiant apsaugoti nukentėjusio asmens teisėtus interesus.</w:t>
                          </w:r>
                        </w:p>
                      </w:sdtContent>
                    </w:sdt>
                    <w:sdt>
                      <w:sdtPr>
                        <w:alias w:val="72-1 str. 2 d."/>
                        <w:tag w:val="part_49594ff846704ec68e6528d02a8a9ca7"/>
                        <w:lock w:val="sdtLocked"/>
                        <w:richText/>
                      </w:sdtPr>
                      <w:sdtContent>
                        <w:p>
                          <w:pPr>
                            <w:ind w:firstLine="720"/>
                            <w:jc w:val="both"/>
                            <w:rPr>
                              <w:sz w:val="22"/>
                            </w:rPr>
                          </w:pPr>
                          <w:sdt>
                            <w:sdtPr>
                              <w:alias w:val="Numeris"/>
                              <w:tag w:val="nr_49594ff846704ec68e6528d02a8a9ca7"/>
                              <w:lock w:val="sdtLocked"/>
                              <w:richText/>
                            </w:sdtPr>
                            <w:sdtContent>
                              <w:r>
                                <w:rPr>
                                  <w:color w:val="000000"/>
                                  <w:sz w:val="22"/>
                                  <w:szCs w:val="22"/>
                                </w:rPr>
                                <w:t>2</w:t>
                              </w:r>
                            </w:sdtContent>
                          </w:sdt>
                          <w:r>
                            <w:rPr>
                              <w:color w:val="000000"/>
                              <w:sz w:val="22"/>
                              <w:szCs w:val="22"/>
                            </w:rPr>
                            <w:t>. Paskyrus draudimą prisiartinti prie nukentėjusio asmens, iki teismo nustatyto termino pabaigos kaltininkui draudžiama bendrauti ir ieškoti ryšių su nukentėjusiu asmeniu, lankytis nurodytose vietose, kuriose būna nukentėjęs asmuo.</w:t>
                          </w:r>
                        </w:p>
                      </w:sdtContent>
                    </w:sdt>
                    <w:sdt>
                      <w:sdtPr>
                        <w:alias w:val="72-1 str. 3 d."/>
                        <w:tag w:val="part_2dafe07466a54919badc2026f75a2813"/>
                        <w:lock w:val="sdtLocked"/>
                        <w:richText/>
                      </w:sdtPr>
                      <w:sdtContent>
                        <w:p>
                          <w:pPr>
                            <w:ind w:firstLine="720"/>
                            <w:jc w:val="both"/>
                            <w:rPr>
                              <w:color w:val="000000"/>
                              <w:sz w:val="22"/>
                              <w:szCs w:val="22"/>
                            </w:rPr>
                          </w:pPr>
                          <w:sdt>
                            <w:sdtPr>
                              <w:alias w:val="Numeris"/>
                              <w:tag w:val="nr_2dafe07466a54919badc2026f75a2813"/>
                              <w:lock w:val="sdtLocked"/>
                              <w:richText/>
                            </w:sdtPr>
                            <w:sdtContent>
                              <w:r>
                                <w:rPr>
                                  <w:sz w:val="22"/>
                                </w:rPr>
                                <w:t>3</w:t>
                              </w:r>
                            </w:sdtContent>
                          </w:sdt>
                          <w:r>
                            <w:rPr>
                              <w:sz w:val="22"/>
                            </w:rPr>
                            <w:t xml:space="preserve">. Jei kaltininkas ir nukentėjęs asmuo gyvena vienoje gyvenamojoje patalpoje, paskyrus </w:t>
                          </w:r>
                          <w:r>
                            <w:rPr>
                              <w:color w:val="000000"/>
                              <w:sz w:val="22"/>
                              <w:szCs w:val="22"/>
                            </w:rPr>
                            <w:t xml:space="preserve">draudimą prisiartinti prie </w:t>
                          </w:r>
                          <w:r>
                            <w:rPr>
                              <w:iCs/>
                              <w:color w:val="000000"/>
                              <w:sz w:val="22"/>
                              <w:szCs w:val="22"/>
                            </w:rPr>
                            <w:t>nukentėjusio asmens</w:t>
                          </w:r>
                          <w:r>
                            <w:rPr>
                              <w:i/>
                              <w:color w:val="000000"/>
                              <w:sz w:val="22"/>
                              <w:szCs w:val="22"/>
                            </w:rPr>
                            <w:t>,</w:t>
                          </w:r>
                          <w:r>
                            <w:rPr>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sz w:val="22"/>
                          <w:szCs w:val="22"/>
                        </w:rPr>
                      </w:pPr>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0a46c8dae4ce4345aafba38e3a7724df"/>
                        <w:lock w:val="sdtLocked"/>
                        <w:richText/>
                      </w:sdtPr>
                      <w:sdtContent>
                        <w:p>
                          <w:pPr>
                            <w:ind w:firstLine="720"/>
                            <w:jc w:val="both"/>
                            <w:rPr>
                              <w:sz w:val="22"/>
                              <w:szCs w:val="22"/>
                            </w:rPr>
                          </w:pPr>
                          <w:sdt>
                            <w:sdtPr>
                              <w:alias w:val="Numeris"/>
                              <w:tag w:val="nr_0a46c8dae4ce4345aafba38e3a7724df"/>
                              <w:lock w:val="sdtLocked"/>
                              <w:richText/>
                            </w:sdtPr>
                            <w:sdtContent>
                              <w:r>
                                <w:rPr>
                                  <w:sz w:val="22"/>
                                  <w:szCs w:val="22"/>
                                </w:rPr>
                                <w:t>1</w:t>
                              </w:r>
                            </w:sdtContent>
                          </w:sdt>
                          <w:r>
                            <w:rPr>
                              <w:sz w:val="22"/>
                              <w:szCs w:val="22"/>
                            </w:rPr>
                            <w:t xml:space="preserve">.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e460bd88d38641b097f5c8ec36dfb62f"/>
                        <w:lock w:val="sdtLocked"/>
                        <w:richText/>
                      </w:sdtPr>
                      <w:sdtContent>
                        <w:p>
                          <w:pPr>
                            <w:ind w:firstLine="720"/>
                            <w:jc w:val="both"/>
                            <w:rPr>
                              <w:color w:val="000000"/>
                              <w:sz w:val="22"/>
                            </w:rPr>
                          </w:pPr>
                          <w:sdt>
                            <w:sdtPr>
                              <w:alias w:val="Numeris"/>
                              <w:tag w:val="nr_e460bd88d38641b097f5c8ec36dfb62f"/>
                              <w:lock w:val="sdtLocked"/>
                              <w:richText/>
                            </w:sdtPr>
                            <w:sdtContent>
                              <w:r>
                                <w:rPr>
                                  <w:color w:val="000000"/>
                                  <w:sz w:val="22"/>
                                </w:rPr>
                                <w:t>3</w:t>
                              </w:r>
                            </w:sdtContent>
                          </w:sdt>
                          <w:r>
                            <w:rPr>
                              <w:color w:val="000000"/>
                              <w:sz w:val="22"/>
                            </w:rPr>
                            <w:t>. Tas, kas šio straipsnio 1 dalyje nurodytą veiką padarė mažamečiui arba kankindamas nukentėjusį asmenį,</w:t>
                          </w:r>
                        </w:p>
                        <w:p>
                          <w:pPr>
                            <w:ind w:firstLine="720"/>
                            <w:jc w:val="both"/>
                            <w:rPr>
                              <w:color w:val="000000"/>
                              <w:sz w:val="22"/>
                            </w:rPr>
                          </w:pPr>
                          <w:r>
                            <w:rPr>
                              <w:color w:val="000000"/>
                              <w:sz w:val="22"/>
                            </w:rPr>
                            <w:t>baudžiamas laisvės atėmimu iki dvejų metų.</w:t>
                          </w:r>
                        </w:p>
                      </w:sdtContent>
                    </w:sdt>
                    <w:sdt>
                      <w:sdtPr>
                        <w:alias w:val="140 str. 4 d."/>
                        <w:tag w:val="part_e49b87ba11c0462dafd77ab4844722ac"/>
                        <w:lock w:val="sdtLocked"/>
                        <w:richText/>
                      </w:sdtPr>
                      <w:sdtContent>
                        <w:p>
                          <w:pPr>
                            <w:ind w:firstLine="720"/>
                            <w:jc w:val="both"/>
                            <w:rPr>
                              <w:color w:val="000000"/>
                              <w:sz w:val="22"/>
                            </w:rPr>
                          </w:pPr>
                          <w:sdt>
                            <w:sdtPr>
                              <w:alias w:val="Numeris"/>
                              <w:tag w:val="nr_e49b87ba11c0462dafd77ab4844722ac"/>
                              <w:lock w:val="sdtLocked"/>
                              <w:richText/>
                            </w:sdtPr>
                            <w:sdtContent>
                              <w:r>
                                <w:rPr>
                                  <w:color w:val="000000"/>
                                  <w:sz w:val="22"/>
                                </w:rPr>
                                <w:t>4</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3aa18fe92e740d09c1a7baf2b1b3389"/>
                        <w:lock w:val="sdtLocked"/>
                        <w:richText/>
                      </w:sdtPr>
                      <w:sdtContent>
                        <w:p>
                          <w:pPr>
                            <w:ind w:firstLine="720"/>
                            <w:jc w:val="both"/>
                            <w:rPr>
                              <w:color w:val="000000"/>
                              <w:sz w:val="22"/>
                            </w:rPr>
                          </w:pPr>
                          <w:sdt>
                            <w:sdtPr>
                              <w:alias w:val="Numeris"/>
                              <w:tag w:val="nr_13aa18fe92e740d09c1a7baf2b1b3389"/>
                              <w:lock w:val="sdtLocked"/>
                              <w:richText/>
                            </w:sdtPr>
                            <w:sdtContent>
                              <w:r>
                                <w:rPr>
                                  <w:color w:val="000000"/>
                                  <w:sz w:val="22"/>
                                </w:rPr>
                                <w:t>2</w:t>
                              </w:r>
                            </w:sdtContent>
                          </w:sdt>
                          <w:r>
                            <w:rPr>
                              <w:color w:val="000000"/>
                              <w:sz w:val="22"/>
                            </w:rPr>
                            <w:t>. Tas, kas padarė šio straipsnio 1 dalyje numatytą veiką ir dėl to kitam asmeniui padarė didelės turtinės žalos,</w:t>
                          </w:r>
                        </w:p>
                        <w:p>
                          <w:pPr>
                            <w:ind w:firstLine="720"/>
                            <w:jc w:val="both"/>
                            <w:rPr>
                              <w:color w:val="000000"/>
                              <w:sz w:val="22"/>
                            </w:rPr>
                          </w:pPr>
                          <w:r>
                            <w:rPr>
                              <w:color w:val="000000"/>
                              <w:sz w:val="22"/>
                            </w:rPr>
                            <w:t>baudžiamas laisvės atėmimu iki šešerių metų.</w:t>
                          </w:r>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9779e9a1a31b4656abbd337e59a42061"/>
                        <w:lock w:val="sdtLocked"/>
                        <w:richText/>
                      </w:sdtPr>
                      <w:sdtContent>
                        <w:p>
                          <w:pPr>
                            <w:ind w:firstLine="720"/>
                            <w:jc w:val="both"/>
                            <w:rPr>
                              <w:sz w:val="22"/>
                              <w:szCs w:val="22"/>
                            </w:rPr>
                          </w:pPr>
                          <w:sdt>
                            <w:sdtPr>
                              <w:alias w:val="Numeris"/>
                              <w:tag w:val="nr_9779e9a1a31b4656abbd337e59a42061"/>
                              <w:lock w:val="sdtLocked"/>
                              <w:richText/>
                            </w:sdtPr>
                            <w:sdtContent>
                              <w:r>
                                <w:rPr>
                                  <w:sz w:val="22"/>
                                  <w:szCs w:val="22"/>
                                </w:rPr>
                                <w:t>2</w:t>
                              </w:r>
                            </w:sdtContent>
                          </w:sdt>
                          <w:r>
                            <w:rPr>
                              <w:sz w:val="22"/>
                              <w:szCs w:val="22"/>
                            </w:rPr>
                            <w:t xml:space="preserve">. Tas, kas sunaikino ar sugadino svetimą turtą visuotinai pavojingu būdu arba išardydamas ar sugadindamas įrenginį ar agregatą, jeigu dėl to galėjo nukentėti žmonės, </w:t>
                          </w:r>
                          <w:r>
                            <w:rPr>
                              <w:bCs/>
                              <w:sz w:val="22"/>
                              <w:szCs w:val="22"/>
                            </w:rPr>
                            <w:t xml:space="preserve">arba sunaikino, išardė ar sugadino </w:t>
                          </w:r>
                          <w:r>
                            <w:rPr>
                              <w:bCs/>
                              <w:color w:val="000000"/>
                              <w:sz w:val="22"/>
                              <w:szCs w:val="22"/>
                            </w:rPr>
                            <w:t xml:space="preserve">strateginę arba svarbią reikšmę nacionaliniam saugumui turinčių juridinių asmenų infrastruktūrą sudarantį turtą ar jo dalį, </w:t>
                          </w:r>
                          <w:r>
                            <w:rPr>
                              <w:color w:val="000000"/>
                              <w:sz w:val="22"/>
                              <w:szCs w:val="22"/>
                            </w:rPr>
                            <w:t xml:space="preserve">arba </w:t>
                          </w:r>
                          <w:r>
                            <w:rPr>
                              <w:sz w:val="22"/>
                              <w:szCs w:val="22"/>
                            </w:rPr>
                            <w:t>sunaikino ar sugadino didelės vertės svetimą turtą ar didelės mokslinės, istorinės ar kultūrinės reikšmės turinčias vertybes,</w:t>
                          </w:r>
                        </w:p>
                        <w:p>
                          <w:pPr>
                            <w:ind w:firstLine="709"/>
                            <w:jc w:val="both"/>
                            <w:rPr>
                              <w:sz w:val="22"/>
                              <w:szCs w:val="22"/>
                            </w:rPr>
                          </w:pPr>
                          <w:r>
                            <w:rPr>
                              <w:sz w:val="22"/>
                              <w:szCs w:val="22"/>
                            </w:rPr>
                            <w:t>baudžiamas areštu arba laisvės atėmimu iki penkerių metų.</w:t>
                          </w:r>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a8a9b9118f3456ea0db00838c172134"/>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a8a9b9118f3456ea0db00838c172134"/>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pr. 22 p."/>
            <w:tag w:val="part_3b154619bf5a4a2d8bdf97150bdf6bd4"/>
            <w:lock w:val="sdtLocked"/>
            <w:richText/>
          </w:sdtPr>
          <w:sdtContent>
            <w:p>
              <w:pPr>
                <w:ind w:firstLine="720"/>
                <w:jc w:val="both"/>
                <w:rPr>
                  <w:sz w:val="22"/>
                  <w:szCs w:val="22"/>
                </w:rPr>
              </w:pPr>
              <w:sdt>
                <w:sdtPr>
                  <w:alias w:val="Numeris"/>
                  <w:tag w:val="nr_3b154619bf5a4a2d8bdf97150bdf6bd4"/>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sdtContent>
        </w:sdt>
        <w:sdt>
          <w:sdtPr>
            <w:alias w:val="pr. 23 p."/>
            <w:tag w:val="part_da049de00f0a4b80afc39da58ab64946"/>
            <w:lock w:val="sdtLocked"/>
            <w:richText/>
          </w:sdtPr>
          <w:sdtContent>
            <w:p>
              <w:pPr>
                <w:ind w:firstLine="720"/>
                <w:jc w:val="both"/>
                <w:rPr>
                  <w:sz w:val="22"/>
                  <w:szCs w:val="22"/>
                </w:rPr>
              </w:pPr>
              <w:sdt>
                <w:sdtPr>
                  <w:alias w:val="Numeris"/>
                  <w:tag w:val="nr_da049de00f0a4b80afc39da58ab6494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sdtContent>
        </w:sdt>
        <w:sdt>
          <w:sdtPr>
            <w:alias w:val="pr. 24 p."/>
            <w:tag w:val="part_cc720641e1144218a49769b3aa9225f9"/>
            <w:lock w:val="sdtLocked"/>
            <w:richText/>
          </w:sdtPr>
          <w:sdtContent>
            <w:p>
              <w:pPr>
                <w:ind w:firstLine="720"/>
                <w:jc w:val="both"/>
                <w:rPr>
                  <w:iCs/>
                  <w:sz w:val="22"/>
                  <w:szCs w:val="22"/>
                </w:rPr>
              </w:pPr>
              <w:sdt>
                <w:sdtPr>
                  <w:alias w:val="Numeris"/>
                  <w:tag w:val="nr_cc720641e1144218a49769b3aa9225f9"/>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sdtContent>
        </w:sdt>
        <w:sdt>
          <w:sdtPr>
            <w:alias w:val="pr. 25 p."/>
            <w:tag w:val="part_cd53a5ab236b4d1caefcfba00382f52e"/>
            <w:lock w:val="sdtLocked"/>
            <w:richText/>
          </w:sdtPr>
          <w:sdtContent>
            <w:p>
              <w:pPr>
                <w:ind w:firstLine="720"/>
                <w:jc w:val="both"/>
                <w:rPr>
                  <w:sz w:val="22"/>
                  <w:szCs w:val="22"/>
                </w:rPr>
              </w:pPr>
              <w:sdt>
                <w:sdtPr>
                  <w:alias w:val="Numeris"/>
                  <w:tag w:val="nr_cd53a5ab236b4d1caefcfba00382f52e"/>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sdtContent>
        </w:sdt>
        <w:sdt>
          <w:sdtPr>
            <w:alias w:val="pr. 26 p."/>
            <w:tag w:val="part_78840694ac0f47d498da54762a402751"/>
            <w:lock w:val="sdtLocked"/>
            <w:richText/>
          </w:sdtPr>
          <w:sdtContent>
            <w:p>
              <w:pPr>
                <w:ind w:firstLine="720"/>
                <w:jc w:val="both"/>
                <w:rPr>
                  <w:bCs/>
                  <w:sz w:val="22"/>
                  <w:szCs w:val="22"/>
                </w:rPr>
              </w:pPr>
              <w:sdt>
                <w:sdtPr>
                  <w:alias w:val="Numeris"/>
                  <w:tag w:val="nr_78840694ac0f47d498da54762a402751"/>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7 p."/>
            <w:tag w:val="part_ff2f45e246954a448731bad1d2ace6d7"/>
            <w:lock w:val="sdtLocked"/>
            <w:richText/>
          </w:sdtPr>
          <w:sdtContent>
            <w:p>
              <w:pPr>
                <w:ind w:firstLine="720"/>
                <w:jc w:val="both"/>
                <w:rPr>
                  <w:i/>
                  <w:iCs/>
                  <w:sz w:val="22"/>
                  <w:szCs w:val="22"/>
                </w:rPr>
              </w:pPr>
              <w:sdt>
                <w:sdtPr>
                  <w:alias w:val="Numeris"/>
                  <w:tag w:val="nr_ff2f45e246954a448731bad1d2ace6d7"/>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sdtContent>
        </w:sdt>
        <w:sdt>
          <w:sdtPr>
            <w:alias w:val="pr. 28 p."/>
            <w:tag w:val="part_4ba2ead0a3ab4acfbb00ab316e8fa3d2"/>
            <w:lock w:val="sdtLocked"/>
            <w:richText/>
          </w:sdtPr>
          <w:sdtContent>
            <w:p>
              <w:pPr>
                <w:ind w:firstLine="720"/>
                <w:jc w:val="both"/>
              </w:pPr>
              <w:sdt>
                <w:sdtPr>
                  <w:alias w:val="Numeris"/>
                  <w:tag w:val="nr_4ba2ead0a3ab4acfbb00ab316e8fa3d2"/>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2"/>
        </w:rPr>
      </w:pPr>
      <w:r>
        <w:rPr>
          <w:sz w:val="22"/>
        </w:rPr>
        <w:br w:type="page"/>
      </w: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CC272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 w:id="1273174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8.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7.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8.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9.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9.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f40475280fa4490cb150d3bd2e225e5c">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a0c731aaf1b439bbd0b74cb660918fa"/>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10cf7381842a4e7a86e81a164c3aebf8"/>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ca07cda291d848f0aa20470fa26407ec"/>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2cac85f8db904173926407aecdfcff5d"/>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7ff8aab1994b4acebe9a0679d05eca49">
          <Part Type="strDalis" Nr="1" Abbr="39 str. 1 d." DocPartId="5bf05f89dbf1487ab0a32ee1ce063c5d" PartId="3dd7db601d764bdfafcc9e47cecac7a6">
            <Part Type="strPunktas" Nr="1" Abbr="39 str. 1 d. 1 p." DocPartId="20d26a90c0e94d7da9ee11a6adf22029" PartId="b0570f5036c34c599c88c83873dc0c61"/>
            <Part Type="strPunktas" Nr="2" Abbr="39 str. 1 d. 2 p." DocPartId="7963c7a3d4b9433eaedf229dbd41059e" PartId="e3606c5ce9b64a229e90a4bc476fc3ca"/>
            <Part Type="strPunktas" Nr="3" Abbr="39 str. 1 d. 3 p." DocPartId="881c06c28c0d477ba1331b7b78e314dc" PartId="c7dd94a7f36a44fabae7ba2d254590f0"/>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7156f4d9bcb14a70a1b3f0f3b6d7c772"/>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sunkų ar apysunkį tyčinį nusikaltimą" DocPartId="e29062637429451ab213495ab5d37094" PartId="648a0a4a0b6248edb4e781829da1e7a2">
          <Part Type="strDalis" Nr="1" Abbr="55 str. 1 d." DocPartId="526abecadba0442ca03fbaf99cba3667" PartId="8f3242d3450b45008c42e91de8633eb5"/>
        </Part>
        <Part Type="straipsnis" Nr="56" Abbr="56 str." Title="Bausmės skyrimas recidyvistui už tyčinio nusikaltimo padarymą" DocPartId="75e1e6b8ab9848e185165455a39f9b80" PartId="d035014739f241e19933a5f9a0fdae41">
          <Part Type="strDalis" Nr="1" Abbr="56 str. 1 d." DocPartId="065d3c2cc580401fbb250956fdef0bb5" PartId="cb916f867f7c4158bda50085896cb2e4"/>
          <Part Type="strDalis" Nr="2" Abbr="56 str. 2 d." DocPartId="89fb53b030654b9da6f5aa480db6a014" PartId="1d6d478d9e9740e1b0f7a198a6503662"/>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1043f9efaddf40c0bac9c40ca665a24a"/>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5acb1b7f807048ad8aebd0ca4ae69f8f"/>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f2ce54e5e16542eb8ff590d4c4a02e1d"/>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Draudimas prisiartinti prie nukentėjusio asmens" DocPartId="595d14843f1d4c959e5fea53fc595b9f" PartId="c8b02f1b62f24a8c9ba1e53b32f8c4f3">
          <Part Type="strDalis" Nr="1" Abbr="72-1 str. 1 d." DocPartId="76f270f2fa784119a458abe0a6922ac7" PartId="76f7768d81d746e2ac3cd346f03f4e8c"/>
          <Part Type="strDalis" Nr="2" Abbr="72-1 str. 2 d." DocPartId="0ef82395d6234775b8ab095746416894" PartId="49594ff846704ec68e6528d02a8a9ca7"/>
          <Part Type="strDalis" Nr="3" Abbr="72-1 str. 3 d." DocPartId="32dd42a112a54ab99d48cd357248a410" PartId="2dafe07466a54919badc2026f75a2813"/>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0a46c8dae4ce4345aafba38e3a7724df"/>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e460bd88d38641b097f5c8ec36dfb62f"/>
          <Part Type="strDalis" Nr="4" Abbr="140 str. 4 d." DocPartId="b108d049e6a84feba04cfffbb767b64b" PartId="e49b87ba11c0462dafd77ab4844722ac"/>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13aa18fe92e740d09c1a7baf2b1b3389"/>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9779e9a1a31b4656abbd337e59a42061"/>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1a8a9b9118f3456ea0db00838c172134">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pr. 22 p." DocPartId="017a085e06bd49fe9332854c7e74d17c" PartId="3b154619bf5a4a2d8bdf97150bdf6bd4"/>
    <Part Type="punktas" Nr="23" Abbr="pr. 23 p." DocPartId="b6ea731ec33641bcbe1d184f80b5d325" PartId="da049de00f0a4b80afc39da58ab64946"/>
    <Part Type="punktas" Nr="24" Abbr="pr. 24 p." DocPartId="b3b9007746e246d89c721e52b514d736" PartId="cc720641e1144218a49769b3aa9225f9"/>
    <Part Type="punktas" Nr="25" Abbr="pr. 25 p." DocPartId="45ba8e9eb3a3492eaeff2b9db4b1905c" PartId="cd53a5ab236b4d1caefcfba00382f52e"/>
    <Part Type="punktas" Nr="26" Abbr="pr. 26 p." DocPartId="68d6edfda7104b3bb1c3b7b7492f491d" PartId="78840694ac0f47d498da54762a402751"/>
    <Part Type="punktas" Nr="27" Abbr="pr. 27 p." DocPartId="143e1ee3ea5242999e9713a2ca5e0c30" PartId="ff2f45e246954a448731bad1d2ace6d7"/>
    <Part Type="punktas" Nr="28" Abbr="pr. 28 p." DocPartId="d9af5e9de15d4a31963b38a4e6e13c09" PartId="4ba2ead0a3ab4acfbb00ab316e8fa3d2"/>
  </Part>
  <Part Type="skirsnis" Title="Pakeitimai:" DocPartId="b163efa8152e41d3971a9864a69008f3" PartId="38ec1f3099f4475f88e41c956dfa383c"/>
</Parts>
</file>

<file path=customXml/itemProps1.xml><?xml version="1.0" encoding="utf-8"?>
<ds:datastoreItem xmlns:ds="http://schemas.openxmlformats.org/officeDocument/2006/customXml" ds:itemID="{F64A98EB-A69E-47C6-93A2-CAB69F5AD06B}">
  <ds:schemaRefs>
    <ds:schemaRef ds:uri="http://lrs.lt/TAIS/DocParts"/>
  </ds:schemaRefs>
</ds:datastoreItem>
</file>

<file path=docProps/app.xml><?xml version="1.0" encoding="utf-8"?>
<Properties xmlns="http://schemas.openxmlformats.org/officeDocument/2006/extended-properties">
  <Template>Normal.dotm</Template>
  <TotalTime>3</TotalTime>
  <Pages>86</Pages>
  <Words>239578</Words>
  <Characters>136560</Characters>
  <Application>Microsoft Office Word</Application>
  <DocSecurity>0</DocSecurity>
  <Lines>1138</Lines>
  <Paragraphs>750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375388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Renata Drukteinytė</lastModifiedBy>
  <lastPrinted>1900-12-31T22:00:00Z</lastPrinted>
  <dcterms:modified xsi:type="dcterms:W3CDTF">2016-11-21T13:22:00Z</dcterms:modified>
  <revision>7</revision>
</coreProperties>
</file>