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2020-04-24 iki 2020-05-29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bc8c16494788411ab7a5b1ff6c280a7e"/>
                        <w:lock w:val="sdtLocked"/>
                        <w:richText/>
                      </w:sdtPr>
                      <w:sdtContent>
                        <w:p>
                          <w:pPr>
                            <w:ind w:firstLine="720"/>
                            <w:jc w:val="both"/>
                            <w:rPr>
                              <w:b/>
                              <w:sz w:val="22"/>
                            </w:rPr>
                          </w:pPr>
                          <w:sdt>
                            <w:sdtPr>
                              <w:alias w:val="Numeris"/>
                              <w:tag w:val="nr_bc8c16494788411ab7a5b1ff6c280a7e"/>
                              <w:lock w:val="sdtLocked"/>
                              <w:richText/>
                            </w:sdtPr>
                            <w:sdtContent>
                              <w:r>
                                <w:rPr>
                                  <w:b/>
                                  <w:sz w:val="22"/>
                                </w:rPr>
                                <w:t>2.46</w:t>
                              </w:r>
                            </w:sdtContent>
                          </w:sdt>
                          <w:r>
                            <w:rPr>
                              <w:b/>
                              <w:sz w:val="22"/>
                            </w:rPr>
                            <w:t xml:space="preserve"> straipsnis. </w:t>
                          </w:r>
                          <w:sdt>
                            <w:sdtPr>
                              <w:alias w:val="Pavadinimas"/>
                              <w:tag w:val="title_bc8c16494788411ab7a5b1ff6c280a7e"/>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59ec65a25db24f7c8e70daa8a6546020"/>
                        <w:lock w:val="sdtLocked"/>
                        <w:richText/>
                      </w:sdtPr>
                      <w:sdtContent>
                        <w:p>
                          <w:pPr>
                            <w:ind w:firstLine="720"/>
                            <w:jc w:val="both"/>
                            <w:rPr>
                              <w:b/>
                              <w:sz w:val="22"/>
                            </w:rPr>
                          </w:pPr>
                          <w:sdt>
                            <w:sdtPr>
                              <w:alias w:val="Numeris"/>
                              <w:tag w:val="nr_59ec65a25db24f7c8e70daa8a6546020"/>
                              <w:lock w:val="sdtLocked"/>
                              <w:richText/>
                            </w:sdtPr>
                            <w:sdtContent>
                              <w:r>
                                <w:rPr>
                                  <w:b/>
                                  <w:sz w:val="22"/>
                                </w:rPr>
                                <w:t>2.66</w:t>
                              </w:r>
                            </w:sdtContent>
                          </w:sdt>
                          <w:r>
                            <w:rPr>
                              <w:b/>
                              <w:sz w:val="22"/>
                            </w:rPr>
                            <w:t xml:space="preserve"> straipsnis. </w:t>
                          </w:r>
                          <w:sdt>
                            <w:sdtPr>
                              <w:alias w:val="Pavadinimas"/>
                              <w:tag w:val="title_59ec65a25db24f7c8e70daa8a6546020"/>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cffc81627cc34fb0bf2c02a6ccb135fb"/>
                                <w:lock w:val="sdtLocked"/>
                                <w:richText/>
                              </w:sdtPr>
                              <w:sdtContent>
                                <w:p>
                                  <w:pPr>
                                    <w:ind w:firstLine="720"/>
                                    <w:jc w:val="both"/>
                                    <w:rPr>
                                      <w:sz w:val="22"/>
                                      <w:szCs w:val="22"/>
                                    </w:rPr>
                                  </w:pPr>
                                  <w:sdt>
                                    <w:sdtPr>
                                      <w:alias w:val="Numeris"/>
                                      <w:tag w:val="nr_cffc81627cc34fb0bf2c02a6ccb135fb"/>
                                      <w:lock w:val="sdtLocked"/>
                                      <w:richText/>
                                    </w:sdtPr>
                                    <w:sdtContent>
                                      <w:r>
                                        <w:rPr>
                                          <w:bCs/>
                                          <w:color w:val="000000"/>
                                          <w:szCs w:val="24"/>
                                        </w:rPr>
                                        <w:t>2</w:t>
                                      </w:r>
                                    </w:sdtContent>
                                  </w:sdt>
                                  <w:r>
                                    <w:rPr>
                                      <w:bCs/>
                                      <w:color w:val="000000"/>
                                      <w:szCs w:val="24"/>
                                    </w:rPr>
                                    <w:t>) valstybės ir savivaldybių institucijoms ir įstaigoms teisės aktuose nustatytoms funkcijoms atlikti pagal prašymą ir (arba)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1db80e3f411e7b3f0a470b0373cb2">
                                    <w:r w:rsidRPr="00532B9F">
                                      <w:rPr>
                                        <w:rFonts w:ascii="Times New Roman" w:eastAsia="MS Mincho" w:hAnsi="Times New Roman"/>
                                        <w:sz w:val="20"/>
                                        <w:i/>
                                        <w:iCs/>
                                        <w:color w:val="0000FF" w:themeColor="hyperlink"/>
                                        <w:u w:val="single"/>
                                      </w:rPr>
                                      <w:t>XIII-850</w:t>
                                    </w:r>
                                  </w:fldSimple>
                                  <w:r>
                                    <w:rPr>
                                      <w:rFonts w:ascii="Times New Roman" w:eastAsia="MS Mincho" w:hAnsi="Times New Roman"/>
                                      <w:sz w:val="20"/>
                                      <w:i/>
                                      <w:iCs/>
                                    </w:rPr>
                                    <w:t>,
2017-12-07,
paskelbta TAR 2017-12-18, i. k. 2017-20333            </w:t>
                                  </w:r>
                                </w:p>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227861c16e4b4bda990dbc5bc936b482"/>
                        <w:lock w:val="sdtLocked"/>
                        <w:richText/>
                      </w:sdtPr>
                      <w:sdtContent>
                        <w:p>
                          <w:pPr>
                            <w:ind w:firstLine="720"/>
                            <w:jc w:val="both"/>
                            <w:rPr>
                              <w:b/>
                              <w:sz w:val="22"/>
                            </w:rPr>
                          </w:pPr>
                          <w:sdt>
                            <w:sdtPr>
                              <w:alias w:val="Numeris"/>
                              <w:tag w:val="nr_227861c16e4b4bda990dbc5bc936b482"/>
                              <w:lock w:val="sdtLocked"/>
                              <w:richText/>
                            </w:sdtPr>
                            <w:sdtContent>
                              <w:r>
                                <w:rPr>
                                  <w:b/>
                                  <w:sz w:val="22"/>
                                </w:rPr>
                                <w:t>2.75</w:t>
                              </w:r>
                            </w:sdtContent>
                          </w:sdt>
                          <w:r>
                            <w:rPr>
                              <w:b/>
                              <w:sz w:val="22"/>
                            </w:rPr>
                            <w:t xml:space="preserve"> straipsnis. </w:t>
                          </w:r>
                          <w:sdt>
                            <w:sdtPr>
                              <w:alias w:val="Pavadinimas"/>
                              <w:tag w:val="title_227861c16e4b4bda990dbc5bc936b482"/>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3da5a49e360f4c9ab52c9d1aa7af4a38"/>
                        <w:lock w:val="sdtLocked"/>
                        <w:richText/>
                      </w:sdtPr>
                      <w:sdtContent>
                        <w:p>
                          <w:pPr>
                            <w:ind w:firstLine="720"/>
                            <w:jc w:val="both"/>
                            <w:rPr>
                              <w:b/>
                              <w:sz w:val="22"/>
                            </w:rPr>
                          </w:pPr>
                          <w:sdt>
                            <w:sdtPr>
                              <w:alias w:val="Numeris"/>
                              <w:tag w:val="nr_3da5a49e360f4c9ab52c9d1aa7af4a38"/>
                              <w:lock w:val="sdtLocked"/>
                              <w:richText/>
                            </w:sdtPr>
                            <w:sdtContent>
                              <w:r>
                                <w:rPr>
                                  <w:b/>
                                  <w:sz w:val="22"/>
                                </w:rPr>
                                <w:t>2.108</w:t>
                              </w:r>
                            </w:sdtContent>
                          </w:sdt>
                          <w:r>
                            <w:rPr>
                              <w:b/>
                              <w:sz w:val="22"/>
                            </w:rPr>
                            <w:t xml:space="preserve"> straipsnis. </w:t>
                          </w:r>
                          <w:sdt>
                            <w:sdtPr>
                              <w:alias w:val="Pavadinimas"/>
                              <w:tag w:val="title_3da5a49e360f4c9ab52c9d1aa7af4a38"/>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8abd66f56bc64f8182a7737097b60178"/>
                                <w:lock w:val="sdtLocked"/>
                                <w:richText/>
                              </w:sdtPr>
                              <w:sdtContent>
                                <w:p>
                                  <w:pPr>
                                    <w:tabs>
                                      <w:tab w:val="left" w:pos="0"/>
                                    </w:tabs>
                                    <w:ind w:firstLine="720"/>
                                    <w:jc w:val="both"/>
                                  </w:pPr>
                                  <w:sdt>
                                    <w:sdtPr>
                                      <w:alias w:val="Numeris"/>
                                      <w:tag w:val="nr_8abd66f56bc64f8182a7737097b60178"/>
                                      <w:lock w:val="sdtLocked"/>
                                      <w:richText/>
                                    </w:sdtPr>
                                    <w:sdtContent>
                                      <w:r>
                                        <w:rPr>
                                          <w:sz w:val="22"/>
                                          <w:szCs w:val="22"/>
                                          <w:lang w:eastAsia="lt-LT"/>
                                        </w:rPr>
                                        <w:t>3</w:t>
                                      </w:r>
                                    </w:sdtContent>
                                  </w:sdt>
                                  <w:r>
                                    <w:rPr>
                                      <w:sz w:val="22"/>
                                      <w:szCs w:val="22"/>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9af03658e3d342bdaa21a71e6ecd480e"/>
                                <w:lock w:val="sdtLocked"/>
                                <w:richText/>
                              </w:sdtPr>
                              <w:sdtContent>
                                <w:p>
                                  <w:pPr>
                                    <w:ind w:firstLine="720"/>
                                    <w:jc w:val="both"/>
                                  </w:pPr>
                                  <w:sdt>
                                    <w:sdtPr>
                                      <w:alias w:val="Numeris"/>
                                      <w:tag w:val="nr_9af03658e3d342bdaa21a71e6ecd480e"/>
                                      <w:lock w:val="sdtLocked"/>
                                      <w:richText/>
                                    </w:sdtPr>
                                    <w:sdtContent>
                                      <w:r>
                                        <w:rPr>
                                          <w:color w:val="000000"/>
                                          <w:sz w:val="22"/>
                                          <w:szCs w:val="22"/>
                                          <w:shd w:val="clear" w:color="auto" w:fill="FFFFFF"/>
                                        </w:rPr>
                                        <w:t>8</w:t>
                                      </w:r>
                                    </w:sdtContent>
                                  </w:sdt>
                                  <w:r>
                                    <w:rPr>
                                      <w:color w:val="000000"/>
                                      <w:sz w:val="22"/>
                                      <w:szCs w:val="22"/>
                                      <w:shd w:val="clear" w:color="auto" w:fill="FFFFFF"/>
                                    </w:rPr>
                                    <w:t>) turintis psichikos ir elgesio</w:t>
                                  </w:r>
                                  <w:r>
                                    <w:rPr>
                                      <w:b/>
                                      <w:color w:val="000000"/>
                                      <w:sz w:val="22"/>
                                      <w:szCs w:val="22"/>
                                      <w:shd w:val="clear" w:color="auto" w:fill="FFFFFF"/>
                                    </w:rPr>
                                    <w:t xml:space="preserve"> </w:t>
                                  </w:r>
                                  <w:r>
                                    <w:rPr>
                                      <w:color w:val="000000"/>
                                      <w:sz w:val="22"/>
                                      <w:szCs w:val="22"/>
                                      <w:shd w:val="clear" w:color="auto" w:fill="FFFFFF"/>
                                    </w:rPr>
                                    <w:t>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 d."/>
                                <w:tag w:val="part_9349ef4459434fb587659af8cfef8479"/>
                                <w:lock w:val="sdtLocked"/>
                                <w:richText/>
                              </w:sdtPr>
                              <w:sdtContent>
                                <w:p>
                                  <w:pPr>
                                    <w:ind w:firstLine="720"/>
                                    <w:jc w:val="both"/>
                                  </w:pPr>
                                  <w:sdt>
                                    <w:sdtPr>
                                      <w:alias w:val="Numeris"/>
                                      <w:tag w:val="nr_9349ef4459434fb587659af8cfef8479"/>
                                      <w:lock w:val="sdtLocked"/>
                                      <w:richText/>
                                    </w:sdtPr>
                                    <w:sdtContent>
                                      <w:r>
                                        <w:rPr>
                                          <w:sz w:val="22"/>
                                          <w:szCs w:val="22"/>
                                        </w:rPr>
                                        <w:t>4</w:t>
                                      </w:r>
                                    </w:sdtContent>
                                  </w:sdt>
                                  <w:r>
                                    <w:rPr>
                                      <w:sz w:val="22"/>
                                      <w:szCs w:val="22"/>
                                    </w:rPr>
                                    <w:t>. Duomenys apie sąlyginės hipotekos sąlygos, su kuria siejamas hipotekos galiojimas, atsiradimą ar pabaigą pateikiami Hipotekos registrui Hipotekos registro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9ccc8594e1a84223804761a3f10a3dd7"/>
                                <w:lock w:val="sdtLocked"/>
                                <w:richText/>
                              </w:sdtPr>
                              <w:sdtContent>
                                <w:p>
                                  <w:pPr>
                                    <w:ind w:firstLine="720"/>
                                    <w:jc w:val="both"/>
                                    <w:rPr>
                                      <w:sz w:val="22"/>
                                      <w:szCs w:val="22"/>
                                    </w:rPr>
                                  </w:pPr>
                                  <w:sdt>
                                    <w:sdtPr>
                                      <w:alias w:val="Numeris"/>
                                      <w:tag w:val="nr_9ccc8594e1a84223804761a3f10a3dd7"/>
                                      <w:lock w:val="sdtLocked"/>
                                      <w:richText/>
                                    </w:sdtPr>
                                    <w:sdtContent>
                                      <w:r>
                                        <w:rPr>
                                          <w:bCs/>
                                          <w:color w:val="000000"/>
                                          <w:sz w:val="22"/>
                                          <w:szCs w:val="22"/>
                                          <w:lang w:eastAsia="lt-LT"/>
                                        </w:rPr>
                                        <w:t>1</w:t>
                                      </w:r>
                                    </w:sdtContent>
                                  </w:sdt>
                                  <w:r>
                                    <w:rPr>
                                      <w:bCs/>
                                      <w:color w:val="000000"/>
                                      <w:sz w:val="22"/>
                                      <w:szCs w:val="22"/>
                                      <w:lang w:eastAsia="lt-LT"/>
                                    </w:rPr>
                                    <w:t xml:space="preserve">. </w:t>
                                  </w:r>
                                  <w:r>
                                    <w:rPr>
                                      <w:sz w:val="22"/>
                                      <w:szCs w:val="22"/>
                                      <w:lang w:eastAsia="lt-LT"/>
                                    </w:rPr>
                                    <w:t>Priverstinis įkeisto daikto realizavimas hipotekos kreditoriaus prašymu išlaisvina jį nuo visų galiojančių hipotekų.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64e84c3dd4ee4964a149879290c73856"/>
                                <w:lock w:val="sdtLocked"/>
                                <w:richText/>
                              </w:sdtPr>
                              <w:sdtContent>
                                <w:p>
                                  <w:pPr>
                                    <w:ind w:firstLine="720"/>
                                    <w:jc w:val="both"/>
                                  </w:pPr>
                                  <w:sdt>
                                    <w:sdtPr>
                                      <w:alias w:val="Numeris"/>
                                      <w:tag w:val="nr_64e84c3dd4ee4964a149879290c73856"/>
                                      <w:lock w:val="sdtLocked"/>
                                      <w:richText/>
                                    </w:sdtPr>
                                    <w:sdtContent>
                                      <w:r>
                                        <w:rPr>
                                          <w:color w:val="000000"/>
                                          <w:sz w:val="22"/>
                                          <w:szCs w:val="22"/>
                                        </w:rPr>
                                        <w:t>7</w:t>
                                      </w:r>
                                    </w:sdtContent>
                                  </w:sdt>
                                  <w:r>
                                    <w:rPr>
                                      <w:color w:val="000000"/>
                                      <w:sz w:val="22"/>
                                      <w:szCs w:val="22"/>
                                    </w:rPr>
                                    <w:t>. Pasibaigusi hipoteka išregistruojama iš Hipotekos registro. Hipotekos kreditoriaus, skolininko arba turto savininko prašymas dėl hipotekos pabaigos pateikiamas notarui, o šis duomenis apie hipotekos pabaigą perduoda Hipotekos registrui</w:t>
                                  </w:r>
                                  <w:r>
                                    <w:rPr>
                                      <w:bCs/>
                                      <w:color w:val="000000"/>
                                      <w:sz w:val="22"/>
                                      <w:szCs w:val="22"/>
                                    </w:rPr>
                                    <w:t>. Sąlyginė hipoteka, sudaryta siekiant įsigyti nuosavybės teise nekilnojamąjį daiktą Civilinio proceso kodekso VI dalyje nustatyta tvarka, išregistruojama iš Hipotekos registro pagal antstolio pranešimą, kad sąlyginę hipoteką sudaręs asmuo netapo šio turto savininku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9e7f668f94264e189e3a30db37f60308"/>
                    <w:lock w:val="sdtLocked"/>
                    <w:richText/>
                  </w:sdtPr>
                  <w:sdtContent>
                    <w:p>
                      <w:pPr>
                        <w:ind w:firstLine="720"/>
                        <w:jc w:val="both"/>
                        <w:rPr>
                          <w:b/>
                          <w:sz w:val="22"/>
                        </w:rPr>
                      </w:pPr>
                      <w:sdt>
                        <w:sdtPr>
                          <w:alias w:val="Numeris"/>
                          <w:tag w:val="nr_9e7f668f94264e189e3a30db37f60308"/>
                          <w:lock w:val="sdtLocked"/>
                          <w:richText/>
                        </w:sdtPr>
                        <w:sdtContent>
                          <w:r>
                            <w:rPr>
                              <w:b/>
                              <w:sz w:val="22"/>
                            </w:rPr>
                            <w:t>5.50</w:t>
                          </w:r>
                        </w:sdtContent>
                      </w:sdt>
                      <w:r>
                        <w:rPr>
                          <w:b/>
                          <w:sz w:val="22"/>
                        </w:rPr>
                        <w:t xml:space="preserve"> straipsnis. </w:t>
                      </w:r>
                      <w:sdt>
                        <w:sdtPr>
                          <w:alias w:val="Pavadinimas"/>
                          <w:tag w:val="title_9e7f668f94264e189e3a30db37f60308"/>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481814fe73ad4e63afa900575b8847f7"/>
                                <w:lock w:val="sdtLocked"/>
                                <w:richText/>
                              </w:sdtPr>
                              <w:sdtContent>
                                <w:p>
                                  <w:pPr>
                                    <w:ind w:firstLine="720"/>
                                    <w:jc w:val="both"/>
                                    <w:rPr>
                                      <w:color w:val="000000"/>
                                      <w:sz w:val="22"/>
                                      <w:szCs w:val="22"/>
                                      <w:lang w:val="en-US"/>
                                    </w:rPr>
                                  </w:pPr>
                                  <w:sdt>
                                    <w:sdtPr>
                                      <w:alias w:val="Numeris"/>
                                      <w:tag w:val="nr_481814fe73ad4e63afa900575b8847f7"/>
                                      <w:lock w:val="sdtLocked"/>
                                      <w:richText/>
                                    </w:sdtPr>
                                    <w:sdtContent>
                                      <w:r>
                                        <w:rPr>
                                          <w:color w:val="000000"/>
                                          <w:sz w:val="22"/>
                                          <w:szCs w:val="22"/>
                                        </w:rPr>
                                        <w:t>8</w:t>
                                      </w:r>
                                    </w:sdtContent>
                                  </w:sdt>
                                  <w:r>
                                    <w:rPr>
                                      <w:color w:val="000000"/>
                                      <w:sz w:val="22"/>
                                      <w:szCs w:val="22"/>
                                    </w:rPr>
                                    <w:t xml:space="preserve">) organizuotos turistinės kelionės sutartims (šio kodekso 6.747–6.755 straipsniai), </w:t>
                                  </w:r>
                                  <w:r>
                                    <w:rPr>
                                      <w:sz w:val="22"/>
                                      <w:szCs w:val="22"/>
                                    </w:rPr>
                                    <w:t>išskyrus šio kodekso 6.228</w:t>
                                  </w:r>
                                  <w:r>
                                    <w:rPr>
                                      <w:sz w:val="22"/>
                                      <w:szCs w:val="22"/>
                                      <w:vertAlign w:val="superscript"/>
                                    </w:rPr>
                                    <w:t>10</w:t>
                                  </w:r>
                                  <w:r>
                                    <w:rPr>
                                      <w:sz w:val="22"/>
                                      <w:szCs w:val="22"/>
                                    </w:rPr>
                                    <w:t xml:space="preserve"> straipsnio 1 dalyje numatytą teisę atsisakyti ne prekybos patalpose sudarytos organizuotos turistinės kelionės sutarties su išimtimis, nurodytomis šio kodekso 6.228</w:t>
                                  </w:r>
                                  <w:r>
                                    <w:rPr>
                                      <w:sz w:val="22"/>
                                      <w:szCs w:val="22"/>
                                      <w:vertAlign w:val="superscript"/>
                                    </w:rPr>
                                    <w:t>10</w:t>
                                  </w:r>
                                  <w:r>
                                    <w:rPr>
                                      <w:sz w:val="22"/>
                                      <w:szCs w:val="22"/>
                                    </w:rPr>
                                    <w:t xml:space="preserve"> straipsnio 2 dalyje, ir šio kodekso </w:t>
                                  </w:r>
                                  <w:r>
                                    <w:rPr>
                                      <w:bCs/>
                                      <w:sz w:val="22"/>
                                      <w:szCs w:val="22"/>
                                    </w:rPr>
                                    <w:t>6.228</w:t>
                                  </w:r>
                                  <w:r>
                                    <w:rPr>
                                      <w:bCs/>
                                      <w:sz w:val="22"/>
                                      <w:szCs w:val="22"/>
                                      <w:vertAlign w:val="superscript"/>
                                    </w:rPr>
                                    <w:t>5</w:t>
                                  </w:r>
                                  <w:r>
                                    <w:rPr>
                                      <w:bCs/>
                                      <w:sz w:val="22"/>
                                      <w:szCs w:val="22"/>
                                    </w:rPr>
                                    <w:t xml:space="preserve"> straipsnio 3, 5 ir 6 dalių, 6.228</w:t>
                                  </w:r>
                                  <w:r>
                                    <w:rPr>
                                      <w:bCs/>
                                      <w:sz w:val="22"/>
                                      <w:szCs w:val="22"/>
                                      <w:vertAlign w:val="superscript"/>
                                    </w:rPr>
                                    <w:t>6</w:t>
                                  </w:r>
                                  <w:r>
                                    <w:rPr>
                                      <w:bCs/>
                                      <w:sz w:val="22"/>
                                      <w:szCs w:val="22"/>
                                    </w:rPr>
                                    <w:t xml:space="preserve"> straipsnio 1 dalies, 6.228</w:t>
                                  </w:r>
                                  <w:r>
                                    <w:rPr>
                                      <w:bCs/>
                                      <w:sz w:val="22"/>
                                      <w:szCs w:val="22"/>
                                      <w:vertAlign w:val="superscript"/>
                                    </w:rPr>
                                    <w:t>8</w:t>
                                  </w:r>
                                  <w:r>
                                    <w:rPr>
                                      <w:bCs/>
                                      <w:sz w:val="22"/>
                                      <w:szCs w:val="22"/>
                                    </w:rPr>
                                    <w:t xml:space="preserve"> straipsnio 3 ir 5 dalių nuostatas, kurios taikomos organizuotos turistinės kelionės sutartims;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06c1ca3188fd4e44bb587354ff00c1dd"/>
                                <w:lock w:val="sdtLocked"/>
                                <w:richText/>
                              </w:sdtPr>
                              <w:sdtContent>
                                <w:p>
                                  <w:pPr>
                                    <w:ind w:firstLine="720"/>
                                    <w:jc w:val="both"/>
                                    <w:rPr>
                                      <w:sz w:val="22"/>
                                      <w:szCs w:val="22"/>
                                    </w:rPr>
                                  </w:pPr>
                                  <w:sdt>
                                    <w:sdtPr>
                                      <w:alias w:val="Numeris"/>
                                      <w:tag w:val="nr_06c1ca3188fd4e44bb587354ff00c1dd"/>
                                      <w:lock w:val="sdtLocked"/>
                                      <w:richText/>
                                    </w:sdtPr>
                                    <w:sdtContent>
                                      <w:r>
                                        <w:rPr>
                                          <w:sz w:val="22"/>
                                          <w:szCs w:val="22"/>
                                        </w:rPr>
                                        <w:t>9</w:t>
                                      </w:r>
                                    </w:sdtContent>
                                  </w:sdt>
                                  <w:r>
                                    <w:rPr>
                                      <w:sz w:val="22"/>
                                      <w:szCs w:val="22"/>
                                    </w:rPr>
                                    <w:t>.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p>
                                <w:p>
                                  <w:pPr>
                                    <w:jc w:val="both"/>
                                    <w:rPr>
                                      <w:i/>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25bbf460a2f5408ea1cd3dcaa8528cf0"/>
                                <w:lock w:val="sdtLocked"/>
                                <w:richText/>
                              </w:sdtPr>
                              <w:sdtContent>
                                <w:p>
                                  <w:pPr>
                                    <w:ind w:firstLine="720"/>
                                    <w:jc w:val="both"/>
                                    <w:rPr>
                                      <w:bCs/>
                                      <w:sz w:val="22"/>
                                      <w:szCs w:val="22"/>
                                      <w:lang w:eastAsia="lt-LT"/>
                                    </w:rPr>
                                  </w:pPr>
                                  <w:sdt>
                                    <w:sdtPr>
                                      <w:alias w:val="Numeris"/>
                                      <w:tag w:val="nr_25bbf460a2f5408ea1cd3dcaa8528cf0"/>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bCs/>
                                      <w:color w:val="000000"/>
                                      <w:sz w:val="22"/>
                                      <w:szCs w:val="22"/>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57"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58"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1"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3"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64"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65"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6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67"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07810f3d45804946abfd789005a379fb"/>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07810f3d45804946abfd789005a379fb"/>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1ed2fe3bce8b49b4ac19ce3de500fc20"/>
            <w:lock w:val="sdtLocked"/>
            <w:richText/>
          </w:sdtPr>
          <w:sdtContent>
            <w:p>
              <w:pPr>
                <w:ind w:firstLine="720"/>
                <w:jc w:val="both"/>
              </w:pPr>
              <w:sdt>
                <w:sdtPr>
                  <w:alias w:val="Numeris"/>
                  <w:tag w:val="nr_1ed2fe3bce8b49b4ac19ce3de500fc20"/>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sdtContent>
        </w:sdt>
        <w:sdt>
          <w:sdtPr>
            <w:alias w:val="7 p."/>
            <w:tag w:val="part_f365e4a3e2ea4c9abf44ed4b0710e416"/>
            <w:lock w:val="sdtLocked"/>
            <w:richText/>
          </w:sdtPr>
          <w:sdtContent>
            <w:p>
              <w:pPr>
                <w:ind w:firstLine="720"/>
                <w:jc w:val="both"/>
              </w:pPr>
              <w:sdt>
                <w:sdtPr>
                  <w:alias w:val="Numeris"/>
                  <w:tag w:val="nr_f365e4a3e2ea4c9abf44ed4b0710e416"/>
                  <w:lock w:val="sdtLocked"/>
                  <w:richText/>
                </w:sdtPr>
                <w:sdtContent>
                  <w:r>
                    <w:rPr>
                      <w:iCs/>
                      <w:sz w:val="22"/>
                      <w:szCs w:val="22"/>
                    </w:rPr>
                    <w:t>7</w:t>
                  </w:r>
                </w:sdtContent>
              </w:sdt>
              <w:r>
                <w:rPr>
                  <w:iCs/>
                  <w:sz w:val="22"/>
                  <w:szCs w:val="22"/>
                </w:rPr>
                <w:t xml:space="preserve">. </w:t>
              </w:r>
              <w:r>
                <w:rPr>
                  <w:sz w:val="22"/>
                  <w:szCs w:val="22"/>
                </w:rPr>
                <w:t>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 (</w:t>
              </w:r>
              <w:r>
                <w:rPr>
                  <w:iCs/>
                  <w:sz w:val="22"/>
                  <w:szCs w:val="22"/>
                </w:rPr>
                <w:t>OL 2015 L 326,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7 p."/>
            <w:tag w:val="part_b8f1fe0c251544b283ab9c26d4f91198"/>
            <w:lock w:val="sdtLocked"/>
            <w:richText/>
          </w:sdtPr>
          <w:sdtContent>
            <w:p>
              <w:pPr>
                <w:ind w:firstLine="720"/>
                <w:jc w:val="both"/>
                <w:rPr>
                  <w:sz w:val="22"/>
                  <w:szCs w:val="22"/>
                  <w:lang w:val="en-US"/>
                </w:rPr>
              </w:pPr>
              <w:sdt>
                <w:sdtPr>
                  <w:alias w:val="Numeris"/>
                  <w:tag w:val="nr_b8f1fe0c251544b283ab9c26d4f91198"/>
                  <w:lock w:val="sdtLocked"/>
                  <w:richText/>
                </w:sdtPr>
                <w:sdtContent>
                  <w:r>
                    <w:rPr>
                      <w:sz w:val="22"/>
                      <w:szCs w:val="22"/>
                    </w:rPr>
                    <w:t>7</w:t>
                  </w:r>
                </w:sdtContent>
              </w:sdt>
              <w:r>
                <w:rPr>
                  <w:color w:val="000000"/>
                  <w:sz w:val="22"/>
                  <w:szCs w:val="22"/>
                </w:rPr>
                <w:t>. 2016 m. birželio 8 d. Europos Parlamento ir Tarybos direktyva (ES) 2016/943 dėl neatskleistos praktinės patirties ir verslo informacijos (komercinių paslapčių) apsaugos nuo neteisėto jų gavimo, naudojimo ir atskleidimo (OL 2016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p>
          <w:pPr>
            <w:rPr>
              <w:i/>
              <w:sz w:val="20"/>
            </w:rPr>
          </w:pPr>
          <w:r>
            <w:rPr>
              <w:i/>
              <w:sz w:val="20"/>
            </w:rPr>
            <w:t>Kodeksas papildytas priedu:</w:t>
          </w:r>
        </w:p>
        <w:p>
          <w:pPr>
            <w:rPr>
              <w:i/>
              <w:sz w:val="20"/>
            </w:rPr>
          </w:pPr>
          <w:r>
            <w:rPr>
              <w:i/>
              <w:sz w:val="20"/>
            </w:rPr>
            <w:t xml:space="preserve">Nr. </w:t>
          </w:r>
          <w:hyperlink r:id="rId268"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69"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0"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1"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2"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3"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4"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5"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6"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77"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8"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9"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0"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1"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2"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83"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4"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6"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7"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9"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0"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1"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2"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93"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94"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95"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96"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97"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98"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99"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1"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2"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03"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04"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05"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06"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07"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08"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09"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0"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C39101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1.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92.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90017&amp;b="/>
  <Relationship Id="rId259" Type="http://schemas.openxmlformats.org/officeDocument/2006/relationships/hyperlink" TargetMode="External" Target="http://www3.lrs.lt/cgi-bin/preps2?a=390017&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390017&amp;b="/>
  <Relationship Id="rId261" Type="http://schemas.openxmlformats.org/officeDocument/2006/relationships/hyperlink" TargetMode="External" Target="http://www3.lrs.lt/cgi-bin/preps2?a=390017&amp;b="/>
  <Relationship Id="rId262" Type="http://schemas.openxmlformats.org/officeDocument/2006/relationships/hyperlink" TargetMode="External" Target="http://www3.lrs.lt/cgi-bin/preps2?a=390017&amp;b="/>
  <Relationship Id="rId263" Type="http://schemas.openxmlformats.org/officeDocument/2006/relationships/hyperlink" TargetMode="External" Target="http://www3.lrs.lt/cgi-bin/preps2?a=390017&amp;b="/>
  <Relationship Id="rId264" Type="http://schemas.openxmlformats.org/officeDocument/2006/relationships/hyperlink" TargetMode="External" Target="http://www3.lrs.lt/cgi-bin/preps2?a=447188&amp;b="/>
  <Relationship Id="rId265" Type="http://schemas.openxmlformats.org/officeDocument/2006/relationships/hyperlink" TargetMode="External" Target="http://www3.lrs.lt/cgi-bin/preps2?a=447188&amp;b="/>
  <Relationship Id="rId266" Type="http://schemas.openxmlformats.org/officeDocument/2006/relationships/hyperlink" TargetMode="External" Target="http://www3.lrs.lt/cgi-bin/preps2?a=428321&amp;b="/>
  <Relationship Id="rId267" Type="http://schemas.openxmlformats.org/officeDocument/2006/relationships/hyperlink" TargetMode="External" Target="http://www3.lrs.lt/cgi-bin/preps2?a=453258&amp;b="/>
  <Relationship Id="rId268" Type="http://schemas.openxmlformats.org/officeDocument/2006/relationships/hyperlink" TargetMode="External" Target="http://www3.lrs.lt/cgi-bin/preps2?a=408891&amp;b="/>
  <Relationship Id="rId269" Type="http://schemas.openxmlformats.org/officeDocument/2006/relationships/hyperlink" TargetMode="External" Target="http://www3.lrs.lt/cgi-bin/preps2?a=463433&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476709&amp;b="/>
  <Relationship Id="rId271" Type="http://schemas.openxmlformats.org/officeDocument/2006/relationships/hyperlink" TargetMode="External" Target="http://www3.lrs.lt/cgi-bin/preps2?a=232223&amp;b="/>
  <Relationship Id="rId272" Type="http://schemas.openxmlformats.org/officeDocument/2006/relationships/hyperlink" TargetMode="External" Target="http://www3.lrs.lt/cgi-bin/preps2?a=245886&amp;b="/>
  <Relationship Id="rId273" Type="http://schemas.openxmlformats.org/officeDocument/2006/relationships/hyperlink" TargetMode="External" Target="http://www3.lrs.lt/cgi-bin/preps2?a=279781&amp;b="/>
  <Relationship Id="rId274" Type="http://schemas.openxmlformats.org/officeDocument/2006/relationships/hyperlink" TargetMode="External" Target="http://www3.lrs.lt/cgi-bin/preps2?a=285397&amp;b="/>
  <Relationship Id="rId275" Type="http://schemas.openxmlformats.org/officeDocument/2006/relationships/hyperlink" TargetMode="External" Target="http://www3.lrs.lt/cgi-bin/preps2?a=322125&amp;b="/>
  <Relationship Id="rId276" Type="http://schemas.openxmlformats.org/officeDocument/2006/relationships/hyperlink" TargetMode="External" Target="http://www3.lrs.lt/cgi-bin/preps2?a=334458&amp;b="/>
  <Relationship Id="rId277" Type="http://schemas.openxmlformats.org/officeDocument/2006/relationships/hyperlink" TargetMode="External" Target="http://www3.lrs.lt/cgi-bin/preps2?a=350387&amp;b="/>
  <Relationship Id="rId278" Type="http://schemas.openxmlformats.org/officeDocument/2006/relationships/hyperlink" TargetMode="External" Target="http://www3.lrs.lt/cgi-bin/preps2?a=356098&amp;b="/>
  <Relationship Id="rId279" Type="http://schemas.openxmlformats.org/officeDocument/2006/relationships/hyperlink" TargetMode="External" Target="http://www3.lrs.lt/cgi-bin/preps2?a=357972&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361999&amp;b="/>
  <Relationship Id="rId281" Type="http://schemas.openxmlformats.org/officeDocument/2006/relationships/hyperlink" TargetMode="External" Target="http://www3.lrs.lt/cgi-bin/preps2?a=369672&amp;b="/>
  <Relationship Id="rId282" Type="http://schemas.openxmlformats.org/officeDocument/2006/relationships/hyperlink" TargetMode="External" Target="http://www3.lrs.lt/cgi-bin/preps2?a=374581&amp;b="/>
  <Relationship Id="rId283" Type="http://schemas.openxmlformats.org/officeDocument/2006/relationships/hyperlink" TargetMode="External" Target="http://www3.lrs.lt/cgi-bin/preps2?a=376359&amp;b="/>
  <Relationship Id="rId284" Type="http://schemas.openxmlformats.org/officeDocument/2006/relationships/hyperlink" TargetMode="External" Target="http://www3.lrs.lt/cgi-bin/preps2?a=377910&amp;b="/>
  <Relationship Id="rId285" Type="http://schemas.openxmlformats.org/officeDocument/2006/relationships/hyperlink" TargetMode="External" Target="http://www3.lrs.lt/cgi-bin/preps2?a=381693&amp;b="/>
  <Relationship Id="rId286" Type="http://schemas.openxmlformats.org/officeDocument/2006/relationships/hyperlink" TargetMode="External" Target="http://www3.lrs.lt/cgi-bin/preps2?a=390017&amp;b="/>
  <Relationship Id="rId287" Type="http://schemas.openxmlformats.org/officeDocument/2006/relationships/hyperlink" TargetMode="External" Target="http://www3.lrs.lt/cgi-bin/preps2?a=396648&amp;b="/>
  <Relationship Id="rId288" Type="http://schemas.openxmlformats.org/officeDocument/2006/relationships/hyperlink" TargetMode="External" Target="http://www3.lrs.lt/cgi-bin/preps2?a=401063&amp;b="/>
  <Relationship Id="rId289" Type="http://schemas.openxmlformats.org/officeDocument/2006/relationships/hyperlink" TargetMode="External" Target="http://www3.lrs.lt/cgi-bin/preps2?a=401064&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403063&amp;b="/>
  <Relationship Id="rId291" Type="http://schemas.openxmlformats.org/officeDocument/2006/relationships/hyperlink" TargetMode="External" Target="http://www3.lrs.lt/cgi-bin/preps2?a=408891&amp;b="/>
  <Relationship Id="rId292" Type="http://schemas.openxmlformats.org/officeDocument/2006/relationships/hyperlink" TargetMode="External" Target="http://www3.lrs.lt/cgi-bin/preps2?a=411822&amp;b="/>
  <Relationship Id="rId293" Type="http://schemas.openxmlformats.org/officeDocument/2006/relationships/hyperlink" TargetMode="External" Target="http://www3.lrs.lt/cgi-bin/preps2?a=415883&amp;b="/>
  <Relationship Id="rId294" Type="http://schemas.openxmlformats.org/officeDocument/2006/relationships/hyperlink" TargetMode="External" Target="http://www3.lrs.lt/cgi-bin/preps2?a=421397&amp;b="/>
  <Relationship Id="rId295" Type="http://schemas.openxmlformats.org/officeDocument/2006/relationships/hyperlink" TargetMode="External" Target="http://www3.lrs.lt/cgi-bin/preps2?a=424563&amp;b="/>
  <Relationship Id="rId296" Type="http://schemas.openxmlformats.org/officeDocument/2006/relationships/hyperlink" TargetMode="External" Target="http://www3.lrs.lt/cgi-bin/preps2?a=424568&amp;b="/>
  <Relationship Id="rId297" Type="http://schemas.openxmlformats.org/officeDocument/2006/relationships/hyperlink" TargetMode="External" Target="http://www3.lrs.lt/cgi-bin/preps2?a=428321&amp;b="/>
  <Relationship Id="rId298" Type="http://schemas.openxmlformats.org/officeDocument/2006/relationships/hyperlink" TargetMode="External" Target="http://www3.lrs.lt/cgi-bin/preps2?a=447188&amp;b="/>
  <Relationship Id="rId299" Type="http://schemas.openxmlformats.org/officeDocument/2006/relationships/hyperlink" TargetMode="External" Target="http://www3.lrs.lt/cgi-bin/preps2?a=451388&amp;b="/>
  <Relationship Id="rId3" Type="http://schemas.openxmlformats.org/officeDocument/2006/relationships/footer" Target="footer91.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52591&amp;b="/>
  <Relationship Id="rId301" Type="http://schemas.openxmlformats.org/officeDocument/2006/relationships/hyperlink" TargetMode="External" Target="http://www3.lrs.lt/cgi-bin/preps2?a=453258&amp;b="/>
  <Relationship Id="rId302" Type="http://schemas.openxmlformats.org/officeDocument/2006/relationships/hyperlink" TargetMode="External" Target="http://www3.lrs.lt/cgi-bin/preps2?a=453049&amp;b="/>
  <Relationship Id="rId303" Type="http://schemas.openxmlformats.org/officeDocument/2006/relationships/hyperlink" TargetMode="External" Target="http://www3.lrs.lt/cgi-bin/preps2?a=453094&amp;b="/>
  <Relationship Id="rId304" Type="http://schemas.openxmlformats.org/officeDocument/2006/relationships/hyperlink" TargetMode="External" Target="http://www3.lrs.lt/cgi-bin/preps2?a=463433&amp;b="/>
  <Relationship Id="rId305" Type="http://schemas.openxmlformats.org/officeDocument/2006/relationships/hyperlink" TargetMode="External" Target="http://www3.lrs.lt/cgi-bin/preps2?a=473670&amp;b="/>
  <Relationship Id="rId306" Type="http://schemas.openxmlformats.org/officeDocument/2006/relationships/hyperlink" TargetMode="External" Target="http://www3.lrs.lt/cgi-bin/preps2?a=476709&amp;b="/>
  <Relationship Id="rId307" Type="http://schemas.openxmlformats.org/officeDocument/2006/relationships/hyperlink" TargetMode="External" Target="http://www3.lrs.lt/cgi-bin/preps2?a=478463&amp;b="/>
  <Relationship Id="rId308" Type="http://schemas.openxmlformats.org/officeDocument/2006/relationships/hyperlink" TargetMode="External" Target="http://www3.lrs.lt/cgi-bin/preps2?a=478465&amp;b="/>
  <Relationship Id="rId309" Type="http://schemas.openxmlformats.org/officeDocument/2006/relationships/hyperlink" TargetMode="External" Target="http://www3.lrs.lt/cgi-bin/preps2?a=478706&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pls/inter/dokpaieska.showdoc_l?p_id=299392&amp;p_query=&amp;p_tr2="/>
  <Relationship Id="rId311"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92.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93.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93.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bc8c16494788411ab7a5b1ff6c280a7e">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59ec65a25db24f7c8e70daa8a6546020">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ba61d764d3ed4bdca96429d49901389a"/>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cffc81627cc34fb0bf2c02a6ccb135fb"/>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227861c16e4b4bda990dbc5bc936b482">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3da5a49e360f4c9ab52c9d1aa7af4a38">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8abd66f56bc64f8182a7737097b60178"/>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9af03658e3d342bdaa21a71e6ecd480e"/>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 d." DocPartId="dac8fa580f594b8ebfcf0bf4170f78bd" PartId="9349ef4459434fb587659af8cfef8479"/>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9ccc8594e1a84223804761a3f10a3dd7"/>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64e84c3dd4ee4964a149879290c73856"/>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9e7f668f94264e189e3a30db37f60308">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481814fe73ad4e63afa900575b8847f7"/>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06c1ca3188fd4e44bb587354ff00c1dd"/>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25bbf460a2f5408ea1cd3dcaa8528cf0"/>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07810f3d45804946abfd789005a379fb">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1ed2fe3bce8b49b4ac19ce3de500fc20"/>
    <Part Type="punktas" Nr="7" Abbr="7 p." DocPartId="ca42e33e9eb94074b1d3584899547653" PartId="f365e4a3e2ea4c9abf44ed4b0710e416"/>
    <Part Type="punktas" Nr="7" Abbr="7 p." DocPartId="9af721f46d794a538d7dd66d8363414e" PartId="b8f1fe0c251544b283ab9c26d4f91198"/>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D99B87A-C254-4A7C-9789-007E5083131A}">
  <ds:schemaRefs>
    <ds:schemaRef ds:uri="http://lrs.lt/TAIS/DocParts"/>
  </ds:schemaRefs>
</ds:datastoreItem>
</file>

<file path=customXml/itemProps3.xml><?xml version="1.0" encoding="utf-8"?>
<ds:datastoreItem xmlns:ds="http://schemas.openxmlformats.org/officeDocument/2006/customXml" ds:itemID="{E5AC6355-0059-4B57-95E5-EB4FA3D36C2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244</TotalTime>
  <Pages>429</Pages>
  <Words>1024193</Words>
  <Characters>583790</Characters>
  <Application>Microsoft Office Word</Application>
  <DocSecurity>0</DocSecurity>
  <Lines>4864</Lines>
  <Paragraphs>3209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1604774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2020-04-24T05:52:00Z</dcterms:modified>
  <revision>83</revision>
</coreProperties>
</file>