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2020-06-15 iki 2020-11-18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c26f1b6939c444ac8b213f3582169a22"/>
                        <w:lock w:val="sdtLocked"/>
                        <w:richText/>
                      </w:sdtPr>
                      <w:sdtContent>
                        <w:p>
                          <w:pPr>
                            <w:ind w:firstLine="720"/>
                            <w:jc w:val="both"/>
                            <w:rPr>
                              <w:b/>
                              <w:sz w:val="22"/>
                            </w:rPr>
                          </w:pPr>
                          <w:sdt>
                            <w:sdtPr>
                              <w:alias w:val="Numeris"/>
                              <w:tag w:val="nr_c26f1b6939c444ac8b213f3582169a22"/>
                              <w:lock w:val="sdtLocked"/>
                              <w:richText/>
                            </w:sdtPr>
                            <w:sdtContent>
                              <w:r>
                                <w:rPr>
                                  <w:b/>
                                  <w:sz w:val="22"/>
                                </w:rPr>
                                <w:t>2.46</w:t>
                              </w:r>
                            </w:sdtContent>
                          </w:sdt>
                          <w:r>
                            <w:rPr>
                              <w:b/>
                              <w:sz w:val="22"/>
                            </w:rPr>
                            <w:t xml:space="preserve"> straipsnis. </w:t>
                          </w:r>
                          <w:sdt>
                            <w:sdtPr>
                              <w:alias w:val="Pavadinimas"/>
                              <w:tag w:val="title_c26f1b6939c444ac8b213f3582169a22"/>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e823cf48d96345088d8a533fffd95c71"/>
                        <w:lock w:val="sdtLocked"/>
                        <w:richText/>
                      </w:sdtPr>
                      <w:sdtContent>
                        <w:p>
                          <w:pPr>
                            <w:ind w:firstLine="720"/>
                            <w:jc w:val="both"/>
                            <w:rPr>
                              <w:b/>
                              <w:sz w:val="22"/>
                            </w:rPr>
                          </w:pPr>
                          <w:sdt>
                            <w:sdtPr>
                              <w:alias w:val="Numeris"/>
                              <w:tag w:val="nr_e823cf48d96345088d8a533fffd95c71"/>
                              <w:lock w:val="sdtLocked"/>
                              <w:richText/>
                            </w:sdtPr>
                            <w:sdtContent>
                              <w:r>
                                <w:rPr>
                                  <w:b/>
                                  <w:sz w:val="22"/>
                                </w:rPr>
                                <w:t>2.66</w:t>
                              </w:r>
                            </w:sdtContent>
                          </w:sdt>
                          <w:r>
                            <w:rPr>
                              <w:b/>
                              <w:sz w:val="22"/>
                            </w:rPr>
                            <w:t xml:space="preserve"> straipsnis. </w:t>
                          </w:r>
                          <w:sdt>
                            <w:sdtPr>
                              <w:alias w:val="Pavadinimas"/>
                              <w:tag w:val="title_e823cf48d96345088d8a533fffd95c71"/>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cffc81627cc34fb0bf2c02a6ccb135fb"/>
                                <w:lock w:val="sdtLocked"/>
                                <w:richText/>
                              </w:sdtPr>
                              <w:sdtContent>
                                <w:p>
                                  <w:pPr>
                                    <w:ind w:firstLine="720"/>
                                    <w:jc w:val="both"/>
                                    <w:rPr>
                                      <w:sz w:val="22"/>
                                      <w:szCs w:val="22"/>
                                    </w:rPr>
                                  </w:pPr>
                                  <w:sdt>
                                    <w:sdtPr>
                                      <w:alias w:val="Numeris"/>
                                      <w:tag w:val="nr_cffc81627cc34fb0bf2c02a6ccb135fb"/>
                                      <w:lock w:val="sdtLocked"/>
                                      <w:richText/>
                                    </w:sdtPr>
                                    <w:sdtContent>
                                      <w:r>
                                        <w:rPr>
                                          <w:bCs/>
                                          <w:color w:val="000000"/>
                                          <w:szCs w:val="24"/>
                                        </w:rPr>
                                        <w:t>2</w:t>
                                      </w:r>
                                    </w:sdtContent>
                                  </w:sdt>
                                  <w:r>
                                    <w:rPr>
                                      <w:bCs/>
                                      <w:color w:val="000000"/>
                                      <w:szCs w:val="24"/>
                                    </w:rPr>
                                    <w:t>) valstybės ir savivaldybių institucijoms ir įstaigoms teisės aktuose nustatytoms funkcijoms atlikti pagal prašymą ir (arba) sutartis;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1db80e3f411e7b3f0a470b0373cb2">
                                    <w:r w:rsidRPr="00532B9F">
                                      <w:rPr>
                                        <w:rFonts w:ascii="Times New Roman" w:eastAsia="MS Mincho" w:hAnsi="Times New Roman"/>
                                        <w:sz w:val="20"/>
                                        <w:i/>
                                        <w:iCs/>
                                        <w:color w:val="0000FF" w:themeColor="hyperlink"/>
                                        <w:u w:val="single"/>
                                      </w:rPr>
                                      <w:t>XIII-850</w:t>
                                    </w:r>
                                  </w:fldSimple>
                                  <w:r>
                                    <w:rPr>
                                      <w:rFonts w:ascii="Times New Roman" w:eastAsia="MS Mincho" w:hAnsi="Times New Roman"/>
                                      <w:sz w:val="20"/>
                                      <w:i/>
                                      <w:iCs/>
                                    </w:rPr>
                                    <w:t>,
2017-12-07,
paskelbta TAR 2017-12-18, i. k. 2017-20333            </w:t>
                                  </w:r>
                                </w:p>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f5302db5e22e4e62bb15f63cd349355e"/>
                        <w:lock w:val="sdtLocked"/>
                        <w:richText/>
                      </w:sdtPr>
                      <w:sdtContent>
                        <w:p>
                          <w:pPr>
                            <w:ind w:firstLine="720"/>
                            <w:jc w:val="both"/>
                            <w:rPr>
                              <w:b/>
                              <w:sz w:val="22"/>
                            </w:rPr>
                          </w:pPr>
                          <w:sdt>
                            <w:sdtPr>
                              <w:alias w:val="Numeris"/>
                              <w:tag w:val="nr_f5302db5e22e4e62bb15f63cd349355e"/>
                              <w:lock w:val="sdtLocked"/>
                              <w:richText/>
                            </w:sdtPr>
                            <w:sdtContent>
                              <w:r>
                                <w:rPr>
                                  <w:b/>
                                  <w:sz w:val="22"/>
                                </w:rPr>
                                <w:t>2.75</w:t>
                              </w:r>
                            </w:sdtContent>
                          </w:sdt>
                          <w:r>
                            <w:rPr>
                              <w:b/>
                              <w:sz w:val="22"/>
                            </w:rPr>
                            <w:t xml:space="preserve"> straipsnis. </w:t>
                          </w:r>
                          <w:sdt>
                            <w:sdtPr>
                              <w:alias w:val="Pavadinimas"/>
                              <w:tag w:val="title_f5302db5e22e4e62bb15f63cd349355e"/>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621013fdd7ac4bd0bd19be9d6bec61e0"/>
                        <w:lock w:val="sdtLocked"/>
                        <w:richText/>
                      </w:sdtPr>
                      <w:sdtContent>
                        <w:p>
                          <w:pPr>
                            <w:ind w:firstLine="720"/>
                            <w:jc w:val="both"/>
                            <w:rPr>
                              <w:b/>
                              <w:sz w:val="22"/>
                            </w:rPr>
                          </w:pPr>
                          <w:sdt>
                            <w:sdtPr>
                              <w:alias w:val="Numeris"/>
                              <w:tag w:val="nr_621013fdd7ac4bd0bd19be9d6bec61e0"/>
                              <w:lock w:val="sdtLocked"/>
                              <w:richText/>
                            </w:sdtPr>
                            <w:sdtContent>
                              <w:r>
                                <w:rPr>
                                  <w:b/>
                                  <w:sz w:val="22"/>
                                </w:rPr>
                                <w:t>2.79</w:t>
                              </w:r>
                            </w:sdtContent>
                          </w:sdt>
                          <w:r>
                            <w:rPr>
                              <w:b/>
                              <w:sz w:val="22"/>
                            </w:rPr>
                            <w:t xml:space="preserve"> straipsnis. </w:t>
                          </w:r>
                          <w:sdt>
                            <w:sdtPr>
                              <w:alias w:val="Pavadinimas"/>
                              <w:tag w:val="title_621013fdd7ac4bd0bd19be9d6bec61e0"/>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33837aa82b244019850dbb8821ac2dcf"/>
                        <w:lock w:val="sdtLocked"/>
                        <w:richText/>
                      </w:sdtPr>
                      <w:sdtContent>
                        <w:p>
                          <w:pPr>
                            <w:ind w:firstLine="720"/>
                            <w:jc w:val="both"/>
                            <w:rPr>
                              <w:b/>
                              <w:sz w:val="22"/>
                            </w:rPr>
                          </w:pPr>
                          <w:sdt>
                            <w:sdtPr>
                              <w:alias w:val="Numeris"/>
                              <w:tag w:val="nr_33837aa82b244019850dbb8821ac2dcf"/>
                              <w:lock w:val="sdtLocked"/>
                              <w:richText/>
                            </w:sdtPr>
                            <w:sdtContent>
                              <w:r>
                                <w:rPr>
                                  <w:b/>
                                  <w:sz w:val="22"/>
                                </w:rPr>
                                <w:t>2.108</w:t>
                              </w:r>
                            </w:sdtContent>
                          </w:sdt>
                          <w:r>
                            <w:rPr>
                              <w:b/>
                              <w:sz w:val="22"/>
                            </w:rPr>
                            <w:t xml:space="preserve"> straipsnis. </w:t>
                          </w:r>
                          <w:sdt>
                            <w:sdtPr>
                              <w:alias w:val="Pavadinimas"/>
                              <w:tag w:val="title_33837aa82b244019850dbb8821ac2dcf"/>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 d."/>
                                <w:tag w:val="part_9349ef4459434fb587659af8cfef8479"/>
                                <w:lock w:val="sdtLocked"/>
                                <w:richText/>
                              </w:sdtPr>
                              <w:sdtContent>
                                <w:p>
                                  <w:pPr>
                                    <w:ind w:firstLine="720"/>
                                    <w:jc w:val="both"/>
                                  </w:pPr>
                                  <w:sdt>
                                    <w:sdtPr>
                                      <w:alias w:val="Numeris"/>
                                      <w:tag w:val="nr_9349ef4459434fb587659af8cfef8479"/>
                                      <w:lock w:val="sdtLocked"/>
                                      <w:richText/>
                                    </w:sdtPr>
                                    <w:sdtContent>
                                      <w:r>
                                        <w:rPr>
                                          <w:sz w:val="22"/>
                                          <w:szCs w:val="22"/>
                                        </w:rPr>
                                        <w:t>4</w:t>
                                      </w:r>
                                    </w:sdtContent>
                                  </w:sdt>
                                  <w:r>
                                    <w:rPr>
                                      <w:sz w:val="22"/>
                                      <w:szCs w:val="22"/>
                                    </w:rPr>
                                    <w:t>. Duomenys apie sąlyginės hipotekos sąlygos, su kuria siejamas hipotekos galiojimas, atsiradimą ar pabaigą pateikiami Hipotekos registrui Hipotekos registro nuostatuose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9ccc8594e1a84223804761a3f10a3dd7"/>
                                <w:lock w:val="sdtLocked"/>
                                <w:richText/>
                              </w:sdtPr>
                              <w:sdtContent>
                                <w:p>
                                  <w:pPr>
                                    <w:ind w:firstLine="720"/>
                                    <w:jc w:val="both"/>
                                    <w:rPr>
                                      <w:sz w:val="22"/>
                                      <w:szCs w:val="22"/>
                                    </w:rPr>
                                  </w:pPr>
                                  <w:sdt>
                                    <w:sdtPr>
                                      <w:alias w:val="Numeris"/>
                                      <w:tag w:val="nr_9ccc8594e1a84223804761a3f10a3dd7"/>
                                      <w:lock w:val="sdtLocked"/>
                                      <w:richText/>
                                    </w:sdtPr>
                                    <w:sdtContent>
                                      <w:r>
                                        <w:rPr>
                                          <w:bCs/>
                                          <w:color w:val="000000"/>
                                          <w:sz w:val="22"/>
                                          <w:szCs w:val="22"/>
                                          <w:lang w:eastAsia="lt-LT"/>
                                        </w:rPr>
                                        <w:t>1</w:t>
                                      </w:r>
                                    </w:sdtContent>
                                  </w:sdt>
                                  <w:r>
                                    <w:rPr>
                                      <w:bCs/>
                                      <w:color w:val="000000"/>
                                      <w:sz w:val="22"/>
                                      <w:szCs w:val="22"/>
                                      <w:lang w:eastAsia="lt-LT"/>
                                    </w:rPr>
                                    <w:t xml:space="preserve">. </w:t>
                                  </w:r>
                                  <w:r>
                                    <w:rPr>
                                      <w:sz w:val="22"/>
                                      <w:szCs w:val="22"/>
                                      <w:lang w:eastAsia="lt-LT"/>
                                    </w:rPr>
                                    <w:t>Priverstinis įkeisto daikto realizavimas hipotekos kreditoriaus prašymu išlaisvina jį nuo visų galiojančių hipotekų.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64e84c3dd4ee4964a149879290c73856"/>
                                <w:lock w:val="sdtLocked"/>
                                <w:richText/>
                              </w:sdtPr>
                              <w:sdtContent>
                                <w:p>
                                  <w:pPr>
                                    <w:ind w:firstLine="720"/>
                                    <w:jc w:val="both"/>
                                  </w:pPr>
                                  <w:sdt>
                                    <w:sdtPr>
                                      <w:alias w:val="Numeris"/>
                                      <w:tag w:val="nr_64e84c3dd4ee4964a149879290c73856"/>
                                      <w:lock w:val="sdtLocked"/>
                                      <w:richText/>
                                    </w:sdtPr>
                                    <w:sdtContent>
                                      <w:r>
                                        <w:rPr>
                                          <w:color w:val="000000"/>
                                          <w:sz w:val="22"/>
                                          <w:szCs w:val="22"/>
                                        </w:rPr>
                                        <w:t>7</w:t>
                                      </w:r>
                                    </w:sdtContent>
                                  </w:sdt>
                                  <w:r>
                                    <w:rPr>
                                      <w:color w:val="000000"/>
                                      <w:sz w:val="22"/>
                                      <w:szCs w:val="22"/>
                                    </w:rPr>
                                    <w:t>. Pasibaigusi hipoteka išregistruojama iš Hipotekos registro. Hipotekos kreditoriaus, skolininko arba turto savininko prašymas dėl hipotekos pabaigos pateikiamas notarui, o šis duomenis apie hipotekos pabaigą perduoda Hipotekos registrui</w:t>
                                  </w:r>
                                  <w:r>
                                    <w:rPr>
                                      <w:bCs/>
                                      <w:color w:val="000000"/>
                                      <w:sz w:val="22"/>
                                      <w:szCs w:val="22"/>
                                    </w:rPr>
                                    <w:t>. Sąlyginė hipoteka, sudaryta siekiant įsigyti nuosavybės teise nekilnojamąjį daiktą Civilinio proceso kodekso VI dalyje nustatyta tvarka, išregistruojama iš Hipotekos registro pagal antstolio pranešimą, kad sąlyginę hipoteką sudaręs asmuo netapo šio turto savininku</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1be352e0abdc4aa89acf231a8d6be5eb"/>
                    <w:lock w:val="sdtLocked"/>
                    <w:richText/>
                  </w:sdtPr>
                  <w:sdtContent>
                    <w:p>
                      <w:pPr>
                        <w:ind w:firstLine="720"/>
                        <w:jc w:val="both"/>
                        <w:rPr>
                          <w:b/>
                          <w:sz w:val="22"/>
                        </w:rPr>
                      </w:pPr>
                      <w:sdt>
                        <w:sdtPr>
                          <w:alias w:val="Numeris"/>
                          <w:tag w:val="nr_1be352e0abdc4aa89acf231a8d6be5eb"/>
                          <w:lock w:val="sdtLocked"/>
                          <w:richText/>
                        </w:sdtPr>
                        <w:sdtContent>
                          <w:r>
                            <w:rPr>
                              <w:b/>
                              <w:sz w:val="22"/>
                            </w:rPr>
                            <w:t>5.50</w:t>
                          </w:r>
                        </w:sdtContent>
                      </w:sdt>
                      <w:r>
                        <w:rPr>
                          <w:b/>
                          <w:sz w:val="22"/>
                        </w:rPr>
                        <w:t xml:space="preserve"> straipsnis. </w:t>
                      </w:r>
                      <w:sdt>
                        <w:sdtPr>
                          <w:alias w:val="Pavadinimas"/>
                          <w:tag w:val="title_1be352e0abdc4aa89acf231a8d6be5eb"/>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25bbf460a2f5408ea1cd3dcaa8528cf0"/>
                                <w:lock w:val="sdtLocked"/>
                                <w:richText/>
                              </w:sdtPr>
                              <w:sdtContent>
                                <w:p>
                                  <w:pPr>
                                    <w:ind w:firstLine="720"/>
                                    <w:jc w:val="both"/>
                                    <w:rPr>
                                      <w:bCs/>
                                      <w:sz w:val="22"/>
                                      <w:szCs w:val="22"/>
                                      <w:lang w:eastAsia="lt-LT"/>
                                    </w:rPr>
                                  </w:pPr>
                                  <w:sdt>
                                    <w:sdtPr>
                                      <w:alias w:val="Numeris"/>
                                      <w:tag w:val="nr_25bbf460a2f5408ea1cd3dcaa8528cf0"/>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bCs/>
                                      <w:color w:val="000000"/>
                                      <w:sz w:val="22"/>
                                      <w:szCs w:val="22"/>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sdtContent>
                            </w:sdt>
                            <w:sdt>
                              <w:sdtPr>
                                <w:alias w:val="5 d."/>
                                <w:tag w:val="part_f8c016b7f1534d938c16f1645f457a53"/>
                                <w:lock w:val="sdtLocked"/>
                                <w:richText/>
                              </w:sdtPr>
                              <w:sdtContent>
                                <w:p>
                                  <w:pPr>
                                    <w:ind w:firstLine="720"/>
                                    <w:jc w:val="both"/>
                                    <w:rPr>
                                      <w:bCs/>
                                      <w:color w:val="000000"/>
                                      <w:sz w:val="22"/>
                                      <w:szCs w:val="22"/>
                                      <w:lang w:eastAsia="lt-LT"/>
                                    </w:rPr>
                                  </w:pPr>
                                  <w:sdt>
                                    <w:sdtPr>
                                      <w:alias w:val="Numeris"/>
                                      <w:tag w:val="nr_f8c016b7f1534d938c16f1645f457a53"/>
                                      <w:lock w:val="sdtLocked"/>
                                      <w:richText/>
                                    </w:sdtPr>
                                    <w:sdtContent>
                                      <w:r>
                                        <w:rPr>
                                          <w:bCs/>
                                          <w:color w:val="000000"/>
                                          <w:sz w:val="22"/>
                                          <w:szCs w:val="22"/>
                                          <w:lang w:eastAsia="lt-LT"/>
                                        </w:rPr>
                                        <w:t>5</w:t>
                                      </w:r>
                                    </w:sdtContent>
                                  </w:sdt>
                                  <w:r>
                                    <w:rPr>
                                      <w:bCs/>
                                      <w:color w:val="000000"/>
                                      <w:sz w:val="22"/>
                                      <w:szCs w:val="22"/>
                                      <w:lang w:eastAsia="lt-LT"/>
                                    </w:rPr>
                                    <w:t>. Jeigu turistas ir kelionių organizatorius nesusitaria dėl sumokėtų pinigų už neįvykusią organizuotą turistinę kelionę kompensavimo, kaip tai nustatyta šio straipsnio 4 dalyje, kelionių organizatorius ne vėliau kaip per 90 dienų nuo dienos, kai nelieka Turizmo įstatyme nurodytų apribojimų, kurių pagrindu kelionių organizatoriaus įsipareigojimų pagal organizuotos turistinės kelionės sutartį vykdymas tapo neįmanomas, grąžina visus turisto arba jo vardu sumokėtus pinigus už organizuotą turistinę kelionę.</w:t>
                                  </w:r>
                                </w:p>
                                <w:p>
                                  <w:pPr>
                                    <w:jc w:val="both"/>
                                    <w:rPr>
                                      <w:bCs/>
                                      <w:color w:val="000000"/>
                                      <w:sz w:val="22"/>
                                      <w:szCs w:val="22"/>
                                    </w:rPr>
                                  </w:pPr>
                                  <w:r>
                                    <w:rPr>
                                      <w:b/>
                                      <w:bCs/>
                                      <w:i/>
                                      <w:color w:val="000000"/>
                                      <w:sz w:val="20"/>
                                      <w:lang w:eastAsia="lt-LT"/>
                                    </w:rPr>
                                    <w:t>TAR pastaba</w:t>
                                  </w:r>
                                  <w:r>
                                    <w:rPr>
                                      <w:bCs/>
                                      <w:i/>
                                      <w:color w:val="000000"/>
                                      <w:sz w:val="20"/>
                                      <w:lang w:eastAsia="lt-LT"/>
                                    </w:rPr>
                                    <w:t xml:space="preserve">. 5 dalis </w:t>
                                  </w:r>
                                  <w:r>
                                    <w:rPr>
                                      <w:rFonts w:eastAsia="NSimSun"/>
                                      <w:i/>
                                      <w:color w:val="000000"/>
                                      <w:kern w:val="2"/>
                                      <w:sz w:val="20"/>
                                      <w:lang w:eastAsia="zh-CN" w:bidi="hi-IN"/>
                                    </w:rPr>
                                    <w:t>taikoma ir iki įstatymo Nr. XIII-2956 įsigaliojimo dienos (2020-05-30) sudarytoms organizuotų turistinių kelionių sutartims, pagal kurias neįvyko organizuotos turistinės kelionės dėl Turizmo įstatymo 17</w:t>
                                  </w:r>
                                  <w:r>
                                    <w:rPr>
                                      <w:rFonts w:eastAsia="NSimSun"/>
                                      <w:i/>
                                      <w:color w:val="000000"/>
                                      <w:kern w:val="2"/>
                                      <w:sz w:val="20"/>
                                      <w:vertAlign w:val="superscript"/>
                                      <w:lang w:eastAsia="zh-CN" w:bidi="hi-IN"/>
                                    </w:rPr>
                                    <w:t>1</w:t>
                                  </w:r>
                                  <w:r>
                                    <w:rPr>
                                      <w:rFonts w:eastAsia="NSimSun"/>
                                      <w:i/>
                                      <w:color w:val="000000"/>
                                      <w:kern w:val="2"/>
                                      <w:sz w:val="20"/>
                                      <w:lang w:eastAsia="zh-CN" w:bidi="hi-IN"/>
                                    </w:rPr>
                                    <w:t xml:space="preserve"> straipsnio 1 dalyje nurodytų apribojimų, taikytų iki šio įstatymo įsigaliojimo.</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57"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58"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1"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3"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64"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65"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6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67"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07810f3d45804946abfd789005a379fb"/>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07810f3d45804946abfd789005a379fb"/>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f365e4a3e2ea4c9abf44ed4b0710e416"/>
            <w:lock w:val="sdtLocked"/>
            <w:richText/>
          </w:sdtPr>
          <w:sdtContent>
            <w:p>
              <w:pPr>
                <w:ind w:firstLine="720"/>
                <w:jc w:val="both"/>
              </w:pPr>
              <w:sdt>
                <w:sdtPr>
                  <w:alias w:val="Numeris"/>
                  <w:tag w:val="nr_f365e4a3e2ea4c9abf44ed4b0710e416"/>
                  <w:lock w:val="sdtLocked"/>
                  <w:richText/>
                </w:sdtPr>
                <w:sdtContent>
                  <w:r>
                    <w:rPr>
                      <w:iCs/>
                      <w:sz w:val="22"/>
                      <w:szCs w:val="22"/>
                    </w:rPr>
                    <w:t>7</w:t>
                  </w:r>
                </w:sdtContent>
              </w:sdt>
              <w:r>
                <w:rPr>
                  <w:iCs/>
                  <w:sz w:val="22"/>
                  <w:szCs w:val="22"/>
                </w:rPr>
                <w:t xml:space="preserve">. </w:t>
              </w:r>
              <w:r>
                <w:rPr>
                  <w:sz w:val="22"/>
                  <w:szCs w:val="22"/>
                </w:rPr>
                <w:t>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 (</w:t>
              </w:r>
              <w:r>
                <w:rPr>
                  <w:iCs/>
                  <w:sz w:val="22"/>
                  <w:szCs w:val="22"/>
                </w:rPr>
                <w:t>OL 2015 L 326,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68"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69"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0"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1"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2"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3"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4"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5"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76"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77"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8"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9"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0"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1"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2"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3"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4"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7"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9"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0"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1"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2"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3"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94"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95"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96"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97"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98"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99"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1"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2"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3"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04"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05"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07"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08"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09"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0"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20002A87" w:usb1="00000000" w:usb2="00000000"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4"/>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82B21A2"/>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94.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95.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90017&amp;b="/>
  <Relationship Id="rId259" Type="http://schemas.openxmlformats.org/officeDocument/2006/relationships/hyperlink" TargetMode="External" Target="http://www3.lrs.lt/cgi-bin/preps2?a=390017&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390017&amp;b="/>
  <Relationship Id="rId261" Type="http://schemas.openxmlformats.org/officeDocument/2006/relationships/hyperlink" TargetMode="External" Target="http://www3.lrs.lt/cgi-bin/preps2?a=390017&amp;b="/>
  <Relationship Id="rId262" Type="http://schemas.openxmlformats.org/officeDocument/2006/relationships/hyperlink" TargetMode="External" Target="http://www3.lrs.lt/cgi-bin/preps2?a=390017&amp;b="/>
  <Relationship Id="rId263" Type="http://schemas.openxmlformats.org/officeDocument/2006/relationships/hyperlink" TargetMode="External" Target="http://www3.lrs.lt/cgi-bin/preps2?a=390017&amp;b="/>
  <Relationship Id="rId264" Type="http://schemas.openxmlformats.org/officeDocument/2006/relationships/hyperlink" TargetMode="External" Target="http://www3.lrs.lt/cgi-bin/preps2?a=447188&amp;b="/>
  <Relationship Id="rId265" Type="http://schemas.openxmlformats.org/officeDocument/2006/relationships/hyperlink" TargetMode="External" Target="http://www3.lrs.lt/cgi-bin/preps2?a=447188&amp;b="/>
  <Relationship Id="rId266" Type="http://schemas.openxmlformats.org/officeDocument/2006/relationships/hyperlink" TargetMode="External" Target="http://www3.lrs.lt/cgi-bin/preps2?a=428321&amp;b="/>
  <Relationship Id="rId267" Type="http://schemas.openxmlformats.org/officeDocument/2006/relationships/hyperlink" TargetMode="External" Target="http://www3.lrs.lt/cgi-bin/preps2?a=453258&amp;b="/>
  <Relationship Id="rId268" Type="http://schemas.openxmlformats.org/officeDocument/2006/relationships/hyperlink" TargetMode="External" Target="http://www3.lrs.lt/cgi-bin/preps2?a=408891&amp;b="/>
  <Relationship Id="rId269" Type="http://schemas.openxmlformats.org/officeDocument/2006/relationships/hyperlink" TargetMode="External" Target="http://www3.lrs.lt/cgi-bin/preps2?a=463433&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476709&amp;b="/>
  <Relationship Id="rId271" Type="http://schemas.openxmlformats.org/officeDocument/2006/relationships/hyperlink" TargetMode="External" Target="http://www3.lrs.lt/cgi-bin/preps2?a=232223&amp;b="/>
  <Relationship Id="rId272" Type="http://schemas.openxmlformats.org/officeDocument/2006/relationships/hyperlink" TargetMode="External" Target="http://www3.lrs.lt/cgi-bin/preps2?a=245886&amp;b="/>
  <Relationship Id="rId273" Type="http://schemas.openxmlformats.org/officeDocument/2006/relationships/hyperlink" TargetMode="External" Target="http://www3.lrs.lt/cgi-bin/preps2?a=279781&amp;b="/>
  <Relationship Id="rId274" Type="http://schemas.openxmlformats.org/officeDocument/2006/relationships/hyperlink" TargetMode="External" Target="http://www3.lrs.lt/cgi-bin/preps2?a=285397&amp;b="/>
  <Relationship Id="rId275" Type="http://schemas.openxmlformats.org/officeDocument/2006/relationships/hyperlink" TargetMode="External" Target="http://www3.lrs.lt/cgi-bin/preps2?a=322125&amp;b="/>
  <Relationship Id="rId276" Type="http://schemas.openxmlformats.org/officeDocument/2006/relationships/hyperlink" TargetMode="External" Target="http://www3.lrs.lt/cgi-bin/preps2?a=334458&amp;b="/>
  <Relationship Id="rId277" Type="http://schemas.openxmlformats.org/officeDocument/2006/relationships/hyperlink" TargetMode="External" Target="http://www3.lrs.lt/cgi-bin/preps2?a=350387&amp;b="/>
  <Relationship Id="rId278" Type="http://schemas.openxmlformats.org/officeDocument/2006/relationships/hyperlink" TargetMode="External" Target="http://www3.lrs.lt/cgi-bin/preps2?a=356098&amp;b="/>
  <Relationship Id="rId279" Type="http://schemas.openxmlformats.org/officeDocument/2006/relationships/hyperlink" TargetMode="External" Target="http://www3.lrs.lt/cgi-bin/preps2?a=357972&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361999&amp;b="/>
  <Relationship Id="rId281" Type="http://schemas.openxmlformats.org/officeDocument/2006/relationships/hyperlink" TargetMode="External" Target="http://www3.lrs.lt/cgi-bin/preps2?a=369672&amp;b="/>
  <Relationship Id="rId282" Type="http://schemas.openxmlformats.org/officeDocument/2006/relationships/hyperlink" TargetMode="External" Target="http://www3.lrs.lt/cgi-bin/preps2?a=374581&amp;b="/>
  <Relationship Id="rId283" Type="http://schemas.openxmlformats.org/officeDocument/2006/relationships/hyperlink" TargetMode="External" Target="http://www3.lrs.lt/cgi-bin/preps2?a=376359&amp;b="/>
  <Relationship Id="rId284" Type="http://schemas.openxmlformats.org/officeDocument/2006/relationships/hyperlink" TargetMode="External" Target="http://www3.lrs.lt/cgi-bin/preps2?a=377910&amp;b="/>
  <Relationship Id="rId285" Type="http://schemas.openxmlformats.org/officeDocument/2006/relationships/hyperlink" TargetMode="External" Target="http://www3.lrs.lt/cgi-bin/preps2?a=381693&amp;b="/>
  <Relationship Id="rId286" Type="http://schemas.openxmlformats.org/officeDocument/2006/relationships/hyperlink" TargetMode="External" Target="http://www3.lrs.lt/cgi-bin/preps2?a=390017&amp;b="/>
  <Relationship Id="rId287" Type="http://schemas.openxmlformats.org/officeDocument/2006/relationships/hyperlink" TargetMode="External" Target="http://www3.lrs.lt/cgi-bin/preps2?a=396648&amp;b="/>
  <Relationship Id="rId288" Type="http://schemas.openxmlformats.org/officeDocument/2006/relationships/hyperlink" TargetMode="External" Target="http://www3.lrs.lt/cgi-bin/preps2?a=401063&amp;b="/>
  <Relationship Id="rId289" Type="http://schemas.openxmlformats.org/officeDocument/2006/relationships/hyperlink" TargetMode="External" Target="http://www3.lrs.lt/cgi-bin/preps2?a=401064&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403063&amp;b="/>
  <Relationship Id="rId291" Type="http://schemas.openxmlformats.org/officeDocument/2006/relationships/hyperlink" TargetMode="External" Target="http://www3.lrs.lt/cgi-bin/preps2?a=408891&amp;b="/>
  <Relationship Id="rId292" Type="http://schemas.openxmlformats.org/officeDocument/2006/relationships/hyperlink" TargetMode="External" Target="http://www3.lrs.lt/cgi-bin/preps2?a=411822&amp;b="/>
  <Relationship Id="rId293" Type="http://schemas.openxmlformats.org/officeDocument/2006/relationships/hyperlink" TargetMode="External" Target="http://www3.lrs.lt/cgi-bin/preps2?a=415883&amp;b="/>
  <Relationship Id="rId294" Type="http://schemas.openxmlformats.org/officeDocument/2006/relationships/hyperlink" TargetMode="External" Target="http://www3.lrs.lt/cgi-bin/preps2?a=421397&amp;b="/>
  <Relationship Id="rId295" Type="http://schemas.openxmlformats.org/officeDocument/2006/relationships/hyperlink" TargetMode="External" Target="http://www3.lrs.lt/cgi-bin/preps2?a=424563&amp;b="/>
  <Relationship Id="rId296" Type="http://schemas.openxmlformats.org/officeDocument/2006/relationships/hyperlink" TargetMode="External" Target="http://www3.lrs.lt/cgi-bin/preps2?a=424568&amp;b="/>
  <Relationship Id="rId297" Type="http://schemas.openxmlformats.org/officeDocument/2006/relationships/hyperlink" TargetMode="External" Target="http://www3.lrs.lt/cgi-bin/preps2?a=428321&amp;b="/>
  <Relationship Id="rId298" Type="http://schemas.openxmlformats.org/officeDocument/2006/relationships/hyperlink" TargetMode="External" Target="http://www3.lrs.lt/cgi-bin/preps2?a=447188&amp;b="/>
  <Relationship Id="rId299" Type="http://schemas.openxmlformats.org/officeDocument/2006/relationships/hyperlink" TargetMode="External" Target="http://www3.lrs.lt/cgi-bin/preps2?a=451388&amp;b="/>
  <Relationship Id="rId3" Type="http://schemas.openxmlformats.org/officeDocument/2006/relationships/footer" Target="footer94.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52591&amp;b="/>
  <Relationship Id="rId301" Type="http://schemas.openxmlformats.org/officeDocument/2006/relationships/hyperlink" TargetMode="External" Target="http://www3.lrs.lt/cgi-bin/preps2?a=453258&amp;b="/>
  <Relationship Id="rId302" Type="http://schemas.openxmlformats.org/officeDocument/2006/relationships/hyperlink" TargetMode="External" Target="http://www3.lrs.lt/cgi-bin/preps2?a=453049&amp;b="/>
  <Relationship Id="rId303" Type="http://schemas.openxmlformats.org/officeDocument/2006/relationships/hyperlink" TargetMode="External" Target="http://www3.lrs.lt/cgi-bin/preps2?a=453094&amp;b="/>
  <Relationship Id="rId304" Type="http://schemas.openxmlformats.org/officeDocument/2006/relationships/hyperlink" TargetMode="External" Target="http://www3.lrs.lt/cgi-bin/preps2?a=463433&amp;b="/>
  <Relationship Id="rId305" Type="http://schemas.openxmlformats.org/officeDocument/2006/relationships/hyperlink" TargetMode="External" Target="http://www3.lrs.lt/cgi-bin/preps2?a=473670&amp;b="/>
  <Relationship Id="rId306" Type="http://schemas.openxmlformats.org/officeDocument/2006/relationships/hyperlink" TargetMode="External" Target="http://www3.lrs.lt/cgi-bin/preps2?a=476709&amp;b="/>
  <Relationship Id="rId307" Type="http://schemas.openxmlformats.org/officeDocument/2006/relationships/hyperlink" TargetMode="External" Target="http://www3.lrs.lt/cgi-bin/preps2?a=478463&amp;b="/>
  <Relationship Id="rId308" Type="http://schemas.openxmlformats.org/officeDocument/2006/relationships/hyperlink" TargetMode="External" Target="http://www3.lrs.lt/cgi-bin/preps2?a=478465&amp;b="/>
  <Relationship Id="rId309" Type="http://schemas.openxmlformats.org/officeDocument/2006/relationships/hyperlink" TargetMode="External" Target="http://www3.lrs.lt/cgi-bin/preps2?a=478706&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pls/inter/dokpaieska.showdoc_l?p_id=299392&amp;p_query=&amp;p_tr2="/>
  <Relationship Id="rId311"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95.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96.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96.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c26f1b6939c444ac8b213f3582169a22">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e823cf48d96345088d8a533fffd95c71">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ba61d764d3ed4bdca96429d49901389a"/>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cffc81627cc34fb0bf2c02a6ccb135fb"/>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f5302db5e22e4e62bb15f63cd349355e">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621013fdd7ac4bd0bd19be9d6bec61e0">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33837aa82b244019850dbb8821ac2dcf">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 d." DocPartId="dac8fa580f594b8ebfcf0bf4170f78bd" PartId="9349ef4459434fb587659af8cfef8479"/>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9ccc8594e1a84223804761a3f10a3dd7"/>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64e84c3dd4ee4964a149879290c73856"/>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1be352e0abdc4aa89acf231a8d6be5eb">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25bbf460a2f5408ea1cd3dcaa8528cf0"/>
              <Part Type="strDalis" Nr="5" Abbr="5 d." DocPartId="042514ec203644afa839f8bbee203e16" PartId="f8c016b7f1534d938c16f1645f457a53"/>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07810f3d45804946abfd789005a379fb">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ca42e33e9eb94074b1d3584899547653" PartId="f365e4a3e2ea4c9abf44ed4b0710e416"/>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41F5576-DBCB-4A21-964A-EDADB3305FD9}">
  <ds:schemaRefs>
    <ds:schemaRef ds:uri="http://lrs.lt/TAIS/DocParts"/>
  </ds:schemaRefs>
</ds:datastoreItem>
</file>

<file path=customXml/itemProps3.xml><?xml version="1.0" encoding="utf-8"?>
<ds:datastoreItem xmlns:ds="http://schemas.openxmlformats.org/officeDocument/2006/customXml" ds:itemID="{D0E04E20-1D02-4207-B520-20C67EF81902}">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248</TotalTime>
  <Pages>429</Pages>
  <Words>1024578</Words>
  <Characters>584010</Characters>
  <Application>Microsoft Office Word</Application>
  <DocSecurity>0</DocSecurity>
  <Lines>4866</Lines>
  <Paragraphs>3210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1605378</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2020-06-01T06:19:00Z</dcterms:modified>
  <revision>87</revision>
</coreProperties>
</file>