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2022-11-25 iki 2024-12-31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2000, Nr. </w:t>
      </w:r>
      <w:fldSimple w:instr="HYPERLINK https://www.e-tar.lt/portal/legalAct.html?documentId=TAR.C5FBBC3C71EB">
        <w:r w:rsidRPr="00532B9F">
          <w:rPr>
            <w:rFonts w:ascii="Times New Roman" w:eastAsia="MS Mincho" w:hAnsi="Times New Roman"/>
            <w:sz w:val="20"/>
            <w:i/>
            <w:iCs/>
            <w:color w:val="0000FF" w:themeColor="hyperlink"/>
            <w:u w:val="single"/>
          </w:rPr>
          <w:t>69-2060</w:t>
        </w:r>
      </w:fldSimple>
      <w:r>
        <w:rPr>
          <w:rFonts w:ascii="Times New Roman" w:eastAsia="MS Mincho" w:hAnsi="Times New Roman"/>
          <w:sz w:val="20"/>
          <w:i/>
          <w:iCs/>
        </w:rPr>
        <w:t>, i. k. 1001100NUTA00000927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2022-07-01:</w:t>
      </w:r>
    </w:p>
    <w:p>
      <w:pPr>
        <w:rPr>
          <w:rFonts w:ascii="Times New Roman" w:hAnsi="Times New Roman"/>
          <w:sz w:val="20"/>
          <w:i/>
        </w:rPr>
      </w:pPr>
      <w:r>
        <w:rPr>
          <w:rFonts w:ascii="Times New Roman" w:hAnsi="Times New Roman"/>
          <w:sz w:val="20"/>
          <w:i/>
        </w:rPr>
        <w:t xml:space="preserve">Nr. </w:t>
      </w:r>
      <w:fldSimple w:instr="HYPERLINK https://www.e-tar.lt/portal/legalAct.html?documentId=9e39c290f7cb11ec8fa7d02a65c371ad">
        <w:r w:rsidRPr="00532B9F">
          <w:rPr>
            <w:rFonts w:ascii="Times New Roman" w:eastAsia="MS Mincho" w:hAnsi="Times New Roman"/>
            <w:sz w:val="20"/>
            <w:i/>
            <w:iCs/>
            <w:color w:val="0000FF" w:themeColor="hyperlink"/>
            <w:u w:val="single"/>
          </w:rPr>
          <w:t>696</w:t>
        </w:r>
      </w:fldSimple>
      <w:r>
        <w:rPr>
          <w:rFonts w:ascii="Times New Roman" w:eastAsia="MS Mincho" w:hAnsi="Times New Roman"/>
          <w:sz w:val="20"/>
          <w:i/>
          <w:iCs/>
        </w:rPr>
        <w:t>,
2022-06-29,
paskelbta TAR 2022-06-29, i. k. 2022-14059                </w:t>
      </w:r>
    </w:p>
    <w:p>
      <w:pPr>
        <w:rPr>
          <w:rFonts w:ascii="Times New Roman" w:hAnsi="Times New Roman"/>
          <w:sz w:val="22"/>
        </w:rPr>
      </w:pPr>
    </w:p>
    <w:p>
      <w:pPr>
        <w:keepNext/>
        <w:jc w:val="center"/>
        <w:rPr>
          <w:b/>
          <w:caps/>
          <w:szCs w:val="24"/>
          <w:lang w:eastAsia="lt-LT"/>
        </w:rPr>
      </w:pPr>
      <w:r>
        <w:rPr>
          <w:b/>
          <w:caps/>
          <w:szCs w:val="24"/>
          <w:lang w:eastAsia="lt-LT"/>
        </w:rPr>
        <w:t>Lietuvos Respublikos Vyriausybė</w:t>
      </w:r>
    </w:p>
    <w:p>
      <w:pPr>
        <w:jc w:val="center"/>
        <w:rPr>
          <w:b/>
          <w:caps/>
          <w:lang w:eastAsia="lt-LT"/>
        </w:rPr>
      </w:pPr>
    </w:p>
    <w:p>
      <w:pPr>
        <w:jc w:val="center"/>
        <w:rPr>
          <w:b/>
          <w:caps/>
          <w:lang w:eastAsia="lt-LT"/>
        </w:rPr>
      </w:pPr>
      <w:r>
        <w:rPr>
          <w:b/>
          <w:caps/>
          <w:lang w:eastAsia="lt-LT"/>
        </w:rPr>
        <w:t>nutarimas</w:t>
      </w:r>
    </w:p>
    <w:p>
      <w:pPr>
        <w:jc w:val="center"/>
        <w:rPr>
          <w:b/>
          <w:caps/>
          <w:color w:val="000000"/>
          <w:szCs w:val="24"/>
        </w:rPr>
      </w:pPr>
      <w:r>
        <w:rPr>
          <w:b/>
          <w:caps/>
          <w:color w:val="000000"/>
          <w:szCs w:val="24"/>
        </w:rPr>
        <w:t xml:space="preserve">DĖL VALSTYBĖS PREMIJŲ UŽ PASIEKTUS AUKŠTO MEISTRIŠKUMO SPORTO LAIMĖJIMUS SPORTININKAMS IR JŲ TRENERIAMS DYDŽIŲ NUSTATYMO </w:t>
      </w:r>
    </w:p>
    <w:p>
      <w:pPr>
        <w:jc w:val="center"/>
        <w:rPr>
          <w:b/>
          <w:caps/>
          <w:color w:val="000000"/>
          <w:szCs w:val="24"/>
        </w:rPr>
      </w:pPr>
    </w:p>
    <w:p>
      <w:pPr>
        <w:jc w:val="center"/>
        <w:rPr>
          <w:b/>
          <w:caps/>
          <w:color w:val="000000"/>
          <w:szCs w:val="24"/>
        </w:rPr>
      </w:pPr>
      <w:r>
        <w:rPr>
          <w:color w:val="000000"/>
        </w:rPr>
        <w:t>2000 m. rugpjūčio 16 d. Nr. 927</w:t>
      </w:r>
    </w:p>
    <w:p>
      <w:pPr>
        <w:jc w:val="center"/>
        <w:rPr>
          <w:color w:val="000000"/>
          <w:szCs w:val="24"/>
        </w:rPr>
      </w:pPr>
      <w:r>
        <w:rPr>
          <w:color w:val="000000"/>
          <w:szCs w:val="24"/>
        </w:rPr>
        <w:t>Vilnius</w:t>
      </w:r>
    </w:p>
    <w:p>
      <w:pPr>
        <w:ind w:firstLine="709"/>
        <w:jc w:val="both"/>
        <w:rPr>
          <w:color w:val="000000"/>
          <w:szCs w:val="24"/>
        </w:rPr>
      </w:pPr>
    </w:p>
    <w:p>
      <w:pPr>
        <w:ind w:firstLine="709"/>
        <w:jc w:val="both"/>
        <w:rPr>
          <w:color w:val="000000"/>
          <w:szCs w:val="24"/>
        </w:rPr>
      </w:pPr>
      <w:r>
        <w:rPr>
          <w:color w:val="000000"/>
          <w:szCs w:val="24"/>
        </w:rPr>
        <w:t>Vadovaudamasi Lietuvos Respublikos sporto įstatymo 22 straipsniu ir 23 straipsnio 1 dalimi, Lietuvos Respublikos Vyriausybė nutaria:</w:t>
      </w:r>
    </w:p>
    <w:p>
      <w:pPr>
        <w:ind w:firstLine="709"/>
        <w:jc w:val="both"/>
        <w:rPr>
          <w:strike/>
          <w:color w:val="000000"/>
          <w:szCs w:val="24"/>
          <w:lang w:eastAsia="lt-LT"/>
        </w:rPr>
      </w:pPr>
      <w:r>
        <w:rPr>
          <w:color w:val="000000"/>
          <w:szCs w:val="24"/>
          <w:lang w:eastAsia="lt-LT"/>
        </w:rPr>
        <w:t>1</w:t>
      </w:r>
      <w:r>
        <w:rPr>
          <w:color w:val="000000"/>
          <w:szCs w:val="24"/>
          <w:lang w:eastAsia="lt-LT"/>
        </w:rPr>
        <w:t>. Patvirtinti Valstybės premijų už pasiektus aukšto meistriškumo sporto laimėjimus sportininkams ir jų treneriams dydžius (pridedama).</w:t>
      </w:r>
    </w:p>
    <w:p>
      <w:pPr>
        <w:ind w:firstLine="709"/>
        <w:jc w:val="both"/>
      </w:pPr>
      <w:r>
        <w:rPr>
          <w:color w:val="000000"/>
          <w:szCs w:val="24"/>
          <w:lang w:eastAsia="lt-LT"/>
        </w:rPr>
        <w:t>2</w:t>
      </w:r>
      <w:r>
        <w:rPr>
          <w:color w:val="000000"/>
          <w:szCs w:val="24"/>
          <w:lang w:eastAsia="lt-LT"/>
        </w:rPr>
        <w:t>. Nustatyti, kad jeigu atstovaujamos sporto šakos tarptautinė federacija (išskyrus specialiosios olimpiados judėjimą) nėra pripažinusi Pasaulinio antidopingo kodekso, šios sporto šakos sportininkams ir jų treneriams negali būti skiriamos valstybės premijos.</w:t>
      </w:r>
      <w:r>
        <w:t xml:space="preserve"> </w:t>
      </w:r>
    </w:p>
    <w:p>
      <w:pPr>
        <w:tabs>
          <w:tab w:val="right" w:pos="9639"/>
        </w:tabs>
      </w:pPr>
    </w:p>
    <w:p>
      <w:pPr>
        <w:tabs>
          <w:tab w:val="right" w:pos="9639"/>
        </w:tabs>
      </w:pPr>
    </w:p>
    <w:p>
      <w:pPr>
        <w:tabs>
          <w:tab w:val="right" w:pos="9639"/>
        </w:tabs>
      </w:pPr>
    </w:p>
    <w:p>
      <w:pPr>
        <w:tabs>
          <w:tab w:val="right" w:pos="9356"/>
        </w:tabs>
        <w:rPr>
          <w:caps/>
        </w:rPr>
      </w:pPr>
      <w:r>
        <w:rPr>
          <w:caps/>
        </w:rPr>
        <w:t>MINISTRAS PIRMININKAS</w:t>
        <w:tab/>
        <w:t>ANDRIUS KUBILIUS</w:t>
      </w:r>
    </w:p>
    <w:p>
      <w:pPr>
        <w:ind w:firstLine="709"/>
        <w:rPr>
          <w:color w:val="000000"/>
        </w:rPr>
      </w:pPr>
    </w:p>
    <w:p>
      <w:pPr>
        <w:ind w:firstLine="709"/>
        <w:rPr>
          <w:color w:val="000000"/>
        </w:rPr>
      </w:pPr>
    </w:p>
    <w:p>
      <w:pPr>
        <w:ind w:firstLine="709"/>
        <w:rPr>
          <w:color w:val="000000"/>
        </w:rPr>
      </w:pPr>
    </w:p>
    <w:p>
      <w:pPr>
        <w:tabs>
          <w:tab w:val="right" w:pos="9639"/>
        </w:tabs>
        <w:rPr>
          <w:caps/>
        </w:rPr>
      </w:pPr>
      <w:r>
        <w:rPr>
          <w:caps/>
        </w:rPr>
        <w:t>SOCIALINĖS APSAUGOS IR DARBO MINISTRĖ,</w:t>
      </w:r>
    </w:p>
    <w:p>
      <w:pPr>
        <w:tabs>
          <w:tab w:val="right" w:pos="9356"/>
        </w:tabs>
      </w:pPr>
      <w:r>
        <w:rPr>
          <w:caps/>
        </w:rPr>
        <w:t>PAVADUOJANTI FINANSŲ MINISTRĄ</w:t>
        <w:tab/>
        <w:t>IRENA DEGUTIENĖ</w:t>
      </w:r>
    </w:p>
    <w:p/>
    <w:p>
      <w:pPr>
        <w:ind w:left="5103"/>
        <w:sectPr>
          <w:headerReference w:type="default" r:id="rId14"/>
          <w:pgSz w:w="11907" w:h="16840" w:code="9"/>
          <w:pgMar w:top="1134" w:right="1134" w:bottom="1134" w:left="1701" w:header="567" w:footer="567" w:gutter="0"/>
          <w:cols w:space="708"/>
          <w:titlePg/>
          <w:docGrid w:linePitch="360"/>
        </w:sectPr>
      </w:pPr>
    </w:p>
    <w:p>
      <w:pPr>
        <w:ind w:left="5103"/>
        <w:rPr>
          <w:color w:val="000000"/>
          <w:szCs w:val="24"/>
        </w:rPr>
      </w:pPr>
      <w:r>
        <w:rPr>
          <w:color w:val="000000"/>
          <w:szCs w:val="24"/>
        </w:rPr>
        <w:t>PATVIRTINTA</w:t>
        <w:br/>
        <w:t>Lietuvos Respublikos Vyriausybės</w:t>
      </w:r>
    </w:p>
    <w:p>
      <w:pPr>
        <w:ind w:left="5103"/>
        <w:rPr>
          <w:color w:val="000000"/>
          <w:szCs w:val="24"/>
        </w:rPr>
      </w:pPr>
      <w:r>
        <w:rPr>
          <w:color w:val="000000"/>
          <w:szCs w:val="24"/>
        </w:rPr>
        <w:t>2000 m. rugpjūčio 16 d. nutarimu Nr. 927</w:t>
      </w:r>
    </w:p>
    <w:p>
      <w:pPr>
        <w:ind w:left="5103"/>
        <w:rPr>
          <w:color w:val="000000"/>
          <w:szCs w:val="24"/>
        </w:rPr>
      </w:pPr>
      <w:r>
        <w:rPr>
          <w:color w:val="000000"/>
          <w:szCs w:val="24"/>
        </w:rPr>
        <w:t>(Lietuvos Respublikos Vyriausybės</w:t>
      </w:r>
    </w:p>
    <w:p>
      <w:pPr>
        <w:ind w:left="5103"/>
        <w:rPr>
          <w:color w:val="000000"/>
          <w:szCs w:val="24"/>
        </w:rPr>
      </w:pPr>
      <w:r>
        <w:t xml:space="preserve">2022 m. birželio 29 d. </w:t>
      </w:r>
      <w:r>
        <w:rPr>
          <w:color w:val="000000"/>
          <w:szCs w:val="24"/>
        </w:rPr>
        <w:t xml:space="preserve">nutarimo Nr. </w:t>
      </w:r>
      <w:r>
        <w:rPr>
          <w:color w:val="000000"/>
        </w:rPr>
        <w:t>696</w:t>
      </w:r>
    </w:p>
    <w:p>
      <w:pPr>
        <w:ind w:left="5103"/>
        <w:rPr>
          <w:color w:val="000000"/>
          <w:szCs w:val="24"/>
        </w:rPr>
      </w:pPr>
      <w:r>
        <w:rPr>
          <w:color w:val="000000"/>
          <w:szCs w:val="24"/>
        </w:rPr>
        <w:t>redakcija)</w:t>
      </w:r>
    </w:p>
    <w:p>
      <w:pPr>
        <w:ind w:left="5670" w:firstLine="62"/>
        <w:rPr>
          <w:color w:val="000000"/>
          <w:szCs w:val="24"/>
        </w:rPr>
      </w:pPr>
    </w:p>
    <w:p>
      <w:pPr>
        <w:ind w:firstLine="124"/>
        <w:rPr>
          <w:color w:val="000000"/>
          <w:szCs w:val="24"/>
        </w:rPr>
      </w:pPr>
    </w:p>
    <w:p>
      <w:pPr>
        <w:jc w:val="center"/>
        <w:rPr>
          <w:b/>
          <w:bCs/>
          <w:color w:val="000000"/>
          <w:szCs w:val="24"/>
        </w:rPr>
      </w:pPr>
      <w:r>
        <w:rPr>
          <w:b/>
          <w:bCs/>
          <w:caps/>
          <w:color w:val="000000"/>
          <w:szCs w:val="24"/>
        </w:rPr>
        <w:t>VALSTYBĖS PREMIJŲ UŽ PASIEKTUS AUKŠTO MEISTRIŠKUMO SPORTO LAIMĖJIMUS SPORTININKAMS IR JŲ TRENERIAMS DYDŽIAI</w:t>
      </w:r>
    </w:p>
    <w:p>
      <w:pPr>
        <w:ind w:firstLine="124"/>
        <w:rPr>
          <w:color w:val="000000"/>
          <w:szCs w:val="24"/>
        </w:rPr>
      </w:pPr>
    </w:p>
    <w:p>
      <w:pPr>
        <w:ind w:firstLine="124"/>
        <w:rPr>
          <w:color w:val="000000"/>
          <w:szCs w:val="24"/>
        </w:rPr>
      </w:pPr>
    </w:p>
    <w:tbl>
      <w:tblPr>
        <w:tblW w:w="9980" w:type="dxa"/>
        <w:tblInd w:w="10" w:type="dxa"/>
        <w:tblLayout w:type="fixed"/>
        <w:tblCellMar>
          <w:left w:w="0" w:type="dxa"/>
          <w:right w:w="0" w:type="dxa"/>
        </w:tblCellMar>
        <w:tblLook w:val="04A0" w:firstRow="1" w:lastRow="0" w:firstColumn="1" w:lastColumn="0" w:noHBand="0" w:noVBand="1"/>
      </w:tblPr>
      <w:tblGrid>
        <w:gridCol w:w="381"/>
        <w:gridCol w:w="2152"/>
        <w:gridCol w:w="888"/>
        <w:gridCol w:w="821"/>
        <w:gridCol w:w="847"/>
        <w:gridCol w:w="1074"/>
        <w:gridCol w:w="968"/>
        <w:gridCol w:w="754"/>
        <w:gridCol w:w="1074"/>
        <w:gridCol w:w="1021"/>
      </w:tblGrid>
      <w:tr>
        <w:trPr>
          <w:trHeight w:val="23"/>
          <w:tblHeader/>
        </w:trPr>
        <w:tc>
          <w:tcPr>
            <w:tcW w:w="380" w:type="dxa"/>
            <w:vMerge w:val="restart"/>
            <w:tcBorders>
              <w:top w:val="single" w:sz="8" w:space="0" w:color="auto"/>
              <w:left w:val="single" w:sz="8" w:space="0" w:color="auto"/>
              <w:bottom w:val="single" w:sz="8" w:space="0" w:color="auto"/>
              <w:right w:val="single" w:sz="8" w:space="0" w:color="auto"/>
            </w:tcBorders>
            <w:hideMark/>
          </w:tcPr>
          <w:p>
            <w:pPr>
              <w:jc w:val="center"/>
              <w:rPr>
                <w:szCs w:val="24"/>
              </w:rPr>
            </w:pPr>
            <w:r>
              <w:rPr>
                <w:szCs w:val="24"/>
              </w:rPr>
              <w:t>Eil. Nr.</w:t>
            </w:r>
          </w:p>
        </w:tc>
        <w:tc>
          <w:tcPr>
            <w:tcW w:w="2152" w:type="dxa"/>
            <w:vMerge w:val="restart"/>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pPr>
              <w:jc w:val="center"/>
              <w:rPr>
                <w:szCs w:val="24"/>
              </w:rPr>
            </w:pPr>
            <w:r>
              <w:rPr>
                <w:szCs w:val="24"/>
              </w:rPr>
              <w:t>Aukšto meistriškumo sporto varžybų pavadinimas</w:t>
            </w:r>
          </w:p>
        </w:tc>
        <w:tc>
          <w:tcPr>
            <w:tcW w:w="7447" w:type="dxa"/>
            <w:gridSpan w:val="8"/>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pPr>
              <w:jc w:val="center"/>
              <w:rPr>
                <w:szCs w:val="24"/>
              </w:rPr>
            </w:pPr>
            <w:r>
              <w:rPr>
                <w:szCs w:val="24"/>
              </w:rPr>
              <w:t>Iškovota vieta ir valstybės premijos dydis</w:t>
            </w:r>
          </w:p>
          <w:p>
            <w:pPr>
              <w:jc w:val="center"/>
              <w:rPr>
                <w:szCs w:val="24"/>
              </w:rPr>
            </w:pPr>
            <w:r>
              <w:rPr>
                <w:szCs w:val="24"/>
              </w:rPr>
              <w:t>(bazinės socialinės išmokos dydžiai)</w:t>
            </w:r>
          </w:p>
        </w:tc>
      </w:tr>
      <w:tr>
        <w:trPr>
          <w:trHeight w:val="23"/>
          <w:tblHeader/>
        </w:trPr>
        <w:tc>
          <w:tcPr>
            <w:tcW w:w="380" w:type="dxa"/>
            <w:vMerge/>
            <w:tcBorders>
              <w:top w:val="single" w:sz="8" w:space="0" w:color="auto"/>
              <w:left w:val="single" w:sz="8" w:space="0" w:color="auto"/>
              <w:bottom w:val="single" w:sz="8" w:space="0" w:color="auto"/>
              <w:right w:val="single" w:sz="8" w:space="0" w:color="auto"/>
            </w:tcBorders>
            <w:vAlign w:val="center"/>
            <w:hideMark/>
          </w:tcPr>
          <w:p>
            <w:pPr>
              <w:rPr>
                <w:szCs w:val="24"/>
              </w:rPr>
            </w:pPr>
          </w:p>
        </w:tc>
        <w:tc>
          <w:tcPr>
            <w:tcW w:w="2152" w:type="dxa"/>
            <w:vMerge/>
            <w:tcBorders>
              <w:top w:val="single" w:sz="8" w:space="0" w:color="auto"/>
              <w:left w:val="nil"/>
              <w:bottom w:val="single" w:sz="8" w:space="0" w:color="auto"/>
              <w:right w:val="single" w:sz="8" w:space="0" w:color="auto"/>
            </w:tcBorders>
            <w:vAlign w:val="center"/>
            <w:hideMark/>
          </w:tcPr>
          <w:p>
            <w:pPr>
              <w:rPr>
                <w:szCs w:val="24"/>
              </w:rPr>
            </w:pPr>
          </w:p>
        </w:tc>
        <w:tc>
          <w:tcPr>
            <w:tcW w:w="888" w:type="dxa"/>
            <w:tcBorders>
              <w:top w:val="nil"/>
              <w:left w:val="nil"/>
              <w:bottom w:val="single" w:sz="8" w:space="0" w:color="auto"/>
              <w:right w:val="single" w:sz="8" w:space="0" w:color="auto"/>
            </w:tcBorders>
            <w:tcMar>
              <w:top w:w="28" w:type="dxa"/>
              <w:left w:w="57" w:type="dxa"/>
              <w:bottom w:w="28" w:type="dxa"/>
              <w:right w:w="57" w:type="dxa"/>
            </w:tcMar>
            <w:vAlign w:val="center"/>
            <w:hideMark/>
          </w:tcPr>
          <w:p>
            <w:pPr>
              <w:jc w:val="center"/>
              <w:rPr>
                <w:szCs w:val="24"/>
              </w:rPr>
            </w:pPr>
            <w:r>
              <w:rPr>
                <w:szCs w:val="24"/>
              </w:rPr>
              <w:t>pirmoji</w:t>
            </w:r>
          </w:p>
        </w:tc>
        <w:tc>
          <w:tcPr>
            <w:tcW w:w="821" w:type="dxa"/>
            <w:tcBorders>
              <w:top w:val="nil"/>
              <w:left w:val="nil"/>
              <w:bottom w:val="single" w:sz="8" w:space="0" w:color="auto"/>
              <w:right w:val="single" w:sz="8" w:space="0" w:color="auto"/>
            </w:tcBorders>
            <w:tcMar>
              <w:top w:w="28" w:type="dxa"/>
              <w:left w:w="57" w:type="dxa"/>
              <w:bottom w:w="28" w:type="dxa"/>
              <w:right w:w="57" w:type="dxa"/>
            </w:tcMar>
            <w:vAlign w:val="center"/>
            <w:hideMark/>
          </w:tcPr>
          <w:p>
            <w:pPr>
              <w:jc w:val="center"/>
              <w:rPr>
                <w:szCs w:val="24"/>
              </w:rPr>
            </w:pPr>
            <w:r>
              <w:rPr>
                <w:szCs w:val="24"/>
              </w:rPr>
              <w:t>antroji</w:t>
            </w:r>
          </w:p>
        </w:tc>
        <w:tc>
          <w:tcPr>
            <w:tcW w:w="847" w:type="dxa"/>
            <w:tcBorders>
              <w:top w:val="nil"/>
              <w:left w:val="nil"/>
              <w:bottom w:val="single" w:sz="8" w:space="0" w:color="auto"/>
              <w:right w:val="single" w:sz="8" w:space="0" w:color="auto"/>
            </w:tcBorders>
            <w:tcMar>
              <w:top w:w="28" w:type="dxa"/>
              <w:left w:w="57" w:type="dxa"/>
              <w:bottom w:w="28" w:type="dxa"/>
              <w:right w:w="57" w:type="dxa"/>
            </w:tcMar>
            <w:vAlign w:val="center"/>
            <w:hideMark/>
          </w:tcPr>
          <w:p>
            <w:pPr>
              <w:jc w:val="center"/>
              <w:rPr>
                <w:szCs w:val="24"/>
              </w:rPr>
            </w:pPr>
            <w:r>
              <w:rPr>
                <w:szCs w:val="24"/>
              </w:rPr>
              <w:t>trečioji</w:t>
            </w:r>
          </w:p>
        </w:tc>
        <w:tc>
          <w:tcPr>
            <w:tcW w:w="1074" w:type="dxa"/>
            <w:tcBorders>
              <w:top w:val="nil"/>
              <w:left w:val="nil"/>
              <w:bottom w:val="single" w:sz="8" w:space="0" w:color="auto"/>
              <w:right w:val="single" w:sz="8" w:space="0" w:color="auto"/>
            </w:tcBorders>
            <w:tcMar>
              <w:top w:w="28" w:type="dxa"/>
              <w:left w:w="57" w:type="dxa"/>
              <w:bottom w:w="28" w:type="dxa"/>
              <w:right w:w="57" w:type="dxa"/>
            </w:tcMar>
            <w:vAlign w:val="center"/>
            <w:hideMark/>
          </w:tcPr>
          <w:p>
            <w:pPr>
              <w:jc w:val="center"/>
              <w:rPr>
                <w:szCs w:val="24"/>
              </w:rPr>
            </w:pPr>
            <w:r>
              <w:rPr>
                <w:szCs w:val="24"/>
              </w:rPr>
              <w:t>ketvirtoji</w:t>
            </w:r>
          </w:p>
        </w:tc>
        <w:tc>
          <w:tcPr>
            <w:tcW w:w="968" w:type="dxa"/>
            <w:tcBorders>
              <w:top w:val="nil"/>
              <w:left w:val="nil"/>
              <w:bottom w:val="single" w:sz="8" w:space="0" w:color="auto"/>
              <w:right w:val="single" w:sz="8" w:space="0" w:color="auto"/>
            </w:tcBorders>
            <w:tcMar>
              <w:top w:w="28" w:type="dxa"/>
              <w:left w:w="57" w:type="dxa"/>
              <w:bottom w:w="28" w:type="dxa"/>
              <w:right w:w="57" w:type="dxa"/>
            </w:tcMar>
            <w:vAlign w:val="center"/>
            <w:hideMark/>
          </w:tcPr>
          <w:p>
            <w:pPr>
              <w:jc w:val="center"/>
              <w:rPr>
                <w:szCs w:val="24"/>
              </w:rPr>
            </w:pPr>
            <w:r>
              <w:rPr>
                <w:szCs w:val="24"/>
              </w:rPr>
              <w:t>penktoji</w:t>
            </w:r>
          </w:p>
        </w:tc>
        <w:tc>
          <w:tcPr>
            <w:tcW w:w="754" w:type="dxa"/>
            <w:tcBorders>
              <w:top w:val="nil"/>
              <w:left w:val="nil"/>
              <w:bottom w:val="single" w:sz="8" w:space="0" w:color="auto"/>
              <w:right w:val="single" w:sz="8" w:space="0" w:color="auto"/>
            </w:tcBorders>
            <w:tcMar>
              <w:top w:w="28" w:type="dxa"/>
              <w:left w:w="57" w:type="dxa"/>
              <w:bottom w:w="28" w:type="dxa"/>
              <w:right w:w="57" w:type="dxa"/>
            </w:tcMar>
            <w:vAlign w:val="center"/>
            <w:hideMark/>
          </w:tcPr>
          <w:p>
            <w:pPr>
              <w:jc w:val="center"/>
              <w:rPr>
                <w:szCs w:val="24"/>
              </w:rPr>
            </w:pPr>
            <w:r>
              <w:rPr>
                <w:szCs w:val="24"/>
              </w:rPr>
              <w:t>šeštoji</w:t>
            </w:r>
          </w:p>
        </w:tc>
        <w:tc>
          <w:tcPr>
            <w:tcW w:w="1074" w:type="dxa"/>
            <w:tcBorders>
              <w:top w:val="nil"/>
              <w:left w:val="nil"/>
              <w:bottom w:val="single" w:sz="8" w:space="0" w:color="auto"/>
              <w:right w:val="single" w:sz="8" w:space="0" w:color="auto"/>
            </w:tcBorders>
            <w:tcMar>
              <w:top w:w="28" w:type="dxa"/>
              <w:left w:w="57" w:type="dxa"/>
              <w:bottom w:w="28" w:type="dxa"/>
              <w:right w:w="57" w:type="dxa"/>
            </w:tcMar>
            <w:vAlign w:val="center"/>
            <w:hideMark/>
          </w:tcPr>
          <w:p>
            <w:pPr>
              <w:jc w:val="center"/>
              <w:rPr>
                <w:szCs w:val="24"/>
              </w:rPr>
            </w:pPr>
            <w:r>
              <w:rPr>
                <w:szCs w:val="24"/>
              </w:rPr>
              <w:t>septintoji</w:t>
            </w:r>
          </w:p>
        </w:tc>
        <w:tc>
          <w:tcPr>
            <w:tcW w:w="1021" w:type="dxa"/>
            <w:tcBorders>
              <w:top w:val="nil"/>
              <w:left w:val="nil"/>
              <w:bottom w:val="single" w:sz="8" w:space="0" w:color="auto"/>
              <w:right w:val="single" w:sz="8" w:space="0" w:color="auto"/>
            </w:tcBorders>
            <w:tcMar>
              <w:top w:w="28" w:type="dxa"/>
              <w:left w:w="57" w:type="dxa"/>
              <w:bottom w:w="28" w:type="dxa"/>
              <w:right w:w="57" w:type="dxa"/>
            </w:tcMar>
            <w:vAlign w:val="center"/>
            <w:hideMark/>
          </w:tcPr>
          <w:p>
            <w:pPr>
              <w:jc w:val="center"/>
              <w:rPr>
                <w:szCs w:val="24"/>
              </w:rPr>
            </w:pPr>
            <w:r>
              <w:rPr>
                <w:szCs w:val="24"/>
              </w:rPr>
              <w:t>aštuntoji</w:t>
            </w:r>
          </w:p>
        </w:tc>
      </w:tr>
      <w:tr>
        <w:trPr>
          <w:trHeight w:val="571"/>
        </w:trPr>
        <w:tc>
          <w:tcPr>
            <w:tcW w:w="380" w:type="dxa"/>
            <w:tcBorders>
              <w:top w:val="nil"/>
              <w:left w:val="single" w:sz="8" w:space="0" w:color="auto"/>
              <w:bottom w:val="single" w:sz="8" w:space="0" w:color="auto"/>
              <w:right w:val="single" w:sz="8" w:space="0" w:color="auto"/>
            </w:tcBorders>
            <w:hideMark/>
          </w:tcPr>
          <w:p>
            <w:pPr>
              <w:jc w:val="center"/>
              <w:rPr>
                <w:szCs w:val="24"/>
              </w:rPr>
            </w:pPr>
            <w:r>
              <w:rPr>
                <w:szCs w:val="24"/>
              </w:rPr>
              <w:t>1.</w:t>
            </w:r>
          </w:p>
        </w:tc>
        <w:tc>
          <w:tcPr>
            <w:tcW w:w="2152" w:type="dxa"/>
            <w:tcBorders>
              <w:top w:val="nil"/>
              <w:left w:val="nil"/>
              <w:bottom w:val="single" w:sz="8" w:space="0" w:color="auto"/>
              <w:right w:val="single" w:sz="8" w:space="0" w:color="auto"/>
            </w:tcBorders>
            <w:tcMar>
              <w:top w:w="28" w:type="dxa"/>
              <w:left w:w="57" w:type="dxa"/>
              <w:bottom w:w="28" w:type="dxa"/>
              <w:right w:w="57" w:type="dxa"/>
            </w:tcMar>
            <w:hideMark/>
          </w:tcPr>
          <w:p>
            <w:pPr>
              <w:rPr>
                <w:szCs w:val="24"/>
              </w:rPr>
            </w:pPr>
            <w:r>
              <w:rPr>
                <w:szCs w:val="24"/>
              </w:rPr>
              <w:t>Į olimpinių, paralimpinių ar kurčiųjų žaidynių programą įtrauktų rungčių aukšto meistriškumo sporto varžybos</w:t>
            </w:r>
          </w:p>
        </w:tc>
        <w:tc>
          <w:tcPr>
            <w:tcW w:w="7447" w:type="dxa"/>
            <w:gridSpan w:val="8"/>
            <w:tcBorders>
              <w:top w:val="nil"/>
              <w:left w:val="nil"/>
              <w:bottom w:val="single" w:sz="8" w:space="0" w:color="auto"/>
              <w:right w:val="single" w:sz="8" w:space="0" w:color="auto"/>
            </w:tcBorders>
            <w:tcMar>
              <w:top w:w="28" w:type="dxa"/>
              <w:left w:w="57" w:type="dxa"/>
              <w:bottom w:w="28" w:type="dxa"/>
              <w:right w:w="57" w:type="dxa"/>
            </w:tcMar>
            <w:hideMark/>
          </w:tcPr>
          <w:p>
            <w:pPr>
              <w:rPr>
                <w:szCs w:val="24"/>
              </w:rPr>
            </w:pPr>
          </w:p>
        </w:tc>
      </w:tr>
      <w:tr>
        <w:trPr>
          <w:trHeight w:val="23"/>
        </w:trPr>
        <w:tc>
          <w:tcPr>
            <w:tcW w:w="380" w:type="dxa"/>
            <w:tcBorders>
              <w:top w:val="nil"/>
              <w:left w:val="single" w:sz="8" w:space="0" w:color="auto"/>
              <w:bottom w:val="single" w:sz="8" w:space="0" w:color="auto"/>
              <w:right w:val="single" w:sz="8" w:space="0" w:color="auto"/>
            </w:tcBorders>
            <w:hideMark/>
          </w:tcPr>
          <w:p>
            <w:pPr>
              <w:jc w:val="center"/>
              <w:rPr>
                <w:szCs w:val="24"/>
              </w:rPr>
            </w:pPr>
            <w:r>
              <w:rPr>
                <w:szCs w:val="24"/>
              </w:rPr>
              <w:t>1.1.</w:t>
            </w:r>
          </w:p>
        </w:tc>
        <w:tc>
          <w:tcPr>
            <w:tcW w:w="2152" w:type="dxa"/>
            <w:tcBorders>
              <w:top w:val="nil"/>
              <w:left w:val="nil"/>
              <w:bottom w:val="single" w:sz="8" w:space="0" w:color="auto"/>
              <w:right w:val="single" w:sz="8" w:space="0" w:color="auto"/>
            </w:tcBorders>
            <w:tcMar>
              <w:top w:w="28" w:type="dxa"/>
              <w:left w:w="57" w:type="dxa"/>
              <w:bottom w:w="28" w:type="dxa"/>
              <w:right w:w="57" w:type="dxa"/>
            </w:tcMar>
            <w:hideMark/>
          </w:tcPr>
          <w:p>
            <w:pPr>
              <w:rPr>
                <w:szCs w:val="24"/>
              </w:rPr>
            </w:pPr>
            <w:r>
              <w:rPr>
                <w:szCs w:val="24"/>
              </w:rPr>
              <w:t>Olimpinės žaidynės</w:t>
            </w:r>
          </w:p>
        </w:tc>
        <w:tc>
          <w:tcPr>
            <w:tcW w:w="888"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3 049</w:t>
            </w:r>
          </w:p>
        </w:tc>
        <w:tc>
          <w:tcPr>
            <w:tcW w:w="821"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1 525</w:t>
            </w:r>
          </w:p>
        </w:tc>
        <w:tc>
          <w:tcPr>
            <w:tcW w:w="847"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1 144</w:t>
            </w:r>
          </w:p>
        </w:tc>
        <w:tc>
          <w:tcPr>
            <w:tcW w:w="107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610</w:t>
            </w:r>
          </w:p>
        </w:tc>
        <w:tc>
          <w:tcPr>
            <w:tcW w:w="968"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458</w:t>
            </w:r>
          </w:p>
        </w:tc>
        <w:tc>
          <w:tcPr>
            <w:tcW w:w="75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305</w:t>
            </w:r>
          </w:p>
        </w:tc>
        <w:tc>
          <w:tcPr>
            <w:tcW w:w="107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229</w:t>
            </w:r>
          </w:p>
        </w:tc>
        <w:tc>
          <w:tcPr>
            <w:tcW w:w="1021"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153</w:t>
            </w:r>
          </w:p>
        </w:tc>
      </w:tr>
      <w:tr>
        <w:trPr>
          <w:trHeight w:val="23"/>
        </w:trPr>
        <w:tc>
          <w:tcPr>
            <w:tcW w:w="380" w:type="dxa"/>
            <w:tcBorders>
              <w:top w:val="nil"/>
              <w:left w:val="single" w:sz="8" w:space="0" w:color="auto"/>
              <w:bottom w:val="single" w:sz="8" w:space="0" w:color="auto"/>
              <w:right w:val="single" w:sz="8" w:space="0" w:color="auto"/>
            </w:tcBorders>
            <w:hideMark/>
          </w:tcPr>
          <w:p>
            <w:pPr>
              <w:jc w:val="center"/>
              <w:rPr>
                <w:szCs w:val="24"/>
              </w:rPr>
            </w:pPr>
            <w:r>
              <w:rPr>
                <w:szCs w:val="24"/>
              </w:rPr>
              <w:t>1.</w:t>
            </w:r>
            <w:r>
              <w:rPr>
                <w:szCs w:val="24"/>
                <w:lang w:val="en-US"/>
              </w:rPr>
              <w:t>2</w:t>
            </w:r>
            <w:r>
              <w:rPr>
                <w:szCs w:val="24"/>
              </w:rPr>
              <w:t>.</w:t>
            </w:r>
          </w:p>
        </w:tc>
        <w:tc>
          <w:tcPr>
            <w:tcW w:w="2152" w:type="dxa"/>
            <w:tcBorders>
              <w:top w:val="nil"/>
              <w:left w:val="nil"/>
              <w:bottom w:val="single" w:sz="8" w:space="0" w:color="auto"/>
              <w:right w:val="single" w:sz="8" w:space="0" w:color="auto"/>
            </w:tcBorders>
            <w:tcMar>
              <w:top w:w="28" w:type="dxa"/>
              <w:left w:w="57" w:type="dxa"/>
              <w:bottom w:w="28" w:type="dxa"/>
              <w:right w:w="57" w:type="dxa"/>
            </w:tcMar>
            <w:hideMark/>
          </w:tcPr>
          <w:p>
            <w:pPr>
              <w:rPr>
                <w:szCs w:val="24"/>
              </w:rPr>
            </w:pPr>
            <w:r>
              <w:rPr>
                <w:szCs w:val="24"/>
              </w:rPr>
              <w:t>Paralimpinės, kurčiųjų žaidynės</w:t>
            </w:r>
          </w:p>
        </w:tc>
        <w:tc>
          <w:tcPr>
            <w:tcW w:w="888"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1 525</w:t>
            </w:r>
          </w:p>
        </w:tc>
        <w:tc>
          <w:tcPr>
            <w:tcW w:w="821"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763</w:t>
            </w:r>
          </w:p>
        </w:tc>
        <w:tc>
          <w:tcPr>
            <w:tcW w:w="847"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572</w:t>
            </w:r>
          </w:p>
        </w:tc>
        <w:tc>
          <w:tcPr>
            <w:tcW w:w="107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305</w:t>
            </w:r>
          </w:p>
        </w:tc>
        <w:tc>
          <w:tcPr>
            <w:tcW w:w="968"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75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107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1021"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r>
      <w:tr>
        <w:trPr>
          <w:trHeight w:val="23"/>
        </w:trPr>
        <w:tc>
          <w:tcPr>
            <w:tcW w:w="380" w:type="dxa"/>
            <w:tcBorders>
              <w:top w:val="nil"/>
              <w:left w:val="single" w:sz="8" w:space="0" w:color="auto"/>
              <w:bottom w:val="single" w:sz="8" w:space="0" w:color="auto"/>
              <w:right w:val="single" w:sz="8" w:space="0" w:color="auto"/>
            </w:tcBorders>
            <w:hideMark/>
          </w:tcPr>
          <w:p>
            <w:pPr>
              <w:jc w:val="center"/>
              <w:rPr>
                <w:szCs w:val="24"/>
              </w:rPr>
            </w:pPr>
            <w:r>
              <w:rPr>
                <w:szCs w:val="24"/>
              </w:rPr>
              <w:t>1.3.</w:t>
            </w:r>
          </w:p>
        </w:tc>
        <w:tc>
          <w:tcPr>
            <w:tcW w:w="2152" w:type="dxa"/>
            <w:tcBorders>
              <w:top w:val="nil"/>
              <w:left w:val="nil"/>
              <w:bottom w:val="single" w:sz="8" w:space="0" w:color="auto"/>
              <w:right w:val="single" w:sz="8" w:space="0" w:color="auto"/>
            </w:tcBorders>
            <w:tcMar>
              <w:top w:w="28" w:type="dxa"/>
              <w:left w:w="57" w:type="dxa"/>
              <w:bottom w:w="28" w:type="dxa"/>
              <w:right w:w="57" w:type="dxa"/>
            </w:tcMar>
            <w:hideMark/>
          </w:tcPr>
          <w:p>
            <w:pPr>
              <w:rPr>
                <w:szCs w:val="24"/>
              </w:rPr>
            </w:pPr>
            <w:r>
              <w:rPr>
                <w:szCs w:val="24"/>
              </w:rPr>
              <w:t>Pasaulio čempionatas (</w:t>
            </w:r>
            <w:r>
              <w:rPr>
                <w:color w:val="000000"/>
                <w:szCs w:val="24"/>
              </w:rPr>
              <w:t>pasaulio taurės finalinių varžybų, jeigu tos sporto šakos pasaulio suaugusiųjų čempionatai nevykdomi, o vietoj jų rengiamos tos sporto šakos pasaulio taurės finalinės varžybos)</w:t>
            </w:r>
          </w:p>
        </w:tc>
        <w:tc>
          <w:tcPr>
            <w:tcW w:w="888"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610</w:t>
            </w:r>
          </w:p>
        </w:tc>
        <w:tc>
          <w:tcPr>
            <w:tcW w:w="821"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382</w:t>
            </w:r>
          </w:p>
        </w:tc>
        <w:tc>
          <w:tcPr>
            <w:tcW w:w="847"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229</w:t>
            </w:r>
          </w:p>
        </w:tc>
        <w:tc>
          <w:tcPr>
            <w:tcW w:w="107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968"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75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107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1021"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r>
      <w:tr>
        <w:trPr>
          <w:trHeight w:val="23"/>
        </w:trPr>
        <w:tc>
          <w:tcPr>
            <w:tcW w:w="380" w:type="dxa"/>
            <w:tcBorders>
              <w:top w:val="nil"/>
              <w:left w:val="single" w:sz="8" w:space="0" w:color="auto"/>
              <w:bottom w:val="single" w:sz="8" w:space="0" w:color="auto"/>
              <w:right w:val="single" w:sz="8" w:space="0" w:color="auto"/>
            </w:tcBorders>
            <w:hideMark/>
          </w:tcPr>
          <w:p>
            <w:pPr>
              <w:jc w:val="center"/>
              <w:rPr>
                <w:szCs w:val="24"/>
              </w:rPr>
            </w:pPr>
            <w:r>
              <w:rPr>
                <w:szCs w:val="24"/>
              </w:rPr>
              <w:t>1.4.</w:t>
            </w:r>
          </w:p>
        </w:tc>
        <w:tc>
          <w:tcPr>
            <w:tcW w:w="2152" w:type="dxa"/>
            <w:tcBorders>
              <w:top w:val="nil"/>
              <w:left w:val="nil"/>
              <w:bottom w:val="single" w:sz="8" w:space="0" w:color="auto"/>
              <w:right w:val="single" w:sz="8" w:space="0" w:color="auto"/>
            </w:tcBorders>
            <w:tcMar>
              <w:top w:w="28" w:type="dxa"/>
              <w:left w:w="57" w:type="dxa"/>
              <w:bottom w:w="28" w:type="dxa"/>
              <w:right w:w="57" w:type="dxa"/>
            </w:tcMar>
            <w:hideMark/>
          </w:tcPr>
          <w:p>
            <w:pPr>
              <w:rPr>
                <w:szCs w:val="24"/>
              </w:rPr>
            </w:pPr>
            <w:r>
              <w:rPr>
                <w:szCs w:val="24"/>
              </w:rPr>
              <w:t>Europos čempionatas</w:t>
            </w:r>
          </w:p>
          <w:p>
            <w:pPr>
              <w:rPr>
                <w:szCs w:val="24"/>
              </w:rPr>
            </w:pPr>
            <w:r>
              <w:rPr>
                <w:color w:val="000000"/>
                <w:szCs w:val="24"/>
              </w:rPr>
              <w:t>(Europos taurės finalinių varžybų ar Europos žaidynių, jeigu tos sporto šakos Europos suaugusiųjų čempionatai nevykdomi, o vietoj jų rengiamos tos sporto šakos Europos taurės finalinės varžybos ar Europos žaidynės)</w:t>
            </w:r>
          </w:p>
        </w:tc>
        <w:tc>
          <w:tcPr>
            <w:tcW w:w="888"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305</w:t>
            </w:r>
          </w:p>
        </w:tc>
        <w:tc>
          <w:tcPr>
            <w:tcW w:w="821"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153</w:t>
            </w:r>
          </w:p>
        </w:tc>
        <w:tc>
          <w:tcPr>
            <w:tcW w:w="847"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115</w:t>
            </w:r>
          </w:p>
        </w:tc>
        <w:tc>
          <w:tcPr>
            <w:tcW w:w="107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968"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75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107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1021"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r>
      <w:tr>
        <w:trPr>
          <w:trHeight w:val="282"/>
        </w:trPr>
        <w:tc>
          <w:tcPr>
            <w:tcW w:w="380" w:type="dxa"/>
            <w:tcBorders>
              <w:top w:val="nil"/>
              <w:left w:val="single" w:sz="8" w:space="0" w:color="auto"/>
              <w:bottom w:val="single" w:sz="8" w:space="0" w:color="auto"/>
              <w:right w:val="single" w:sz="8" w:space="0" w:color="auto"/>
            </w:tcBorders>
            <w:hideMark/>
          </w:tcPr>
          <w:p>
            <w:pPr>
              <w:jc w:val="center"/>
              <w:rPr>
                <w:szCs w:val="24"/>
              </w:rPr>
            </w:pPr>
            <w:r>
              <w:rPr>
                <w:szCs w:val="24"/>
              </w:rPr>
              <w:t>2.</w:t>
            </w:r>
          </w:p>
        </w:tc>
        <w:tc>
          <w:tcPr>
            <w:tcW w:w="2152" w:type="dxa"/>
            <w:tcBorders>
              <w:top w:val="nil"/>
              <w:left w:val="nil"/>
              <w:bottom w:val="single" w:sz="8" w:space="0" w:color="auto"/>
              <w:right w:val="single" w:sz="8" w:space="0" w:color="auto"/>
            </w:tcBorders>
            <w:tcMar>
              <w:top w:w="28" w:type="dxa"/>
              <w:left w:w="57" w:type="dxa"/>
              <w:bottom w:w="28" w:type="dxa"/>
              <w:right w:w="57" w:type="dxa"/>
            </w:tcMar>
            <w:hideMark/>
          </w:tcPr>
          <w:p>
            <w:pPr>
              <w:rPr>
                <w:szCs w:val="24"/>
              </w:rPr>
            </w:pPr>
            <w:r>
              <w:rPr>
                <w:szCs w:val="24"/>
              </w:rPr>
              <w:t>Į olimpinių žaidynių programą neįtrauktų rungčių, studentų ir neįgaliųjų aukšto meistriškumo sporto varžybos</w:t>
            </w:r>
          </w:p>
        </w:tc>
        <w:tc>
          <w:tcPr>
            <w:tcW w:w="7447" w:type="dxa"/>
            <w:gridSpan w:val="8"/>
            <w:tcBorders>
              <w:top w:val="nil"/>
              <w:left w:val="nil"/>
              <w:bottom w:val="single" w:sz="8" w:space="0" w:color="auto"/>
              <w:right w:val="single" w:sz="8" w:space="0" w:color="auto"/>
            </w:tcBorders>
            <w:tcMar>
              <w:top w:w="28" w:type="dxa"/>
              <w:left w:w="57" w:type="dxa"/>
              <w:bottom w:w="28" w:type="dxa"/>
              <w:right w:w="57" w:type="dxa"/>
            </w:tcMar>
            <w:hideMark/>
          </w:tcPr>
          <w:p>
            <w:pPr>
              <w:rPr>
                <w:szCs w:val="24"/>
              </w:rPr>
            </w:pPr>
          </w:p>
        </w:tc>
      </w:tr>
      <w:tr>
        <w:trPr>
          <w:trHeight w:val="23"/>
        </w:trPr>
        <w:tc>
          <w:tcPr>
            <w:tcW w:w="380" w:type="dxa"/>
            <w:tcBorders>
              <w:top w:val="nil"/>
              <w:left w:val="single" w:sz="8" w:space="0" w:color="auto"/>
              <w:bottom w:val="single" w:sz="8" w:space="0" w:color="auto"/>
              <w:right w:val="single" w:sz="8" w:space="0" w:color="auto"/>
            </w:tcBorders>
            <w:hideMark/>
          </w:tcPr>
          <w:p>
            <w:pPr>
              <w:jc w:val="center"/>
              <w:rPr>
                <w:szCs w:val="24"/>
              </w:rPr>
            </w:pPr>
            <w:r>
              <w:rPr>
                <w:szCs w:val="24"/>
              </w:rPr>
              <w:t>2.1.</w:t>
            </w:r>
          </w:p>
        </w:tc>
        <w:tc>
          <w:tcPr>
            <w:tcW w:w="2152" w:type="dxa"/>
            <w:tcBorders>
              <w:top w:val="nil"/>
              <w:left w:val="nil"/>
              <w:bottom w:val="single" w:sz="8" w:space="0" w:color="auto"/>
              <w:right w:val="single" w:sz="8" w:space="0" w:color="auto"/>
            </w:tcBorders>
            <w:tcMar>
              <w:top w:w="28" w:type="dxa"/>
              <w:left w:w="57" w:type="dxa"/>
              <w:bottom w:w="28" w:type="dxa"/>
              <w:right w:w="57" w:type="dxa"/>
            </w:tcMar>
            <w:hideMark/>
          </w:tcPr>
          <w:p>
            <w:pPr>
              <w:rPr>
                <w:szCs w:val="24"/>
              </w:rPr>
            </w:pPr>
            <w:r>
              <w:rPr>
                <w:szCs w:val="24"/>
              </w:rPr>
              <w:t>Pasaulio čempionatas (</w:t>
            </w:r>
            <w:r>
              <w:rPr>
                <w:color w:val="000000"/>
                <w:szCs w:val="24"/>
              </w:rPr>
              <w:t>pasaulio taurės finalinių varžybų, jeigu tos sporto šakos pasaulio suaugusiųjų čempionatai nevykdomi, o vietoj jų rengiamos tos sporto šakos pasaulio taurės finalinės varžybos)</w:t>
            </w:r>
            <w:r>
              <w:rPr>
                <w:szCs w:val="24"/>
              </w:rPr>
              <w:t>, universiada</w:t>
            </w:r>
          </w:p>
        </w:tc>
        <w:tc>
          <w:tcPr>
            <w:tcW w:w="888"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115</w:t>
            </w:r>
          </w:p>
        </w:tc>
        <w:tc>
          <w:tcPr>
            <w:tcW w:w="821"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92</w:t>
            </w:r>
          </w:p>
        </w:tc>
        <w:tc>
          <w:tcPr>
            <w:tcW w:w="847"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77</w:t>
            </w:r>
          </w:p>
        </w:tc>
        <w:tc>
          <w:tcPr>
            <w:tcW w:w="107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968"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75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107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1021"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r>
      <w:tr>
        <w:trPr>
          <w:trHeight w:val="23"/>
        </w:trPr>
        <w:tc>
          <w:tcPr>
            <w:tcW w:w="380" w:type="dxa"/>
            <w:tcBorders>
              <w:top w:val="nil"/>
              <w:left w:val="single" w:sz="8" w:space="0" w:color="auto"/>
              <w:bottom w:val="single" w:sz="8" w:space="0" w:color="auto"/>
              <w:right w:val="single" w:sz="8" w:space="0" w:color="auto"/>
            </w:tcBorders>
            <w:hideMark/>
          </w:tcPr>
          <w:p>
            <w:pPr>
              <w:jc w:val="center"/>
              <w:rPr>
                <w:szCs w:val="24"/>
              </w:rPr>
            </w:pPr>
            <w:r>
              <w:rPr>
                <w:szCs w:val="24"/>
              </w:rPr>
              <w:t>2.2.</w:t>
            </w:r>
          </w:p>
        </w:tc>
        <w:tc>
          <w:tcPr>
            <w:tcW w:w="2152" w:type="dxa"/>
            <w:tcBorders>
              <w:top w:val="nil"/>
              <w:left w:val="nil"/>
              <w:bottom w:val="single" w:sz="8" w:space="0" w:color="auto"/>
              <w:right w:val="single" w:sz="8" w:space="0" w:color="auto"/>
            </w:tcBorders>
            <w:tcMar>
              <w:top w:w="28" w:type="dxa"/>
              <w:left w:w="57" w:type="dxa"/>
              <w:bottom w:w="28" w:type="dxa"/>
              <w:right w:w="57" w:type="dxa"/>
            </w:tcMar>
            <w:hideMark/>
          </w:tcPr>
          <w:p>
            <w:pPr>
              <w:rPr>
                <w:szCs w:val="24"/>
              </w:rPr>
            </w:pPr>
            <w:r>
              <w:rPr>
                <w:szCs w:val="24"/>
              </w:rPr>
              <w:t>Europos čempionatas </w:t>
            </w:r>
            <w:r>
              <w:rPr>
                <w:color w:val="000000"/>
                <w:szCs w:val="24"/>
              </w:rPr>
              <w:t>(Europos taurės finalinių varžybų ar Europos žaidynių, jeigu tos sporto šakos Europos suaugusiųjų čempionatai nevykdomi, o vietoj jų rengiamos tos sporto šakos Europos taurės finalinės varžybos ar Europos žaidynės)</w:t>
            </w:r>
          </w:p>
        </w:tc>
        <w:tc>
          <w:tcPr>
            <w:tcW w:w="888"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62</w:t>
            </w:r>
          </w:p>
        </w:tc>
        <w:tc>
          <w:tcPr>
            <w:tcW w:w="821"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46</w:t>
            </w:r>
          </w:p>
        </w:tc>
        <w:tc>
          <w:tcPr>
            <w:tcW w:w="847"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31</w:t>
            </w:r>
          </w:p>
        </w:tc>
        <w:tc>
          <w:tcPr>
            <w:tcW w:w="107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968"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75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107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1021"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r>
      <w:tr>
        <w:trPr>
          <w:trHeight w:val="23"/>
        </w:trPr>
        <w:tc>
          <w:tcPr>
            <w:tcW w:w="380" w:type="dxa"/>
            <w:tcBorders>
              <w:top w:val="nil"/>
              <w:left w:val="single" w:sz="8" w:space="0" w:color="auto"/>
              <w:bottom w:val="single" w:sz="8" w:space="0" w:color="auto"/>
              <w:right w:val="single" w:sz="8" w:space="0" w:color="auto"/>
            </w:tcBorders>
            <w:hideMark/>
          </w:tcPr>
          <w:p>
            <w:pPr>
              <w:jc w:val="center"/>
              <w:rPr>
                <w:szCs w:val="24"/>
              </w:rPr>
            </w:pPr>
            <w:r>
              <w:rPr>
                <w:szCs w:val="24"/>
              </w:rPr>
              <w:t>2.3.</w:t>
            </w:r>
          </w:p>
        </w:tc>
        <w:tc>
          <w:tcPr>
            <w:tcW w:w="2152" w:type="dxa"/>
            <w:tcBorders>
              <w:top w:val="nil"/>
              <w:left w:val="nil"/>
              <w:bottom w:val="single" w:sz="8" w:space="0" w:color="auto"/>
              <w:right w:val="single" w:sz="8" w:space="0" w:color="auto"/>
            </w:tcBorders>
            <w:tcMar>
              <w:top w:w="28" w:type="dxa"/>
              <w:left w:w="57" w:type="dxa"/>
              <w:bottom w:w="28" w:type="dxa"/>
              <w:right w:w="57" w:type="dxa"/>
            </w:tcMar>
            <w:hideMark/>
          </w:tcPr>
          <w:p>
            <w:pPr>
              <w:rPr>
                <w:szCs w:val="24"/>
              </w:rPr>
            </w:pPr>
            <w:r>
              <w:rPr>
                <w:szCs w:val="24"/>
              </w:rPr>
              <w:t>Specialiosios olimpiados žaidynės</w:t>
            </w:r>
          </w:p>
        </w:tc>
        <w:tc>
          <w:tcPr>
            <w:tcW w:w="888"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46</w:t>
            </w:r>
          </w:p>
        </w:tc>
        <w:tc>
          <w:tcPr>
            <w:tcW w:w="821"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31</w:t>
            </w:r>
          </w:p>
        </w:tc>
        <w:tc>
          <w:tcPr>
            <w:tcW w:w="847"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16</w:t>
            </w:r>
          </w:p>
        </w:tc>
        <w:tc>
          <w:tcPr>
            <w:tcW w:w="107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968"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75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1074"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c>
          <w:tcPr>
            <w:tcW w:w="1021" w:type="dxa"/>
            <w:tcBorders>
              <w:top w:val="nil"/>
              <w:left w:val="nil"/>
              <w:bottom w:val="single" w:sz="8" w:space="0" w:color="auto"/>
              <w:right w:val="single" w:sz="8" w:space="0" w:color="auto"/>
            </w:tcBorders>
            <w:tcMar>
              <w:top w:w="28" w:type="dxa"/>
              <w:left w:w="57" w:type="dxa"/>
              <w:bottom w:w="28" w:type="dxa"/>
              <w:right w:w="57" w:type="dxa"/>
            </w:tcMar>
            <w:hideMark/>
          </w:tcPr>
          <w:p>
            <w:pPr>
              <w:jc w:val="center"/>
              <w:rPr>
                <w:szCs w:val="24"/>
              </w:rPr>
            </w:pPr>
            <w:r>
              <w:rPr>
                <w:szCs w:val="24"/>
              </w:rPr>
              <w:t>–</w:t>
            </w:r>
          </w:p>
        </w:tc>
      </w:tr>
    </w:tbl>
    <w:p>
      <w:pPr>
        <w:ind w:firstLine="782"/>
        <w:jc w:val="both"/>
        <w:rPr>
          <w:color w:val="000000"/>
          <w:szCs w:val="24"/>
          <w:lang w:eastAsia="lt-LT"/>
        </w:rPr>
      </w:pPr>
    </w:p>
    <w:p>
      <w:pPr>
        <w:ind w:firstLine="720"/>
        <w:jc w:val="both"/>
        <w:rPr>
          <w:color w:val="000000"/>
          <w:szCs w:val="24"/>
        </w:rPr>
      </w:pPr>
      <w:r>
        <w:rPr>
          <w:color w:val="000000"/>
          <w:szCs w:val="24"/>
        </w:rPr>
        <w:t>Pastabos: </w:t>
      </w:r>
    </w:p>
    <w:p>
      <w:pPr>
        <w:ind w:firstLine="720"/>
        <w:jc w:val="both"/>
        <w:rPr>
          <w:color w:val="000000"/>
          <w:szCs w:val="24"/>
        </w:rPr>
      </w:pPr>
      <w:r>
        <w:rPr>
          <w:color w:val="000000"/>
          <w:szCs w:val="24"/>
        </w:rPr>
        <w:t>1</w:t>
      </w:r>
      <w:r>
        <w:rPr>
          <w:color w:val="000000"/>
          <w:szCs w:val="24"/>
        </w:rPr>
        <w:t>. Valstybės premijos individualiųjų sporto šakų treneriams, rengusiems sportininką, dydis – 50 procentų lentelėje už atitinkamą aukšto meistriškumo sporto laimėjimą nustatyto valstybės premijos dydžio. Jeigu sportininką rengė keli treneriai, valstybės premija padalijama treneriams, atsižvelgiant į tai, koks jų indėlis į sportininko rengimą (šią informaciją pateikia sporto šakos federacija).</w:t>
      </w:r>
    </w:p>
    <w:p>
      <w:pPr>
        <w:ind w:firstLine="720"/>
        <w:jc w:val="both"/>
        <w:rPr>
          <w:color w:val="000000"/>
          <w:szCs w:val="24"/>
        </w:rPr>
      </w:pPr>
      <w:r>
        <w:rPr>
          <w:color w:val="000000"/>
          <w:szCs w:val="24"/>
        </w:rPr>
        <w:t>2</w:t>
      </w:r>
      <w:r>
        <w:rPr>
          <w:color w:val="000000"/>
          <w:szCs w:val="24"/>
        </w:rPr>
        <w:t>. Valstybės premijos, skiriamos sportinių žaidimų komandų ir komandinių rungčių sportininkams ir jų treneriams, dydis apskaičiuojamas, lentelėje nurodytą valstybės premijos dydį dauginant iš oficialaus komandos arba komandinės rungties sportininkų skaičiaus. Valstybės premijos, skiriamos sportinių žaidimų komandų ir komandinių rungčių sportininkams ir jų treneriams, suma paskirstoma komandos arba komandinės rungties sportininkams ir jų treneriams, atsižvelgiant į tai, koks jų indėlis į pasiektą sporto laimėjimą (šią informaciją pateikia atitinkama sporto šakos federacija).</w:t>
      </w:r>
    </w:p>
    <w:p>
      <w:pPr>
        <w:ind w:firstLine="720"/>
        <w:jc w:val="both"/>
        <w:rPr>
          <w:color w:val="000000"/>
          <w:szCs w:val="24"/>
        </w:rPr>
      </w:pPr>
      <w:r>
        <w:rPr>
          <w:color w:val="000000"/>
          <w:szCs w:val="24"/>
        </w:rPr>
        <w:t>3</w:t>
      </w:r>
      <w:r>
        <w:rPr>
          <w:color w:val="000000"/>
          <w:szCs w:val="24"/>
        </w:rPr>
        <w:t>. Valstybės premijomis vertinamos tik tos komandinės rungtys, kurių aukšto meistriškumo sporto varžybų rezultatai nėra suminė individualiųjų rungčių rezultatų išraiška (tai yra už kurias sportininkas nėra gavęs valstybės premijos).</w:t>
      </w:r>
    </w:p>
    <w:p>
      <w:pPr>
        <w:ind w:firstLine="709"/>
        <w:jc w:val="both"/>
        <w:rPr>
          <w:color w:val="000000"/>
          <w:szCs w:val="24"/>
        </w:rPr>
      </w:pPr>
      <w:r>
        <w:rPr>
          <w:color w:val="000000"/>
          <w:szCs w:val="24"/>
        </w:rPr>
        <w:t>4</w:t>
      </w:r>
      <w:r>
        <w:rPr>
          <w:color w:val="000000"/>
          <w:szCs w:val="24"/>
        </w:rPr>
        <w:t>. Jeigu pasaulio, Europos čempionatai rengiami dažniau nei kas 2 metai, valstybės premijos dydis apskaičiuojamas lentelėje nurodytą valstybės premijos dydį dalijant iš dviejų.</w:t>
      </w:r>
    </w:p>
    <w:p>
      <w:pPr>
        <w:jc w:val="center"/>
        <w:rPr>
          <w:color w:val="000000"/>
          <w:sz w:val="18"/>
          <w:szCs w:val="18"/>
        </w:rPr>
      </w:pPr>
    </w:p>
    <w:p>
      <w:pPr>
        <w:jc w:val="center"/>
      </w:pPr>
      <w:r>
        <w:rPr>
          <w:color w:val="000000"/>
          <w:sz w:val="18"/>
          <w:szCs w:val="18"/>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B40ADA0DED8">
        <w:r w:rsidRPr="00532B9F">
          <w:rPr>
            <w:rFonts w:ascii="Times New Roman" w:eastAsia="MS Mincho" w:hAnsi="Times New Roman"/>
            <w:sz w:val="20"/>
            <w:iCs/>
            <w:color w:val="0000FF" w:themeColor="hyperlink"/>
            <w:u w:val="single"/>
          </w:rPr>
          <w:t>491</w:t>
        </w:r>
      </w:fldSimple>
      <w:r>
        <w:rPr>
          <w:rFonts w:ascii="Times New Roman" w:eastAsia="MS Mincho" w:hAnsi="Times New Roman"/>
          <w:sz w:val="20"/>
          <w:iCs/>
        </w:rPr>
        <w:t>,
2006-05-29,
Žin., 2006, Nr.
61-2202 (2006-05-31), i. k. 1061100NUTA00000491                </w:t>
      </w:r>
    </w:p>
    <w:p>
      <w:pPr>
        <w:jc w:val="both"/>
        <w:rPr>
          <w:rFonts w:ascii="Times New Roman" w:hAnsi="Times New Roman"/>
        </w:rPr>
      </w:pPr>
      <w:r>
        <w:rPr>
          <w:rFonts w:ascii="Times New Roman" w:hAnsi="Times New Roman"/>
          <w:sz w:val="20"/>
        </w:rPr>
        <w:t>Dėl Lietuvos Respublikos Vyriausybės 2000 m. rugpjūčio 16 d. nutarimo Nr. 927 "Dėl pasižymėjusių sportininkų ir jų trenerių materialinio skatinimo"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F53ADE1E948">
        <w:r w:rsidRPr="00532B9F">
          <w:rPr>
            <w:rFonts w:ascii="Times New Roman" w:eastAsia="MS Mincho" w:hAnsi="Times New Roman"/>
            <w:sz w:val="20"/>
            <w:iCs/>
            <w:color w:val="0000FF" w:themeColor="hyperlink"/>
            <w:u w:val="single"/>
          </w:rPr>
          <w:t>213</w:t>
        </w:r>
      </w:fldSimple>
      <w:r>
        <w:rPr>
          <w:rFonts w:ascii="Times New Roman" w:eastAsia="MS Mincho" w:hAnsi="Times New Roman"/>
          <w:sz w:val="20"/>
          <w:iCs/>
        </w:rPr>
        <w:t>,
2008-02-26,
Žin., 2008, Nr.
33-1158 (2008-03-20), i. k. 1081100NUTA00000213                </w:t>
      </w:r>
    </w:p>
    <w:p>
      <w:pPr>
        <w:jc w:val="both"/>
        <w:rPr>
          <w:rFonts w:ascii="Times New Roman" w:hAnsi="Times New Roman"/>
        </w:rPr>
      </w:pPr>
      <w:r>
        <w:rPr>
          <w:rFonts w:ascii="Times New Roman" w:hAnsi="Times New Roman"/>
          <w:sz w:val="20"/>
        </w:rPr>
        <w:t>Dėl Lietuvos Respublikos Vyriausybės 2000 m. rugpjūčio 16 d. nutarimo Nr. 927 "Dėl sportininkų ir jų trenerių, gydytojų, masažuotojų ir mokslininkų skatinimo"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AC581484434">
        <w:r w:rsidRPr="00532B9F">
          <w:rPr>
            <w:rFonts w:ascii="Times New Roman" w:eastAsia="MS Mincho" w:hAnsi="Times New Roman"/>
            <w:sz w:val="20"/>
            <w:iCs/>
            <w:color w:val="0000FF" w:themeColor="hyperlink"/>
            <w:u w:val="single"/>
          </w:rPr>
          <w:t>47</w:t>
        </w:r>
      </w:fldSimple>
      <w:r>
        <w:rPr>
          <w:rFonts w:ascii="Times New Roman" w:eastAsia="MS Mincho" w:hAnsi="Times New Roman"/>
          <w:sz w:val="20"/>
          <w:iCs/>
        </w:rPr>
        <w:t>,
2009-01-21,
Žin., 2009, Nr.
12-460 (2009-01-31), i. k. 1091100NUTA00000047                </w:t>
      </w:r>
    </w:p>
    <w:p>
      <w:pPr>
        <w:jc w:val="both"/>
        <w:rPr>
          <w:rFonts w:ascii="Times New Roman" w:hAnsi="Times New Roman"/>
        </w:rPr>
      </w:pPr>
      <w:r>
        <w:rPr>
          <w:rFonts w:ascii="Times New Roman" w:hAnsi="Times New Roman"/>
          <w:sz w:val="20"/>
        </w:rPr>
        <w:t>Dėl Lietuvos Respublikos Vyriausybės 2000 m. rugpjūčio 16 d. nutarimo Nr. 927 "Dėl sportininkų ir jų trenerių, gydytojų, masažuotojų ir mokslininkų skatinimo"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872996FAEC6">
        <w:r w:rsidRPr="00532B9F">
          <w:rPr>
            <w:rFonts w:ascii="Times New Roman" w:eastAsia="MS Mincho" w:hAnsi="Times New Roman"/>
            <w:sz w:val="20"/>
            <w:iCs/>
            <w:color w:val="0000FF" w:themeColor="hyperlink"/>
            <w:u w:val="single"/>
          </w:rPr>
          <w:t>1703</w:t>
        </w:r>
      </w:fldSimple>
      <w:r>
        <w:rPr>
          <w:rFonts w:ascii="Times New Roman" w:eastAsia="MS Mincho" w:hAnsi="Times New Roman"/>
          <w:sz w:val="20"/>
          <w:iCs/>
        </w:rPr>
        <w:t>,
2009-12-23,
Žin., 2009, Nr.
153-6930 (2009-12-28), i. k. 1091100NUTA00001703                </w:t>
      </w:r>
    </w:p>
    <w:p>
      <w:pPr>
        <w:jc w:val="both"/>
        <w:rPr>
          <w:rFonts w:ascii="Times New Roman" w:hAnsi="Times New Roman"/>
        </w:rPr>
      </w:pPr>
      <w:r>
        <w:rPr>
          <w:rFonts w:ascii="Times New Roman" w:hAnsi="Times New Roman"/>
          <w:sz w:val="20"/>
        </w:rPr>
        <w:t>Dėl Lietuvos Respublikos Vyriausybės 2000 m. rugpjūčio 16 d. nutarimo Nr. 927 "Dėl didelio meistriškumo sportininkų ir kitų rinktinės narių skatinimo"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5E6167CD0E7">
        <w:r w:rsidRPr="00532B9F">
          <w:rPr>
            <w:rFonts w:ascii="Times New Roman" w:eastAsia="MS Mincho" w:hAnsi="Times New Roman"/>
            <w:sz w:val="20"/>
            <w:iCs/>
            <w:color w:val="0000FF" w:themeColor="hyperlink"/>
            <w:u w:val="single"/>
          </w:rPr>
          <w:t>460</w:t>
        </w:r>
      </w:fldSimple>
      <w:r>
        <w:rPr>
          <w:rFonts w:ascii="Times New Roman" w:eastAsia="MS Mincho" w:hAnsi="Times New Roman"/>
          <w:sz w:val="20"/>
          <w:iCs/>
        </w:rPr>
        <w:t>,
2011-04-20,
Žin., 2011, Nr.
48-2308 (2011-04-23), i. k. 1111100NUTA00000460                </w:t>
      </w:r>
    </w:p>
    <w:p>
      <w:pPr>
        <w:jc w:val="both"/>
        <w:rPr>
          <w:rFonts w:ascii="Times New Roman" w:hAnsi="Times New Roman"/>
        </w:rPr>
      </w:pPr>
      <w:r>
        <w:rPr>
          <w:rFonts w:ascii="Times New Roman" w:hAnsi="Times New Roman"/>
          <w:sz w:val="20"/>
        </w:rPr>
        <w:t>Dėl Lietuvos Respublikos Vyriausybės 2000 m. rugpjūčio 16 d. nutarimo Nr. 927 "Dėl didelio meistriškumo sportininkų ir kitų rinktinės narių skatinimo"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BB5B6BD6350">
        <w:r w:rsidRPr="00532B9F">
          <w:rPr>
            <w:rFonts w:ascii="Times New Roman" w:eastAsia="MS Mincho" w:hAnsi="Times New Roman"/>
            <w:sz w:val="20"/>
            <w:iCs/>
            <w:color w:val="0000FF" w:themeColor="hyperlink"/>
            <w:u w:val="single"/>
          </w:rPr>
          <w:t>1122</w:t>
        </w:r>
      </w:fldSimple>
      <w:r>
        <w:rPr>
          <w:rFonts w:ascii="Times New Roman" w:eastAsia="MS Mincho" w:hAnsi="Times New Roman"/>
          <w:sz w:val="20"/>
          <w:iCs/>
        </w:rPr>
        <w:t>,
2011-09-28,
Žin., 2011, Nr.
119-5626 (2011-10-01), i. k. 1111100NUTA00001122                </w:t>
      </w:r>
    </w:p>
    <w:p>
      <w:pPr>
        <w:jc w:val="both"/>
        <w:rPr>
          <w:rFonts w:ascii="Times New Roman" w:hAnsi="Times New Roman"/>
        </w:rPr>
      </w:pPr>
      <w:r>
        <w:rPr>
          <w:rFonts w:ascii="Times New Roman" w:hAnsi="Times New Roman"/>
          <w:sz w:val="20"/>
        </w:rPr>
        <w:t>Dėl Lietuvos Respublikos Vyriausybės 2000 m. rugpjūčio 16 d. nutarimo Nr. 927 "Dėl didelio meistriškumo sportininkų ir kitų rinktinės narių skatinimo"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D0CF19F4A51">
        <w:r w:rsidRPr="00532B9F">
          <w:rPr>
            <w:rFonts w:ascii="Times New Roman" w:eastAsia="MS Mincho" w:hAnsi="Times New Roman"/>
            <w:sz w:val="20"/>
            <w:iCs/>
            <w:color w:val="0000FF" w:themeColor="hyperlink"/>
            <w:u w:val="single"/>
          </w:rPr>
          <w:t>169</w:t>
        </w:r>
      </w:fldSimple>
      <w:r>
        <w:rPr>
          <w:rFonts w:ascii="Times New Roman" w:eastAsia="MS Mincho" w:hAnsi="Times New Roman"/>
          <w:sz w:val="20"/>
          <w:iCs/>
        </w:rPr>
        <w:t>,
2012-02-07,
Žin., 2012, Nr.
21-968 (2012-02-15), i. k. 1121100NUTA00000169                </w:t>
      </w:r>
    </w:p>
    <w:p>
      <w:pPr>
        <w:jc w:val="both"/>
        <w:rPr>
          <w:rFonts w:ascii="Times New Roman" w:hAnsi="Times New Roman"/>
        </w:rPr>
      </w:pPr>
      <w:r>
        <w:rPr>
          <w:rFonts w:ascii="Times New Roman" w:hAnsi="Times New Roman"/>
          <w:sz w:val="20"/>
        </w:rPr>
        <w:t>Dėl Lietuvos Respublikos Vyriausybės 2000 m. rugpjūčio 16 d. nutarimo Nr. 927 "Dėl didelio meistriškumo sportininkų ir kitų rinktinės narių skatinimo"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69e74d0ab8411e48ebccd46991dfff9">
        <w:r w:rsidRPr="00532B9F">
          <w:rPr>
            <w:rFonts w:ascii="Times New Roman" w:eastAsia="MS Mincho" w:hAnsi="Times New Roman"/>
            <w:sz w:val="20"/>
            <w:iCs/>
            <w:color w:val="0000FF" w:themeColor="hyperlink"/>
            <w:u w:val="single"/>
          </w:rPr>
          <w:t>80</w:t>
        </w:r>
      </w:fldSimple>
      <w:r>
        <w:rPr>
          <w:rFonts w:ascii="Times New Roman" w:eastAsia="MS Mincho" w:hAnsi="Times New Roman"/>
          <w:sz w:val="20"/>
          <w:iCs/>
        </w:rPr>
        <w:t>,
2015-01-28,
paskelbta TAR 2015-02-03, i. k. 2015-01649                </w:t>
      </w:r>
    </w:p>
    <w:p>
      <w:pPr>
        <w:jc w:val="both"/>
        <w:rPr>
          <w:rFonts w:ascii="Times New Roman" w:hAnsi="Times New Roman"/>
        </w:rPr>
      </w:pPr>
      <w:r>
        <w:rPr>
          <w:rFonts w:ascii="Times New Roman" w:hAnsi="Times New Roman"/>
          <w:sz w:val="20"/>
        </w:rPr>
        <w:t>Dėl Lietuvos Respublikos Vyriausybės 2000 m. rugpjūčio 16 d. nutarimo Nr. 927 „Dėl didelio meistriškumo sportininkų ir kitų rinktinės narių skatinimo“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4ecdc80758311e9b81587fcbd5a76f6">
        <w:r w:rsidRPr="00532B9F">
          <w:rPr>
            <w:rFonts w:ascii="Times New Roman" w:eastAsia="MS Mincho" w:hAnsi="Times New Roman"/>
            <w:sz w:val="20"/>
            <w:iCs/>
            <w:color w:val="0000FF" w:themeColor="hyperlink"/>
            <w:u w:val="single"/>
          </w:rPr>
          <w:t>455</w:t>
        </w:r>
      </w:fldSimple>
      <w:r>
        <w:rPr>
          <w:rFonts w:ascii="Times New Roman" w:eastAsia="MS Mincho" w:hAnsi="Times New Roman"/>
          <w:sz w:val="20"/>
          <w:iCs/>
        </w:rPr>
        <w:t>,
2019-04-30,
paskelbta TAR 2019-05-13, i. k. 2019-07645                </w:t>
      </w:r>
    </w:p>
    <w:p>
      <w:pPr>
        <w:jc w:val="both"/>
        <w:rPr>
          <w:rFonts w:ascii="Times New Roman" w:hAnsi="Times New Roman"/>
        </w:rPr>
      </w:pPr>
      <w:r>
        <w:rPr>
          <w:rFonts w:ascii="Times New Roman" w:hAnsi="Times New Roman"/>
          <w:sz w:val="20"/>
        </w:rPr>
        <w:t>Dėl Lietuvos Respublikos Vyriausybės 2000 m. rugpjūčio 16 d. nutarimo Nr. 927 „Dėl didelio meistriškumo sportininkų ir kitų rinktinės narių skatinimo“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5ce2e0021b311eca51399bc661f78e7">
        <w:r w:rsidRPr="00532B9F">
          <w:rPr>
            <w:rFonts w:ascii="Times New Roman" w:eastAsia="MS Mincho" w:hAnsi="Times New Roman"/>
            <w:sz w:val="20"/>
            <w:iCs/>
            <w:color w:val="0000FF" w:themeColor="hyperlink"/>
            <w:u w:val="single"/>
          </w:rPr>
          <w:t>774</w:t>
        </w:r>
      </w:fldSimple>
      <w:r>
        <w:rPr>
          <w:rFonts w:ascii="Times New Roman" w:eastAsia="MS Mincho" w:hAnsi="Times New Roman"/>
          <w:sz w:val="20"/>
          <w:iCs/>
        </w:rPr>
        <w:t>,
2021-09-29,
paskelbta TAR 2021-09-30, i. k. 2021-20448                </w:t>
      </w:r>
    </w:p>
    <w:p>
      <w:pPr>
        <w:jc w:val="both"/>
        <w:rPr>
          <w:rFonts w:ascii="Times New Roman" w:hAnsi="Times New Roman"/>
        </w:rPr>
      </w:pPr>
      <w:r>
        <w:rPr>
          <w:rFonts w:ascii="Times New Roman" w:hAnsi="Times New Roman"/>
          <w:sz w:val="20"/>
        </w:rPr>
        <w:t>Dėl Lietuvos Respublikos Vyriausybės 2000 m. rugpjūčio 16 d. nutarimo Nr. 927 „Dėl Valstybės premijų už pasiektus aukšto meistriškumo sporto laimėjimus sportininkams ir jų treneriams dydžių nustatymo ir valstybės premijų už pasiektus aukšto meistriškumo sporto laimėjimus sportininkams ir jų treneriams skyrimo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7c1a7e0cd0d11ec8d9390588bf2de65">
        <w:r w:rsidRPr="00532B9F">
          <w:rPr>
            <w:rFonts w:ascii="Times New Roman" w:eastAsia="MS Mincho" w:hAnsi="Times New Roman"/>
            <w:sz w:val="20"/>
            <w:iCs/>
            <w:color w:val="0000FF" w:themeColor="hyperlink"/>
            <w:u w:val="single"/>
          </w:rPr>
          <w:t>468</w:t>
        </w:r>
      </w:fldSimple>
      <w:r>
        <w:rPr>
          <w:rFonts w:ascii="Times New Roman" w:eastAsia="MS Mincho" w:hAnsi="Times New Roman"/>
          <w:sz w:val="20"/>
          <w:iCs/>
        </w:rPr>
        <w:t>,
2022-05-04,
paskelbta TAR 2022-05-06, i. k. 2022-09692                </w:t>
      </w:r>
    </w:p>
    <w:p>
      <w:pPr>
        <w:jc w:val="both"/>
        <w:rPr>
          <w:rFonts w:ascii="Times New Roman" w:hAnsi="Times New Roman"/>
        </w:rPr>
      </w:pPr>
      <w:r>
        <w:rPr>
          <w:rFonts w:ascii="Times New Roman" w:hAnsi="Times New Roman"/>
          <w:sz w:val="20"/>
        </w:rPr>
        <w:t>Dėl Lietuvos Respublikos Vyriausybės 2000 m. rugpjūčio 16 d. nutarimo Nr. 927 „Dėl valstybės premijų už pasiektus aukšto meistriškumo sporto laimėjimus sportininkams ir jų treneriams dydžių nustatymo ir Valstybės premijų už pasiektus aukšto meistriškumo sporto laimėjimus sportininkams ir jų treneriams skyrimo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e39c290f7cb11ec8fa7d02a65c371ad">
        <w:r w:rsidRPr="00532B9F">
          <w:rPr>
            <w:rFonts w:ascii="Times New Roman" w:eastAsia="MS Mincho" w:hAnsi="Times New Roman"/>
            <w:sz w:val="20"/>
            <w:iCs/>
            <w:color w:val="0000FF" w:themeColor="hyperlink"/>
            <w:u w:val="single"/>
          </w:rPr>
          <w:t>696</w:t>
        </w:r>
      </w:fldSimple>
      <w:r>
        <w:rPr>
          <w:rFonts w:ascii="Times New Roman" w:eastAsia="MS Mincho" w:hAnsi="Times New Roman"/>
          <w:sz w:val="20"/>
          <w:iCs/>
        </w:rPr>
        <w:t>,
2022-06-29,
paskelbta TAR 2022-06-29, i. k. 2022-14059                </w:t>
      </w:r>
    </w:p>
    <w:p>
      <w:pPr>
        <w:jc w:val="both"/>
        <w:rPr>
          <w:rFonts w:ascii="Times New Roman" w:hAnsi="Times New Roman"/>
        </w:rPr>
      </w:pPr>
      <w:r>
        <w:rPr>
          <w:rFonts w:ascii="Times New Roman" w:hAnsi="Times New Roman"/>
          <w:sz w:val="20"/>
        </w:rPr>
        <w:t>Dėl Lietuvos Respublikos Vyriausybės 2000 m. rugpjūčio 16 d. nutarimo Nr. 927 „Dėl Valstybės premijų už pasiektus aukšto meistriškumo sporto laimėjimus sportininkams ir jų treneriams dydžių nustatymo ir Valstybės premijų už pasiektus aukšto meistriškumo sporto laimėjimus sportininkams ir jų treneriams skyrimo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46bac006bf311edbc04912defe897d1">
        <w:r w:rsidRPr="00532B9F">
          <w:rPr>
            <w:rFonts w:ascii="Times New Roman" w:eastAsia="MS Mincho" w:hAnsi="Times New Roman"/>
            <w:sz w:val="20"/>
            <w:iCs/>
            <w:color w:val="0000FF" w:themeColor="hyperlink"/>
            <w:u w:val="single"/>
          </w:rPr>
          <w:t>1162</w:t>
        </w:r>
      </w:fldSimple>
      <w:r>
        <w:rPr>
          <w:rFonts w:ascii="Times New Roman" w:eastAsia="MS Mincho" w:hAnsi="Times New Roman"/>
          <w:sz w:val="20"/>
          <w:iCs/>
        </w:rPr>
        <w:t>,
2022-11-23,
paskelbta TAR 2022-11-24, i. k. 2022-23722                </w:t>
      </w:r>
    </w:p>
    <w:p>
      <w:pPr>
        <w:jc w:val="both"/>
        <w:rPr>
          <w:rFonts w:ascii="Times New Roman" w:hAnsi="Times New Roman"/>
        </w:rPr>
      </w:pPr>
      <w:r>
        <w:rPr>
          <w:rFonts w:ascii="Times New Roman" w:hAnsi="Times New Roman"/>
          <w:sz w:val="20"/>
        </w:rPr>
        <w:t>Dėl Lietuvos Respublikos Vyriausybės 2000 m. rugpjūčio 16 d. nutarimo Nr. 927 „Dėl Valstybės premijų už pasiektus aukšto meistriškumo sporto laimėjimus sportininkams ir jų treneriams dydžių nustatymo“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pPr>
  </w:p>
</w:ftr>
</file>

<file path=word/footer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jc w:val="center"/>
    </w:pPr>
    <w:r>
      <w:fldChar w:fldCharType="begin"/>
    </w:r>
    <w:r>
      <w:instrText>PAGE   \* MERGEFORMAT</w:instrText>
    </w:r>
    <w:r>
      <w:fldChar w:fldCharType="separate"/>
    </w:r>
    <w:r>
      <w:t>3</w:t>
    </w:r>
    <w:r>
      <w:fldChar w:fldCharType="end"/>
    </w:r>
  </w:p>
  <w:p>
    <w:pPr>
      <w:tabs>
        <w:tab w:val="center" w:pos="4513"/>
        <w:tab w:val="right" w:pos="9026"/>
      </w:tabs>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jc w:val="center"/>
    </w:pPr>
    <w:r>
      <w:fldChar w:fldCharType="begin"/>
    </w:r>
    <w:r>
      <w:instrText>PAGE   \* MERGEFORMAT</w:instrText>
    </w:r>
    <w:r>
      <w:fldChar w:fldCharType="separate"/>
    </w:r>
    <w:r>
      <w:t>2</w:t>
    </w:r>
    <w:r>
      <w:fldChar w:fldCharType="end"/>
    </w:r>
  </w:p>
  <w:p>
    <w:pPr>
      <w:tabs>
        <w:tab w:val="center" w:pos="4513"/>
        <w:tab w:val="right" w:pos="9026"/>
      </w:tabs>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jc w:val="center"/>
    </w:pPr>
    <w:r>
      <w:fldChar w:fldCharType="begin"/>
    </w:r>
    <w:r>
      <w:instrText>PAGE   \* MERGEFORMAT</w:instrText>
    </w:r>
    <w:r>
      <w:fldChar w:fldCharType="separate"/>
    </w:r>
    <w:r>
      <w:t>3</w:t>
    </w:r>
    <w:r>
      <w:fldChar w:fldCharType="end"/>
    </w:r>
  </w:p>
  <w:p>
    <w:pPr>
      <w:tabs>
        <w:tab w:val="center" w:pos="4513"/>
        <w:tab w:val="right" w:pos="9026"/>
      </w:tabs>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513"/>
        <w:tab w:val="right" w:pos="9026"/>
      </w:tabs>
      <w:jc w:val="center"/>
    </w:pPr>
    <w:r>
      <w:fldChar w:fldCharType="begin"/>
    </w:r>
    <w:r>
      <w:instrText>PAGE   \* MERGEFORMAT</w:instrText>
    </w:r>
    <w:r>
      <w:fldChar w:fldCharType="separate"/>
    </w:r>
    <w:r>
      <w:t>3</w:t>
    </w:r>
    <w:r>
      <w:fldChar w:fldCharType="end"/>
    </w:r>
  </w:p>
  <w:p>
    <w:pPr>
      <w:tabs>
        <w:tab w:val="center" w:pos="4513"/>
        <w:tab w:val="right" w:pos="9026"/>
      </w:tabs>
    </w:pPr>
  </w:p>
</w:hdr>
</file>

<file path=word/header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hdr>
</file>

<file path=word/header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jc w:val="center"/>
    </w:pPr>
    <w:r>
      <w:fldChar w:fldCharType="begin"/>
    </w:r>
    <w:r>
      <w:instrText>PAGE   \* MERGEFORMAT</w:instrText>
    </w:r>
    <w:r>
      <w:fldChar w:fldCharType="separate"/>
    </w:r>
    <w:r>
      <w:t>3</w:t>
    </w:r>
    <w:r>
      <w:fldChar w:fldCharType="end"/>
    </w:r>
  </w:p>
  <w:p>
    <w:pPr>
      <w:tabs>
        <w:tab w:val="center" w:pos="4513"/>
        <w:tab w:val="right" w:pos="9026"/>
      </w:tabs>
    </w:pPr>
  </w:p>
</w:hdr>
</file>

<file path=word/header3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3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3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4</w:t>
    </w:r>
    <w:r>
      <w:fldChar w:fldCharType="end"/>
    </w:r>
  </w:p>
  <w:p>
    <w:pPr>
      <w:pStyle w:val="Antrat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D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D98E"/>
  <w15:docId w15:val="{295DF5B9-59ED-441C-A5EC-A4C88B09EE11}"/>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45614617">
      <w:bodyDiv w:val="1"/>
      <w:marLeft w:val="0"/>
      <w:marRight w:val="0"/>
      <w:marTop w:val="0"/>
      <w:marBottom w:val="0"/>
      <w:divBdr>
        <w:top w:val="none" w:sz="0" w:space="0" w:color="auto"/>
        <w:left w:val="none" w:sz="0" w:space="0" w:color="auto"/>
        <w:bottom w:val="none" w:sz="0" w:space="0" w:color="auto"/>
        <w:right w:val="none" w:sz="0" w:space="0" w:color="auto"/>
      </w:divBdr>
    </w:div>
    <w:div w:id="139277624">
      <w:bodyDiv w:val="1"/>
      <w:marLeft w:val="0"/>
      <w:marRight w:val="0"/>
      <w:marTop w:val="0"/>
      <w:marBottom w:val="0"/>
      <w:divBdr>
        <w:top w:val="none" w:sz="0" w:space="0" w:color="auto"/>
        <w:left w:val="none" w:sz="0" w:space="0" w:color="auto"/>
        <w:bottom w:val="none" w:sz="0" w:space="0" w:color="auto"/>
        <w:right w:val="none" w:sz="0" w:space="0" w:color="auto"/>
      </w:divBdr>
    </w:div>
    <w:div w:id="204679890">
      <w:bodyDiv w:val="1"/>
      <w:marLeft w:val="0"/>
      <w:marRight w:val="0"/>
      <w:marTop w:val="0"/>
      <w:marBottom w:val="0"/>
      <w:divBdr>
        <w:top w:val="none" w:sz="0" w:space="0" w:color="auto"/>
        <w:left w:val="none" w:sz="0" w:space="0" w:color="auto"/>
        <w:bottom w:val="none" w:sz="0" w:space="0" w:color="auto"/>
        <w:right w:val="none" w:sz="0" w:space="0" w:color="auto"/>
      </w:divBdr>
    </w:div>
    <w:div w:id="291834084">
      <w:bodyDiv w:val="1"/>
      <w:marLeft w:val="0"/>
      <w:marRight w:val="0"/>
      <w:marTop w:val="0"/>
      <w:marBottom w:val="0"/>
      <w:divBdr>
        <w:top w:val="none" w:sz="0" w:space="0" w:color="auto"/>
        <w:left w:val="none" w:sz="0" w:space="0" w:color="auto"/>
        <w:bottom w:val="none" w:sz="0" w:space="0" w:color="auto"/>
        <w:right w:val="none" w:sz="0" w:space="0" w:color="auto"/>
      </w:divBdr>
    </w:div>
    <w:div w:id="293561659">
      <w:bodyDiv w:val="1"/>
      <w:marLeft w:val="0"/>
      <w:marRight w:val="0"/>
      <w:marTop w:val="0"/>
      <w:marBottom w:val="0"/>
      <w:divBdr>
        <w:top w:val="none" w:sz="0" w:space="0" w:color="auto"/>
        <w:left w:val="none" w:sz="0" w:space="0" w:color="auto"/>
        <w:bottom w:val="none" w:sz="0" w:space="0" w:color="auto"/>
        <w:right w:val="none" w:sz="0" w:space="0" w:color="auto"/>
      </w:divBdr>
    </w:div>
    <w:div w:id="402026945">
      <w:bodyDiv w:val="1"/>
      <w:marLeft w:val="0"/>
      <w:marRight w:val="0"/>
      <w:marTop w:val="0"/>
      <w:marBottom w:val="0"/>
      <w:divBdr>
        <w:top w:val="none" w:sz="0" w:space="0" w:color="auto"/>
        <w:left w:val="none" w:sz="0" w:space="0" w:color="auto"/>
        <w:bottom w:val="none" w:sz="0" w:space="0" w:color="auto"/>
        <w:right w:val="none" w:sz="0" w:space="0" w:color="auto"/>
      </w:divBdr>
    </w:div>
    <w:div w:id="947544796">
      <w:bodyDiv w:val="1"/>
      <w:marLeft w:val="0"/>
      <w:marRight w:val="0"/>
      <w:marTop w:val="0"/>
      <w:marBottom w:val="0"/>
      <w:divBdr>
        <w:top w:val="none" w:sz="0" w:space="0" w:color="auto"/>
        <w:left w:val="none" w:sz="0" w:space="0" w:color="auto"/>
        <w:bottom w:val="none" w:sz="0" w:space="0" w:color="auto"/>
        <w:right w:val="none" w:sz="0" w:space="0" w:color="auto"/>
      </w:divBdr>
    </w:div>
    <w:div w:id="994265753">
      <w:bodyDiv w:val="1"/>
      <w:marLeft w:val="0"/>
      <w:marRight w:val="0"/>
      <w:marTop w:val="0"/>
      <w:marBottom w:val="0"/>
      <w:divBdr>
        <w:top w:val="none" w:sz="0" w:space="0" w:color="auto"/>
        <w:left w:val="none" w:sz="0" w:space="0" w:color="auto"/>
        <w:bottom w:val="none" w:sz="0" w:space="0" w:color="auto"/>
        <w:right w:val="none" w:sz="0" w:space="0" w:color="auto"/>
      </w:divBdr>
    </w:div>
    <w:div w:id="1060325029">
      <w:bodyDiv w:val="1"/>
      <w:marLeft w:val="0"/>
      <w:marRight w:val="0"/>
      <w:marTop w:val="0"/>
      <w:marBottom w:val="0"/>
      <w:divBdr>
        <w:top w:val="none" w:sz="0" w:space="0" w:color="auto"/>
        <w:left w:val="none" w:sz="0" w:space="0" w:color="auto"/>
        <w:bottom w:val="none" w:sz="0" w:space="0" w:color="auto"/>
        <w:right w:val="none" w:sz="0" w:space="0" w:color="auto"/>
      </w:divBdr>
    </w:div>
    <w:div w:id="1086026955">
      <w:bodyDiv w:val="1"/>
      <w:marLeft w:val="0"/>
      <w:marRight w:val="0"/>
      <w:marTop w:val="0"/>
      <w:marBottom w:val="0"/>
      <w:divBdr>
        <w:top w:val="none" w:sz="0" w:space="0" w:color="auto"/>
        <w:left w:val="none" w:sz="0" w:space="0" w:color="auto"/>
        <w:bottom w:val="none" w:sz="0" w:space="0" w:color="auto"/>
        <w:right w:val="none" w:sz="0" w:space="0" w:color="auto"/>
      </w:divBdr>
    </w:div>
    <w:div w:id="1095901004">
      <w:bodyDiv w:val="1"/>
      <w:marLeft w:val="0"/>
      <w:marRight w:val="0"/>
      <w:marTop w:val="0"/>
      <w:marBottom w:val="0"/>
      <w:divBdr>
        <w:top w:val="none" w:sz="0" w:space="0" w:color="auto"/>
        <w:left w:val="none" w:sz="0" w:space="0" w:color="auto"/>
        <w:bottom w:val="none" w:sz="0" w:space="0" w:color="auto"/>
        <w:right w:val="none" w:sz="0" w:space="0" w:color="auto"/>
      </w:divBdr>
    </w:div>
    <w:div w:id="1281373896">
      <w:bodyDiv w:val="1"/>
      <w:marLeft w:val="0"/>
      <w:marRight w:val="0"/>
      <w:marTop w:val="0"/>
      <w:marBottom w:val="0"/>
      <w:divBdr>
        <w:top w:val="none" w:sz="0" w:space="0" w:color="auto"/>
        <w:left w:val="none" w:sz="0" w:space="0" w:color="auto"/>
        <w:bottom w:val="none" w:sz="0" w:space="0" w:color="auto"/>
        <w:right w:val="none" w:sz="0" w:space="0" w:color="auto"/>
      </w:divBdr>
    </w:div>
    <w:div w:id="1416365714">
      <w:bodyDiv w:val="1"/>
      <w:marLeft w:val="0"/>
      <w:marRight w:val="0"/>
      <w:marTop w:val="0"/>
      <w:marBottom w:val="0"/>
      <w:divBdr>
        <w:top w:val="none" w:sz="0" w:space="0" w:color="auto"/>
        <w:left w:val="none" w:sz="0" w:space="0" w:color="auto"/>
        <w:bottom w:val="none" w:sz="0" w:space="0" w:color="auto"/>
        <w:right w:val="none" w:sz="0" w:space="0" w:color="auto"/>
      </w:divBdr>
    </w:div>
    <w:div w:id="1454204523">
      <w:bodyDiv w:val="1"/>
      <w:marLeft w:val="0"/>
      <w:marRight w:val="0"/>
      <w:marTop w:val="0"/>
      <w:marBottom w:val="0"/>
      <w:divBdr>
        <w:top w:val="none" w:sz="0" w:space="0" w:color="auto"/>
        <w:left w:val="none" w:sz="0" w:space="0" w:color="auto"/>
        <w:bottom w:val="none" w:sz="0" w:space="0" w:color="auto"/>
        <w:right w:val="none" w:sz="0" w:space="0" w:color="auto"/>
      </w:divBdr>
    </w:div>
    <w:div w:id="1903635962">
      <w:bodyDiv w:val="1"/>
      <w:marLeft w:val="0"/>
      <w:marRight w:val="0"/>
      <w:marTop w:val="0"/>
      <w:marBottom w:val="0"/>
      <w:divBdr>
        <w:top w:val="none" w:sz="0" w:space="0" w:color="auto"/>
        <w:left w:val="none" w:sz="0" w:space="0" w:color="auto"/>
        <w:bottom w:val="none" w:sz="0" w:space="0" w:color="auto"/>
        <w:right w:val="none" w:sz="0" w:space="0" w:color="auto"/>
      </w:divBdr>
    </w:div>
    <w:div w:id="1977098357">
      <w:bodyDiv w:val="1"/>
      <w:marLeft w:val="0"/>
      <w:marRight w:val="0"/>
      <w:marTop w:val="0"/>
      <w:marBottom w:val="0"/>
      <w:divBdr>
        <w:top w:val="none" w:sz="0" w:space="0" w:color="auto"/>
        <w:left w:val="none" w:sz="0" w:space="0" w:color="auto"/>
        <w:bottom w:val="none" w:sz="0" w:space="0" w:color="auto"/>
        <w:right w:val="none" w:sz="0" w:space="0" w:color="auto"/>
      </w:divBdr>
    </w:div>
    <w:div w:id="21459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20.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header" Target="header35.xml"/>
  <Relationship Id="rId2" Type="http://schemas.openxmlformats.org/officeDocument/2006/relationships/header" Target="header21.xml"/>
  <Relationship Id="rId3" Type="http://schemas.openxmlformats.org/officeDocument/2006/relationships/footer" Target="footer19.xml"/>
  <Relationship Id="rId4" Type="http://schemas.openxmlformats.org/officeDocument/2006/relationships/footer" Target="footer20.xml"/>
  <Relationship Id="rId5" Type="http://schemas.openxmlformats.org/officeDocument/2006/relationships/header" Target="header22.xml"/>
  <Relationship Id="rId6" Type="http://schemas.openxmlformats.org/officeDocument/2006/relationships/footer" Target="footer2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60</TotalTime>
  <Pages>4</Pages>
  <Words>2912</Words>
  <Characters>1660</Characters>
  <Application>Microsoft Office Word</Application>
  <DocSecurity>0</DocSecurity>
  <Lines>13</Lines>
  <Paragraphs>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4563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2015-02-10T11:54:00Z</dcterms:created>
  <dc:creator>User</dc:creator>
  <lastModifiedBy>BODIN Aušra</lastModifiedBy>
  <dcterms:modified xsi:type="dcterms:W3CDTF">2022-11-28T09:23:00Z</dcterms:modified>
  <revision>24</revision>
</coreProperties>
</file>