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f154e8d2734f6daddc3c8610decf81"/>
        <w:lock w:val="sdtLocked"/>
        <w:richText/>
      </w:sdtPr>
      <w:sdtContent>
        <w:p>
          <w:pPr>
            <w:jc w:val="both"/>
            <w:rPr>
              <w:rFonts w:ascii="Times New Roman" w:hAnsi="Times New Roman"/>
            </w:rPr>
          </w:pPr>
          <w:r>
            <w:rPr>
              <w:rFonts w:ascii="Times New Roman" w:hAnsi="Times New Roman"/>
              <w:b/>
              <w:i/>
            </w:rPr>
            <w:t>Suvestinė redakcija nuo 1995-11-15 iki 2005-07-13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jc w:val="center"/>
            <w:rPr>
              <w:b/>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pict>
            <w:t>LIETUVOS RESPUBLIKOS</w:t>
            <w:br/>
            <w:t>ĮSTATYMAS</w:t>
          </w:r>
        </w:p>
        <w:p>
          <w:pPr>
            <w:jc w:val="center"/>
            <w:rPr>
              <w:b/>
              <w:color w:val="000000"/>
            </w:rPr>
          </w:pPr>
        </w:p>
        <w:p>
          <w:pPr>
            <w:jc w:val="center"/>
            <w:rPr>
              <w:b/>
              <w:color w:val="000000"/>
            </w:rPr>
          </w:pPr>
        </w:p>
        <w:p>
          <w:pPr>
            <w:jc w:val="center"/>
            <w:rPr>
              <w:color w:val="000000"/>
            </w:rPr>
          </w:pPr>
          <w:r>
            <w:rPr>
              <w:bCs/>
              <w:color w:val="000000"/>
            </w:rPr>
            <w:t>DĖL PAPILDOMŲ SOCIALINIŲ GARANTIJŲ ŠEIMOMS ASMENŲ, NUKENTĖJUSIŲ KOVOJANT UŽ LIETUVOS RESPUBLIKOS LAISVĘ, NUO 1991 M. SAUSIO 11–13 D. VYKDYTOS AGRESIJOS IR PO TO BUVUSIŲ ĮVYKIŲ</w:t>
          </w:r>
        </w:p>
        <w:p>
          <w:pPr>
            <w:ind w:firstLine="708"/>
          </w:pPr>
        </w:p>
        <w:p>
          <w:pPr>
            <w:ind w:firstLine="768"/>
            <w:jc w:val="both"/>
          </w:pPr>
        </w:p>
        <w:sdt>
          <w:sdtPr>
            <w:alias w:val="1 str."/>
            <w:tag w:val="part_d16ae11d02fe45c5805ec87b1264d2dd"/>
            <w:lock w:val="sdtLocked"/>
            <w:richText/>
          </w:sdtPr>
          <w:sdtContent>
            <w:p>
              <w:pPr>
                <w:ind w:firstLine="708"/>
                <w:jc w:val="both"/>
                <w:rPr>
                  <w:b/>
                  <w:color w:val="000000"/>
                </w:rPr>
              </w:pPr>
              <w:sdt>
                <w:sdtPr>
                  <w:alias w:val="Numeris"/>
                  <w:tag w:val="nr_d16ae11d02fe45c5805ec87b1264d2dd"/>
                  <w:lock w:val="sdtLocked"/>
                  <w:richText/>
                </w:sdtPr>
                <w:sdtContent>
                  <w:r>
                    <w:rPr>
                      <w:b/>
                      <w:color w:val="000000"/>
                    </w:rPr>
                    <w:t>1</w:t>
                  </w:r>
                </w:sdtContent>
              </w:sdt>
              <w:r>
                <w:rPr>
                  <w:b/>
                  <w:color w:val="000000"/>
                </w:rPr>
                <w:t xml:space="preserve"> straipsnis. </w:t>
              </w:r>
            </w:p>
            <w:sdt>
              <w:sdtPr>
                <w:alias w:val="1 str. 1 d."/>
                <w:tag w:val="part_cba1eace9bf74c69be7c278d07e9c76b"/>
                <w:lock w:val="sdtLocked"/>
                <w:richText/>
              </w:sdtPr>
              <w:sdtContent>
                <w:p>
                  <w:pPr>
                    <w:ind w:firstLine="708"/>
                    <w:jc w:val="both"/>
                    <w:rPr>
                      <w:color w:val="000000"/>
                    </w:rPr>
                  </w:pPr>
                  <w:r>
                    <w:rPr>
                      <w:color w:val="000000"/>
                    </w:rPr>
                    <w:t>Skirti maitintojo netekimo pensijas asmenų, žuvusių už Lietuvos Respublikos laisvę, šeimoms, o asmenims, tapusiems invalidais kovojant už Lietuvos Respublikos laisvę nuo 1991 m. sausio 11–13 dienomis vykdytos agresijos ir po to buvusių įvykių, – invalidumo pensijas pagal Lietuvos Respublikos gyventojų pensinio aprūpinimo gerinimo įstatymo normas ir sąlygas, taikomas to įstatymo 14 straipsnio pirmojoje ir antrojoje dalyse išvardytiems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1 str. 2 d."/>
                <w:tag w:val="part_ef3fd7e5232e4645bf72983ae92f3f53"/>
                <w:lock w:val="sdtLocked"/>
                <w:richText/>
              </w:sdtPr>
              <w:sdtContent>
                <w:p>
                  <w:pPr>
                    <w:ind w:firstLine="708"/>
                    <w:jc w:val="both"/>
                    <w:rPr>
                      <w:color w:val="000000"/>
                    </w:rPr>
                  </w:pPr>
                  <w:r>
                    <w:rPr>
                      <w:color w:val="000000"/>
                    </w:rPr>
                    <w:t>Suteikti teisę gauti maitintojo netekimo pensiją asmenų, žuvusių už Lietuvos Respublikos laisvę, motinoms, sukakusioms 50 metų.</w:t>
                  </w:r>
                </w:p>
              </w:sdtContent>
            </w:sdt>
            <w:sdt>
              <w:sdtPr>
                <w:alias w:val="1 str. 3 d."/>
                <w:tag w:val="part_4f003da0ab854ed4860738455bca66ca"/>
                <w:lock w:val="sdtLocked"/>
                <w:richText/>
              </w:sdtPr>
              <w:sdtContent>
                <w:p>
                  <w:pPr>
                    <w:ind w:firstLine="708"/>
                    <w:jc w:val="both"/>
                    <w:rPr>
                      <w:color w:val="000000"/>
                    </w:rPr>
                  </w:pPr>
                  <w:r>
                    <w:rPr>
                      <w:color w:val="000000"/>
                    </w:rPr>
                    <w:t>Nustatyti, kad minimalus maitintojo netekimo pensijos, skiriamos kiekvienam šeimos nariui, dydis, negali būti mažesnis už dvigubą minimalų gyvenimo lygį.</w:t>
                  </w:r>
                </w:p>
                <w:p>
                  <w:pPr>
                    <w:ind w:firstLine="708"/>
                  </w:pPr>
                </w:p>
              </w:sdtContent>
            </w:sdt>
          </w:sdtContent>
        </w:sdt>
        <w:sdt>
          <w:sdtPr>
            <w:alias w:val="2 str."/>
            <w:tag w:val="part_1ecce837a6c8441482e8cf8abcf60c93"/>
            <w:lock w:val="sdtLocked"/>
            <w:richText/>
          </w:sdtPr>
          <w:sdtContent>
            <w:p>
              <w:pPr>
                <w:ind w:firstLine="708"/>
                <w:jc w:val="both"/>
                <w:rPr>
                  <w:color w:val="000000"/>
                </w:rPr>
              </w:pPr>
              <w:sdt>
                <w:sdtPr>
                  <w:alias w:val="Numeris"/>
                  <w:tag w:val="nr_1ecce837a6c8441482e8cf8abcf60c93"/>
                  <w:lock w:val="sdtLocked"/>
                  <w:richText/>
                </w:sdtPr>
                <w:sdtContent>
                  <w:r>
                    <w:rPr>
                      <w:b/>
                      <w:color w:val="000000"/>
                    </w:rPr>
                    <w:t>2</w:t>
                  </w:r>
                </w:sdtContent>
              </w:sdt>
              <w:r>
                <w:rPr>
                  <w:b/>
                  <w:color w:val="000000"/>
                </w:rPr>
                <w:t xml:space="preserve"> straipsnis. </w:t>
              </w:r>
            </w:p>
            <w:sdt>
              <w:sdtPr>
                <w:alias w:val="2 str. 1 d."/>
                <w:tag w:val="part_2aa5454526ec49bf841fc944123cbf62"/>
                <w:lock w:val="sdtLocked"/>
                <w:richText/>
              </w:sdtPr>
              <w:sdtContent>
                <w:p>
                  <w:pPr>
                    <w:ind w:firstLine="708"/>
                    <w:jc w:val="both"/>
                    <w:rPr>
                      <w:color w:val="000000"/>
                    </w:rPr>
                  </w:pPr>
                  <w:r>
                    <w:rPr>
                      <w:color w:val="000000"/>
                    </w:rPr>
                    <w:t>Nustatyti minimalaus gyvenimo lygio dydžio priedus prie senatvės ar invalidumo pensijų, skiriamų asmenų, žuvusių už Lietuvos Respublikos laisvę, tėvams ir sutuoktiniams, taip pat asmenims, kurie tapo invalidais dėl 1991 m. sausio 11–13d. vykdytos agresijos ir po to buvusių įvykių.</w:t>
                  </w:r>
                </w:p>
                <w:p>
                  <w:pPr>
                    <w:ind w:firstLine="708"/>
                  </w:pPr>
                </w:p>
              </w:sdtContent>
            </w:sdt>
          </w:sdtContent>
        </w:sdt>
        <w:sdt>
          <w:sdtPr>
            <w:alias w:val="3 str."/>
            <w:tag w:val="part_6c74f44bab6c40c68e94331acbcd472f"/>
            <w:lock w:val="sdtLocked"/>
            <w:richText/>
          </w:sdtPr>
          <w:sdtContent>
            <w:p>
              <w:pPr>
                <w:ind w:firstLine="708"/>
                <w:jc w:val="both"/>
                <w:rPr>
                  <w:color w:val="000000"/>
                </w:rPr>
              </w:pPr>
              <w:sdt>
                <w:sdtPr>
                  <w:alias w:val="Numeris"/>
                  <w:tag w:val="nr_6c74f44bab6c40c68e94331acbcd472f"/>
                  <w:lock w:val="sdtLocked"/>
                  <w:richText/>
                </w:sdtPr>
                <w:sdtContent>
                  <w:r>
                    <w:rPr>
                      <w:b/>
                      <w:color w:val="000000"/>
                    </w:rPr>
                    <w:t>3</w:t>
                  </w:r>
                </w:sdtContent>
              </w:sdt>
              <w:r>
                <w:rPr>
                  <w:b/>
                  <w:color w:val="000000"/>
                </w:rPr>
                <w:t xml:space="preserve"> straipsnis.</w:t>
              </w:r>
              <w:r>
                <w:rPr>
                  <w:color w:val="000000"/>
                </w:rPr>
                <w:t xml:space="preserve"> </w:t>
              </w:r>
            </w:p>
            <w:sdt>
              <w:sdtPr>
                <w:alias w:val="3 str. 1 d."/>
                <w:tag w:val="part_c60cb2f4d7e44deb8e86d3343bd2f1e9"/>
                <w:lock w:val="sdtLocked"/>
                <w:richText/>
              </w:sdtPr>
              <w:sdtContent>
                <w:p>
                  <w:pPr>
                    <w:ind w:firstLine="708"/>
                    <w:jc w:val="both"/>
                    <w:rPr>
                      <w:color w:val="000000"/>
                    </w:rPr>
                  </w:pPr>
                  <w:r>
                    <w:rPr>
                      <w:color w:val="000000"/>
                    </w:rPr>
                    <w:t>Taikyti nukentėjusiesiems, kurie buvo sunkiai arba apysunkiai sužaloti, taip pat šeimoms asmenų, nukentėjusių (žuvusių ar tapusių invalidais) kovojant už Lietuvos Respublikos laisvę, nuo 1991 m. sausio 11–13 dienomis vykdytos agresijos ir po to buvusių įvykių, 50 procentų mokesčių už butų nuomą ir komunalines bei ryšių paslaugas (šaltą vandenį ir kanalizaciją, karštą vandenį, gamtines ir suskystintas dujas, elektros energiją, gyvenamųjų namų šildymą, eksploatacijos išlaidas, laiptinių ir rūsių apšvietimą, laiptinių valymą, šiukšlių bei skystųjų nešvarumų išvežimą, liftą, laidinio radijo imtuvą, televizijos anteną, telefoną (abonentinis mokestis), žemę, esančią po daugiaaukščiu gyvenamuoju namu ir priskirtą šiems asmenims) nuolaidą nepaisant to, ar yra įrengti ir nustatyta tvarka įregistruoti atitinkami komunalinių paslaugų apskaitos prietaisai, ar jų nėra.</w:t>
                  </w:r>
                </w:p>
              </w:sdtContent>
            </w:sdt>
            <w:sdt>
              <w:sdtPr>
                <w:alias w:val="3 str. 2 d."/>
                <w:tag w:val="part_80810fd9a7924eb1a626d446dc9864f4"/>
                <w:lock w:val="sdtLocked"/>
                <w:richText/>
              </w:sdtPr>
              <w:sdtContent>
                <w:p>
                  <w:pPr>
                    <w:ind w:firstLine="708"/>
                    <w:jc w:val="both"/>
                    <w:rPr>
                      <w:color w:val="000000"/>
                    </w:rPr>
                  </w:pPr>
                  <w:r>
                    <w:rPr>
                      <w:color w:val="000000"/>
                    </w:rPr>
                    <w:t>Su šių nuolaidų taikymu susijusias išlaidas komunalines ir ryšių paslaugas teikiančioms įmonėms, organizacijoms bei gyvenamąsias patalpas eksploatuojančioms įmonėms, įstaigoms, organizacijoms ir bendrijoms apmoka miestų (rajonų) savivaldybės iš savo biudžeto.</w:t>
                  </w:r>
                </w:p>
              </w:sdtContent>
            </w:sdt>
            <w:sdt>
              <w:sdtPr>
                <w:alias w:val="3 str. 3 d."/>
                <w:tag w:val="part_c8ce9cfae9514d5e870083b83a732bf7"/>
                <w:lock w:val="sdtLocked"/>
                <w:richText/>
              </w:sdtPr>
              <w:sdtContent>
                <w:p>
                  <w:pPr>
                    <w:ind w:firstLine="708"/>
                    <w:jc w:val="both"/>
                    <w:rPr>
                      <w:color w:val="000000"/>
                    </w:rPr>
                  </w:pPr>
                  <w:r>
                    <w:rPr>
                      <w:color w:val="000000"/>
                    </w:rPr>
                    <w:t>Minėtoms šeimoms miestų (rajonų) savivaldybės iš savo biudžeto kompensuoja 50 procentų kuro normos pirkimo išlaidų, taip pat šalto ir karšto vandens bei dujų (gamtinių, suskystintų) apskaitos prietaisų didžiausią kompensuotiną kainą ir įrengimo išlaidas.</w:t>
                  </w:r>
                </w:p>
              </w:sdtContent>
            </w:sdt>
            <w:sdt>
              <w:sdtPr>
                <w:alias w:val="3 str. 4 d."/>
                <w:tag w:val="part_08dc0198cd0946939a4af5c4ca6c3ca0"/>
                <w:lock w:val="sdtLocked"/>
                <w:richText/>
              </w:sdtPr>
              <w:sdtContent>
                <w:p>
                  <w:pPr>
                    <w:ind w:firstLine="708"/>
                    <w:jc w:val="both"/>
                    <w:rPr>
                      <w:color w:val="000000"/>
                    </w:rPr>
                  </w:pPr>
                  <w:r>
                    <w:rPr>
                      <w:color w:val="000000"/>
                    </w:rPr>
                    <w:t>Žuvusiųjų tėvams ir jų šeimos nariams, asmenims, tapusiems invalidais, ir jų šeimos nariams, taip pat asmenims, patyrusiems sunkų ar apysunkį kūno sužalojimą dėl 1991 m. sausio 11–13 dienomis vykdytos agresijos ir po to buvusių įvykių, kompensuoti visą pagrindinę ambulatorinio gydymo vaistų ir visą medicinos pagalbos priemonių, įrašytų į Sveikatos apsaugos bei Socialinės apsaugos ir darbo ministerijų sąrašą, kainą.</w:t>
                  </w:r>
                </w:p>
              </w:sdtContent>
            </w:sdt>
            <w:sdt>
              <w:sdtPr>
                <w:alias w:val="3 str. 5 d."/>
                <w:tag w:val="part_928b71bdb1574c24839e015b4f25cb4d"/>
                <w:lock w:val="sdtLocked"/>
                <w:richText/>
              </w:sdtPr>
              <w:sdtContent>
                <w:p>
                  <w:pPr>
                    <w:ind w:firstLine="708"/>
                    <w:jc w:val="both"/>
                  </w:pPr>
                  <w:r>
                    <w:rPr>
                      <w:color w:val="000000"/>
                    </w:rPr>
                    <w:t>Išlaidos, susijusios su minėtos kompensacijos taikymu, apmokamos iš Lietuvos valstybės biudžeto.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016B2E5366">
                <w:r w:rsidRPr="00532B9F">
                  <w:rPr>
                    <w:rFonts w:ascii="Times New Roman" w:eastAsia="MS Mincho" w:hAnsi="Times New Roman"/>
                    <w:sz w:val="20"/>
                    <w:i/>
                    <w:iCs/>
                    <w:color w:val="0000FF" w:themeColor="hyperlink"/>
                    <w:u w:val="single"/>
                  </w:rPr>
                  <w:t>I-1079</w:t>
                </w:r>
              </w:fldSimple>
              <w:r>
                <w:rPr>
                  <w:rFonts w:ascii="Times New Roman" w:eastAsia="MS Mincho" w:hAnsi="Times New Roman"/>
                  <w:sz w:val="20"/>
                  <w:i/>
                  <w:iCs/>
                </w:rPr>
                <w:t>,
1995-10-31,
Žin., 1995, Nr.
93-2067 (1995-11-15), i. k. 0951010ISTA00I-1079            </w:t>
              </w:r>
            </w:p>
            <w:p/>
          </w:sdtContent>
        </w:sdt>
        <w:sdt>
          <w:sdtPr>
            <w:alias w:val="4 str."/>
            <w:tag w:val="part_2dd4d726e8574251b7875524c2316686"/>
            <w:lock w:val="sdtLocked"/>
            <w:richText/>
          </w:sdtPr>
          <w:sdtContent>
            <w:p>
              <w:pPr>
                <w:ind w:firstLine="708"/>
                <w:jc w:val="both"/>
                <w:rPr>
                  <w:color w:val="000000"/>
                </w:rPr>
              </w:pPr>
              <w:sdt>
                <w:sdtPr>
                  <w:alias w:val="Numeris"/>
                  <w:tag w:val="nr_2dd4d726e8574251b7875524c2316686"/>
                  <w:lock w:val="sdtLocked"/>
                  <w:richText/>
                </w:sdtPr>
                <w:sdtContent>
                  <w:r>
                    <w:rPr>
                      <w:b/>
                      <w:color w:val="000000"/>
                    </w:rPr>
                    <w:t>4</w:t>
                  </w:r>
                </w:sdtContent>
              </w:sdt>
              <w:r>
                <w:rPr>
                  <w:b/>
                  <w:color w:val="000000"/>
                </w:rPr>
                <w:t xml:space="preserve"> straipsnis.</w:t>
              </w:r>
            </w:p>
            <w:sdt>
              <w:sdtPr>
                <w:alias w:val="4 str. 1 d."/>
                <w:tag w:val="part_4ff3da25234d4c65809fedc7c42f6384"/>
                <w:lock w:val="sdtLocked"/>
                <w:richText/>
              </w:sdtPr>
              <w:sdtContent>
                <w:p>
                  <w:pPr>
                    <w:ind w:firstLine="708"/>
                    <w:jc w:val="both"/>
                    <w:rPr>
                      <w:color w:val="000000"/>
                    </w:rPr>
                  </w:pPr>
                  <w:r>
                    <w:rPr>
                      <w:color w:val="000000"/>
                    </w:rPr>
                    <w:t>Išmokėti žuvusiųjų kovojant už Lietuvos Respublikos laisvę nuo 1991 m. sausio 11-13 dienomis vykdytos agresijos ir po to buvusių įvykių šeimoms 180 tūkst. rublių vienkartines kompensacijas. Kompensacija mokama žuvusiojo sutuoktiniui, vaikams (įvaikiams), tėvams (įtėviams) ir nedarbingiems išlaikytiniams lygiomis dalimis.</w:t>
                  </w:r>
                </w:p>
              </w:sdtContent>
            </w:sdt>
            <w:sdt>
              <w:sdtPr>
                <w:alias w:val="4 str. 2 d."/>
                <w:tag w:val="part_8b13e426503a4e32849e6a2fbf926117"/>
                <w:lock w:val="sdtLocked"/>
                <w:richText/>
              </w:sdtPr>
              <w:sdtContent>
                <w:p>
                  <w:pPr>
                    <w:ind w:firstLine="708"/>
                    <w:jc w:val="both"/>
                    <w:rPr>
                      <w:color w:val="000000"/>
                    </w:rPr>
                  </w:pPr>
                  <w:r>
                    <w:rPr>
                      <w:color w:val="000000"/>
                    </w:rPr>
                    <w:t>Išmokėti asmenims, sužalotiems kovojant už Lietuvos Respublikos laisvę nuo 1991 m. sausio 11–13 dienomis vykdytos agresijos ir po to buvusių įvykių, tokio dydžio vienkartines kompensacijas: asmenims, kuriems padarytas sunkus kūno sužalojimas, – 90 tūkst. rublių, asmenims, kuriems padarytas apysunkis kūno sužalojimas, – 45 tūkst. rublių, asmenims, kuriems padarytas lengvas kūno sužalojimas, – 10 tūkst. rublių.</w:t>
                  </w:r>
                </w:p>
              </w:sdtContent>
            </w:sdt>
            <w:sdt>
              <w:sdtPr>
                <w:alias w:val="4 str. 3 d."/>
                <w:tag w:val="part_9904e513fac3423399b4c1a183b2dbd2"/>
                <w:lock w:val="sdtLocked"/>
                <w:richText/>
              </w:sdtPr>
              <w:sdtContent>
                <w:p>
                  <w:pPr>
                    <w:ind w:firstLine="708"/>
                    <w:jc w:val="both"/>
                  </w:pPr>
                  <w:r>
                    <w:rPr>
                      <w:color w:val="000000"/>
                    </w:rPr>
                    <w:t>Dokumentai iš nukentėjusių asmenų priimami ne vėliau kaip iki 1992 m. spalio 31 d., o kompensacijos išmokamos ne vėliau kaip per vieną mėnesį nuo atitinkamų dokumentų pateikimo Krašto apsaugos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C56E871C63">
                    <w:r w:rsidRPr="00532B9F">
                      <w:rPr>
                        <w:rFonts w:ascii="Times New Roman" w:eastAsia="MS Mincho" w:hAnsi="Times New Roman"/>
                        <w:sz w:val="20"/>
                        <w:i/>
                        <w:iCs/>
                        <w:color w:val="0000FF" w:themeColor="hyperlink"/>
                        <w:u w:val="single"/>
                      </w:rPr>
                      <w:t>I-2751</w:t>
                    </w:r>
                  </w:fldSimple>
                  <w:r>
                    <w:rPr>
                      <w:rFonts w:ascii="Times New Roman" w:eastAsia="MS Mincho" w:hAnsi="Times New Roman"/>
                      <w:sz w:val="20"/>
                      <w:i/>
                      <w:iCs/>
                    </w:rPr>
                    <w:t>,
1992-07-15,
Lietuvos aidas, 1992, Nr.
140-0 (1992-07-21); Žin., 1992, Nr.
22-642 (1992-08-10), i. k. 0921010ISTA00I-2751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5 str."/>
            <w:tag w:val="part_f60f92bfdf2c4229931a79049b73d344"/>
            <w:lock w:val="sdtLocked"/>
            <w:richText/>
          </w:sdtPr>
          <w:sdtContent>
            <w:p>
              <w:pPr>
                <w:ind w:firstLine="708"/>
                <w:jc w:val="both"/>
                <w:rPr>
                  <w:b/>
                  <w:color w:val="000000"/>
                </w:rPr>
              </w:pPr>
              <w:sdt>
                <w:sdtPr>
                  <w:alias w:val="Numeris"/>
                  <w:tag w:val="nr_f60f92bfdf2c4229931a79049b73d344"/>
                  <w:lock w:val="sdtLocked"/>
                  <w:richText/>
                </w:sdtPr>
                <w:sdtContent>
                  <w:r>
                    <w:rPr>
                      <w:b/>
                      <w:color w:val="000000"/>
                    </w:rPr>
                    <w:t>5</w:t>
                  </w:r>
                </w:sdtContent>
              </w:sdt>
              <w:r>
                <w:rPr>
                  <w:b/>
                  <w:color w:val="000000"/>
                </w:rPr>
                <w:t xml:space="preserve"> straipsnis. </w:t>
              </w:r>
            </w:p>
            <w:sdt>
              <w:sdtPr>
                <w:alias w:val="5 str. 1 d."/>
                <w:tag w:val="part_669c39dfe4cb4579abbf09e172e70a9a"/>
                <w:lock w:val="sdtLocked"/>
                <w:richText/>
              </w:sdtPr>
              <w:sdtContent>
                <w:p>
                  <w:pPr>
                    <w:ind w:firstLine="708"/>
                    <w:jc w:val="both"/>
                  </w:pPr>
                  <w:r>
                    <w:rPr>
                      <w:color w:val="000000"/>
                    </w:rPr>
                    <w:t>Asmenims, nukentėjusiems kovojant už Lietuvos Respublikos laisvę nuo įvykių, kurie buvo po 1991 m. sausio 11–13 dienomis vykdytos agresijos, šis įstatymas taikomas pagal atskirą Lietuvos Respublikos Aukščiausiosios Tarybos nutarimą.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4462C03E0A">
                <w:r w:rsidRPr="00532B9F">
                  <w:rPr>
                    <w:rFonts w:ascii="Times New Roman" w:eastAsia="MS Mincho" w:hAnsi="Times New Roman"/>
                    <w:sz w:val="20"/>
                    <w:i/>
                    <w:iCs/>
                    <w:color w:val="0000FF" w:themeColor="hyperlink"/>
                    <w:u w:val="single"/>
                  </w:rPr>
                  <w:t>I-2198</w:t>
                </w:r>
              </w:fldSimple>
              <w:r>
                <w:rPr>
                  <w:rFonts w:ascii="Times New Roman" w:eastAsia="MS Mincho" w:hAnsi="Times New Roman"/>
                  <w:sz w:val="20"/>
                  <w:i/>
                  <w:iCs/>
                </w:rPr>
                <w:t>,
1992-01-12,
Lietuvos aidas, 1992, Nr.
10-0 (1992-01-16); Žin., 1992, Nr.
3-38 (1992-01-31), i. k. 0921010ISTA00I-2198        </w:t>
              </w:r>
            </w:p>
            <w:p/>
          </w:sdtContent>
        </w:sdt>
        <w:sdt>
          <w:sdtPr>
            <w:alias w:val="signatura"/>
            <w:tag w:val="part_73bd69c4bed14684b9d5d6ae1d5bcd42"/>
            <w:lock w:val="sdtLocked"/>
            <w:richText/>
          </w:sdtPr>
          <w:sdtContent>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016B2E5366">
            <w:r w:rsidRPr="00532B9F">
              <w:rPr>
                <w:rFonts w:ascii="Times New Roman" w:eastAsia="MS Mincho" w:hAnsi="Times New Roman"/>
                <w:sz w:val="20"/>
                <w:iCs/>
                <w:color w:val="0000FF" w:themeColor="hyperlink"/>
                <w:u w:val="single"/>
              </w:rPr>
              <w:t>I-1079</w:t>
            </w:r>
          </w:fldSimple>
          <w:r>
            <w:rPr>
              <w:rFonts w:ascii="Times New Roman" w:eastAsia="MS Mincho" w:hAnsi="Times New Roman"/>
              <w:sz w:val="20"/>
              <w:iCs/>
            </w:rPr>
            <w:t>,
1995-10-31,
Žin., 1995, Nr.
93-2067 (1995-11-15), i. k. 0951010ISTA00I-1079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dienomis vykdytos agresijos ir po to buvusių įvykių" 3 straipsnio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00ABBA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b1f154e8d2734f6daddc3c8610decf81">
    <Part Type="straipsnis" Nr="1" Abbr="1 str." DocPartId="9834d6e2fd9a4475afa6dcaa252a1be3" PartId="d16ae11d02fe45c5805ec87b1264d2dd">
      <Part Type="strDalis" Nr="1" Abbr="1 str. 1 d." DocPartId="f7cc1f5264644bec90b07637953a7c8b" PartId="cba1eace9bf74c69be7c278d07e9c76b"/>
      <Part Type="strDalis" Nr="2" Abbr="1 str. 2 d." DocPartId="ea5e9a958a754bbea436ef2b1f031e04" PartId="ef3fd7e5232e4645bf72983ae92f3f53"/>
      <Part Type="strDalis" Nr="3" Abbr="1 str. 3 d." DocPartId="e3ad2efbcb924959ba0ccc1e09ebfc69" PartId="4f003da0ab854ed4860738455bca66ca"/>
    </Part>
    <Part Type="straipsnis" Nr="2" Abbr="2 str." DocPartId="56ea1cbc741c4bb895da2da1baf56acc" PartId="1ecce837a6c8441482e8cf8abcf60c93">
      <Part Type="strDalis" Nr="1" Abbr="2 str. 1 d." DocPartId="3c7a8ab0f61b4f498b7242a0495c90ba" PartId="2aa5454526ec49bf841fc944123cbf62"/>
    </Part>
    <Part Type="straipsnis" Nr="3" Abbr="3 str." DocPartId="c39e289fe5c6406981f2df2a4eb80339" PartId="6c74f44bab6c40c68e94331acbcd472f">
      <Part Type="strDalis" Nr="1" Abbr="3 str. 1 d." DocPartId="fffdb7f1f93842a0a3a3d51d5e01e692" PartId="c60cb2f4d7e44deb8e86d3343bd2f1e9"/>
      <Part Type="strDalis" Nr="2" Abbr="3 str. 2 d." DocPartId="a7e9e0940b2346159baac6c531381674" PartId="80810fd9a7924eb1a626d446dc9864f4"/>
      <Part Type="strDalis" Nr="3" Abbr="3 str. 3 d." DocPartId="d92bb0725c0245c2a8c1bee2636175bf" PartId="c8ce9cfae9514d5e870083b83a732bf7"/>
      <Part Type="strDalis" Nr="4" Abbr="3 str. 4 d." DocPartId="03dabfa4f5254084b73e406fc0ec5b21" PartId="08dc0198cd0946939a4af5c4ca6c3ca0"/>
      <Part Type="strDalis" Nr="5" Abbr="3 str. 5 d." DocPartId="a9b2ed6828f24b968379e0177b24de5f" PartId="928b71bdb1574c24839e015b4f25cb4d"/>
    </Part>
    <Part Type="straipsnis" Nr="4" Abbr="4 str." DocPartId="1721ed6999ac4382a3060746f8b8431a" PartId="2dd4d726e8574251b7875524c2316686">
      <Part Type="strDalis" Nr="1" Abbr="4 str. 1 d." DocPartId="b9c951991761474485874190a30c8c19" PartId="4ff3da25234d4c65809fedc7c42f6384"/>
      <Part Type="strDalis" Nr="2" Abbr="4 str. 2 d." DocPartId="d7df4299834a4c30969b1adae05dbb4c" PartId="8b13e426503a4e32849e6a2fbf926117"/>
      <Part Type="strDalis" Nr="3" Abbr="4 str. 3 d." DocPartId="303bf8275ad64f2a88b983ee480b7ebc" PartId="9904e513fac3423399b4c1a183b2dbd2"/>
    </Part>
    <Part Type="straipsnis" Nr="5" Abbr="5 str." DocPartId="a1b41bb5aeaa4e6db7820ffad8f0eaa7" PartId="f60f92bfdf2c4229931a79049b73d344">
      <Part Type="strDalis" Nr="1" Abbr="5 str. 1 d." DocPartId="b4f9be921d4e40aa906ce04d36628757" PartId="669c39dfe4cb4579abbf09e172e70a9a"/>
    </Part>
    <Part Type="signatura" DocPartId="2663e0f1d08741a7b6ef9a2df9fcc0b8" PartId="73bd69c4bed14684b9d5d6ae1d5bcd42"/>
  </Part>
</Parts>
</file>

<file path=customXml/itemProps1.xml><?xml version="1.0" encoding="utf-8"?>
<ds:datastoreItem xmlns:ds="http://schemas.openxmlformats.org/officeDocument/2006/customXml" ds:itemID="{DDBA8535-49F8-4694-B670-B99C959A2D17}">
  <ds:schemaRefs>
    <ds:schemaRef ds:uri="http://lrs.lt/TAIS/DocParts"/>
  </ds:schemaRefs>
</ds:datastoreItem>
</file>

<file path=docProps/app.xml><?xml version="1.0" encoding="utf-8"?>
<Properties xmlns="http://schemas.openxmlformats.org/officeDocument/2006/extended-properties">
  <Template>Normal.dotm</Template>
  <TotalTime>4</TotalTime>
  <Pages>2</Pages>
  <Words>3171</Words>
  <Characters>1809</Characters>
  <Application>Microsoft Office Word</Application>
  <DocSecurity>0</DocSecurity>
  <Lines>15</Lines>
  <Paragraphs>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2016-09-20T08:28:00Z</dcterms:modified>
  <revision>9</revision>
</coreProperties>
</file>