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2015-08-18 iki 2015-08-19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2152ca4f3743421ab846c4b406da715c"/>
                <w:lock w:val="sdtLocked"/>
                <w:richText/>
              </w:sdtPr>
              <w:sdtContent>
                <w:p>
                  <w:pPr>
                    <w:widowControl w:val="0"/>
                    <w:suppressAutoHyphens/>
                    <w:ind w:firstLine="709"/>
                    <w:jc w:val="both"/>
                    <w:rPr>
                      <w:color w:val="000000"/>
                    </w:rPr>
                  </w:pPr>
                  <w:sdt>
                    <w:sdtPr>
                      <w:alias w:val="Numeris"/>
                      <w:tag w:val="nr_2152ca4f3743421ab846c4b406da715c"/>
                      <w:lock w:val="sdtLocked"/>
                      <w:richText/>
                    </w:sdtPr>
                    <w:sdtContent>
                      <w:r>
                        <w:rPr>
                          <w:color w:val="000000"/>
                        </w:rPr>
                        <w:t>1.3</w:t>
                      </w:r>
                    </w:sdtContent>
                  </w:sdt>
                  <w:r>
                    <w:rPr>
                      <w:color w:val="000000"/>
                    </w:rPr>
                    <w:t>. Vaikų sveikatos tikrinimo tvarką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dfe1efc318ed46b08dc8d16e789adf53"/>
                <w:lock w:val="sdtLocked"/>
                <w:richText/>
              </w:sdtPr>
              <w:sdtContent>
                <w:p>
                  <w:pPr>
                    <w:widowControl w:val="0"/>
                    <w:ind w:firstLine="720"/>
                    <w:jc w:val="both"/>
                    <w:rPr>
                      <w:color w:val="000000"/>
                    </w:rPr>
                  </w:pPr>
                  <w:sdt>
                    <w:sdtPr>
                      <w:alias w:val="Numeris"/>
                      <w:tag w:val="nr_dfe1efc318ed46b08dc8d16e789adf53"/>
                      <w:lock w:val="sdtLocked"/>
                      <w:richText/>
                    </w:sdtPr>
                    <w:sdtContent>
                      <w:r>
                        <w:rPr>
                          <w:color w:val="000000"/>
                        </w:rPr>
                        <w:t>1.15</w:t>
                      </w:r>
                    </w:sdtContent>
                  </w:sdt>
                  <w:r>
                    <w:rPr>
                      <w:color w:val="000000"/>
                    </w:rPr>
                    <w:t>. Gydytojų, norinčių gauti licenciją gydytojo veiklai, sveikatos tikrinimo tvarką (15 priedas);</w:t>
                  </w:r>
                </w:p>
              </w:sdtContent>
            </w:sdt>
            <w:sdt>
              <w:sdtPr>
                <w:alias w:val="1.16 p."/>
                <w:tag w:val="part_02efe7ccf31f467eac654227aacf00b8"/>
                <w:lock w:val="sdtLocked"/>
                <w:richText/>
              </w:sdtPr>
              <w:sdtContent>
                <w:p>
                  <w:pPr>
                    <w:widowControl w:val="0"/>
                    <w:ind w:firstLine="720"/>
                    <w:jc w:val="both"/>
                    <w:rPr>
                      <w:color w:val="000000"/>
                    </w:rPr>
                  </w:pPr>
                  <w:sdt>
                    <w:sdtPr>
                      <w:alias w:val="Numeris"/>
                      <w:tag w:val="nr_02efe7ccf31f467eac654227aacf00b8"/>
                      <w:lock w:val="sdtLocked"/>
                      <w:richText/>
                    </w:sdtPr>
                    <w:sdtContent>
                      <w:r>
                        <w:rPr>
                          <w:color w:val="000000"/>
                        </w:rPr>
                        <w:t>1.16</w:t>
                      </w:r>
                    </w:sdtContent>
                  </w:sdt>
                  <w:r>
                    <w:rPr>
                      <w:color w:val="000000"/>
                    </w:rPr>
                    <w:t>. Asmenų, norinčių būti advokatais, sveikatos tikrinimo tvarką (16 priedas);</w:t>
                  </w:r>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c57d7f3649454770b017265b15002ad0"/>
                <w:lock w:val="sdtLocked"/>
                <w:richText/>
              </w:sdtPr>
              <w:sdtContent>
                <w:p>
                  <w:pPr>
                    <w:widowControl w:val="0"/>
                    <w:ind w:firstLine="720"/>
                    <w:jc w:val="both"/>
                    <w:rPr>
                      <w:color w:val="000000"/>
                    </w:rPr>
                  </w:pPr>
                  <w:sdt>
                    <w:sdtPr>
                      <w:alias w:val="Numeris"/>
                      <w:tag w:val="nr_c57d7f3649454770b017265b15002ad0"/>
                      <w:lock w:val="sdtLocked"/>
                      <w:richText/>
                    </w:sdtPr>
                    <w:sdtContent>
                      <w:r>
                        <w:rPr>
                          <w:color w:val="000000"/>
                        </w:rPr>
                        <w:t>1.18</w:t>
                      </w:r>
                    </w:sdtContent>
                  </w:sdt>
                  <w:r>
                    <w:rPr>
                      <w:color w:val="000000"/>
                    </w:rPr>
                    <w:t>. Profilaktinių sveikatos tikrinimų kainas (18 priedas).</w:t>
                  </w:r>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d2d583564dea4eb684c6cb8e3d034a43"/>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d2d583564dea4eb684c6cb8e3d034a43"/>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2d583564dea4eb684c6cb8e3d034a43"/>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9464970cfcdc43bf8ae17564922964e7"/>
                        <w:lock w:val="sdtLocked"/>
                        <w:richText/>
                      </w:sdtPr>
                      <w:sdtContent>
                        <w:p>
                          <w:pPr>
                            <w:widowControl w:val="0"/>
                            <w:ind w:firstLine="720"/>
                            <w:jc w:val="both"/>
                            <w:rPr>
                              <w:color w:val="000000"/>
                            </w:rPr>
                          </w:pPr>
                          <w:sdt>
                            <w:sdtPr>
                              <w:alias w:val="Numeris"/>
                              <w:tag w:val="nr_9464970cfcdc43bf8ae17564922964e7"/>
                              <w:lock w:val="sdtLocked"/>
                              <w:richText/>
                            </w:sdtPr>
                            <w:sdtContent>
                              <w:r>
                                <w:rPr>
                                  <w:color w:val="000000"/>
                                </w:rPr>
                                <w:t>1.13.1</w:t>
                              </w:r>
                            </w:sdtContent>
                          </w:sdt>
                          <w:r>
                            <w:rPr>
                              <w:color w:val="000000"/>
                            </w:rPr>
                            <w:t>. gydytojų, kitų sveikatos priežiūros specialistų, norinčių gauti licenciją ar perregistruoti jos galiojimą (15 priedas);</w:t>
                          </w:r>
                        </w:p>
                      </w:sdtContent>
                    </w:sdt>
                    <w:sdt>
                      <w:sdtPr>
                        <w:alias w:val="1 pr. 1.13.2 p."/>
                        <w:tag w:val="part_613449be2c2742ef8cb37e73de4a49dd"/>
                        <w:lock w:val="sdtLocked"/>
                        <w:richText/>
                      </w:sdtPr>
                      <w:sdtContent>
                        <w:p>
                          <w:pPr>
                            <w:widowControl w:val="0"/>
                            <w:ind w:firstLine="720"/>
                            <w:jc w:val="both"/>
                            <w:rPr>
                              <w:color w:val="000000"/>
                            </w:rPr>
                          </w:pPr>
                          <w:sdt>
                            <w:sdtPr>
                              <w:alias w:val="Numeris"/>
                              <w:tag w:val="nr_613449be2c2742ef8cb37e73de4a49dd"/>
                              <w:lock w:val="sdtLocked"/>
                              <w:richText/>
                            </w:sdtPr>
                            <w:sdtContent>
                              <w:r>
                                <w:rPr>
                                  <w:color w:val="000000"/>
                                </w:rPr>
                                <w:t>1.13.2</w:t>
                              </w:r>
                            </w:sdtContent>
                          </w:sdt>
                          <w:r>
                            <w:rPr>
                              <w:color w:val="000000"/>
                            </w:rPr>
                            <w:t>. asmenų, norinčių būti advokatais (16 priedas);</w:t>
                          </w:r>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8079f56c08e442f1b50d5cca6cdddf54"/>
                    <w:lock w:val="sdtLocked"/>
                    <w:richText/>
                  </w:sdtPr>
                  <w:sdtContent>
                    <w:p>
                      <w:pPr>
                        <w:widowControl w:val="0"/>
                        <w:ind w:firstLine="720"/>
                        <w:jc w:val="both"/>
                        <w:rPr>
                          <w:color w:val="000000"/>
                        </w:rPr>
                      </w:pPr>
                      <w:sdt>
                        <w:sdtPr>
                          <w:alias w:val="Numeris"/>
                          <w:tag w:val="nr_8079f56c08e442f1b50d5cca6cdddf54"/>
                          <w:lock w:val="sdtLocked"/>
                          <w:richText/>
                        </w:sdtPr>
                        <w:sdtContent>
                          <w:r>
                            <w:rPr>
                              <w:color w:val="000000"/>
                            </w:rPr>
                            <w:t>1.14</w:t>
                          </w:r>
                        </w:sdtContent>
                      </w:sdt>
                      <w:r>
                        <w:rPr>
                          <w:color w:val="000000"/>
                        </w:rPr>
                        <w:t>. profilaktinių sveikatos tikrinimų kainos (18 priedas).</w:t>
                      </w:r>
                    </w:p>
                    <w:p>
                      <w:pPr>
                        <w:widowControl w:val="0"/>
                        <w:tabs>
                          <w:tab w:val="left" w:pos="6253"/>
                        </w:tabs>
                        <w:ind w:left="1069"/>
                        <w:jc w:val="both"/>
                        <w:rPr>
                          <w:color w:val="000000"/>
                        </w:rPr>
                      </w:pPr>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5.3 p."/>
                    <w:tag w:val="part_dab8bea7d93841f5b738abc7242890dc"/>
                    <w:lock w:val="sdtLocked"/>
                    <w:richText/>
                  </w:sdtPr>
                  <w:sdtContent>
                    <w:p>
                      <w:pPr>
                        <w:widowControl w:val="0"/>
                        <w:suppressAutoHyphens/>
                        <w:ind w:firstLine="709"/>
                        <w:jc w:val="both"/>
                        <w:rPr>
                          <w:color w:val="000000"/>
                        </w:rPr>
                      </w:pPr>
                      <w:sdt>
                        <w:sdtPr>
                          <w:alias w:val="Numeris"/>
                          <w:tag w:val="nr_dab8bea7d93841f5b738abc7242890dc"/>
                          <w:lock w:val="sdtLocked"/>
                          <w:richText/>
                        </w:sdtPr>
                        <w:sdtContent>
                          <w:r>
                            <w:rPr>
                              <w:color w:val="000000"/>
                            </w:rPr>
                            <w:t>5.3</w:t>
                          </w:r>
                        </w:sdtContent>
                      </w:sdt>
                      <w:r>
                        <w:rPr>
                          <w:color w:val="000000"/>
                        </w:rPr>
                        <w:t xml:space="preserve">. profilaktinių tikrinimų kainos, nurodytos Profilaktinių sveikatos tikrinimų kainų (18 priedas), patvirtintų Lietuvos Respublikos sveikatos apsaugos ministro 2000 m. gegužės 31 d. įsakymu Nr. 301 „Dėl profilaktinių sveikatos tikrinimų sveikatos priežiūros įstaigose“ (Žin., 2000, Nr. </w:t>
                      </w:r>
                      <w:hyperlink r:id="rId102" w:tgtFrame="_blank" w:history="1">
                        <w:r>
                          <w:rPr>
                            <w:color w:val="0000FF" w:themeColor="hyperlink"/>
                            <w:u w:val="single"/>
                          </w:rPr>
                          <w:t>47-1365</w:t>
                        </w:r>
                      </w:hyperlink>
                      <w:r>
                        <w:rPr>
                          <w:color w:val="000000"/>
                        </w:rPr>
                        <w:t xml:space="preserv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(Žin., 1999, Nr. </w:t>
                      </w:r>
                      <w:hyperlink r:id="rId103" w:tgtFrame="_blank" w:history="1">
                        <w:r>
                          <w:rPr>
                            <w:color w:val="0000FF" w:themeColor="hyperlink"/>
                            <w:u w:val="single"/>
                          </w:rPr>
                          <w:t>67-2175</w:t>
                        </w:r>
                      </w:hyperlink>
                      <w:r>
                        <w:rPr>
                          <w:color w:val="000000"/>
                        </w:rPr>
                        <w:t>), 2 punkte nustatyta tvarka apskaičiuotu koeficientu ir iš naujo tvirtinamos ministro įsakymu.</w:t>
                      </w:r>
                    </w:p>
                    <w:p>
                      <w:pPr>
                        <w:widowControl w:val="0"/>
                        <w:suppressAutoHyphens/>
                        <w:ind w:firstLine="709"/>
                        <w:jc w:val="both"/>
                        <w:rPr>
                          <w:color w:val="000000"/>
                        </w:rPr>
                      </w:pPr>
                      <w:r>
                        <w:rPr>
                          <w:color w:val="000000"/>
                        </w:rPr>
                        <w:t>Kainos gali būti indeksuojamos, kai koeficientas yra ne mažesnis kaip 1,2.</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9ea4f8be08ff4d4e9fc17871a760b419"/>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9ea4f8be08ff4d4e9fc17871a760b419"/>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9ea4f8be08ff4d4e9fc17871a760b419"/>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100"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101"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60" w:tgtFrame="_blank" w:history="1">
                    <w:r>
                      <w:rPr>
                        <w:color w:val="0000FF" w:themeColor="hyperlink"/>
                        <w:u w:val="single"/>
                      </w:rPr>
                      <w:t>92-2883</w:t>
                    </w:r>
                  </w:hyperlink>
                  <w:r>
                    <w:t xml:space="preserve">; 2007, Nr. </w:t>
                  </w:r>
                  <w:hyperlink r:id="rId61"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3412558061c34b8ca87db7dcd4cb54d2"/>
                    <w:lock w:val="sdtLocked"/>
                    <w:richText/>
                  </w:sdtPr>
                  <w:sdtContent>
                    <w:p>
                      <w:pPr>
                        <w:ind w:firstLine="567"/>
                        <w:jc w:val="both"/>
                      </w:pPr>
                      <w:sdt>
                        <w:sdtPr>
                          <w:alias w:val="Numeris"/>
                          <w:tag w:val="nr_3412558061c34b8ca87db7dcd4cb54d2"/>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2"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8cf7d2c35f0f4110ba60b571c5043f14"/>
                <w:lock w:val="sdtLocked"/>
                <w:richText/>
              </w:sdtPr>
              <w:sdtContent>
                <w:p>
                  <w:pPr>
                    <w:ind w:firstLine="567"/>
                    <w:jc w:val="both"/>
                  </w:pPr>
                  <w:sdt>
                    <w:sdtPr>
                      <w:alias w:val="Numeris"/>
                      <w:tag w:val="nr_8cf7d2c35f0f4110ba60b571c5043f14"/>
                      <w:lock w:val="sdtLocked"/>
                      <w:richText/>
                    </w:sdtPr>
                    <w:sdtContent>
                      <w:r>
                        <w:t>17</w:t>
                      </w:r>
                    </w:sdtContent>
                  </w:sdt>
                  <w:r>
                    <w:t>. Vairuotojo, turinčio galiojančią F Nr. 083-1/a, sveikata gali būti tikrinama anksčiau, siunčiant policijai, darbovietės administracijai, nurodžius priešlaikinio tikrinimo priežastį arba asmeniui pageidaujant.</w:t>
                  </w:r>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3" w:tgtFrame="_blank" w:history="1">
                    <w:r>
                      <w:rPr>
                        <w:color w:val="0000FF" w:themeColor="hyperlink"/>
                        <w:u w:val="single"/>
                      </w:rPr>
                      <w:t>13-308</w:t>
                    </w:r>
                  </w:hyperlink>
                  <w:r>
                    <w:t xml:space="preserve">; 2000, Nr. </w:t>
                  </w:r>
                  <w:hyperlink r:id="rId64"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14d8107bdc74ca1a7f10cdb3b9cf86c"/>
        <w:lock w:val="sdtLocked"/>
        <w:richText/>
      </w:sdtPr>
      <w:sdtContent>
        <w:p/>
        <w:p>
          <w:pPr>
            <w:ind w:firstLine="567"/>
            <w:jc w:val="both"/>
            <w:sectPr>
              <w:pgSz w:w="11907" w:h="16840" w:code="9"/>
              <w:pgMar w:top="1134" w:right="1134" w:bottom="1134" w:left="1701" w:header="567" w:footer="567" w:gutter="0"/>
              <w:pgNumType w:start="1"/>
              <w:cols w:space="1296"/>
              <w:titlePg/>
              <w:docGrid w:linePitch="360"/>
            </w:sectPr>
          </w:pPr>
        </w:p>
        <w:p>
          <w:pPr>
            <w:jc w:val="both"/>
          </w:pPr>
        </w:p>
        <w:p>
          <w:pPr>
            <w:ind w:left="4535"/>
            <w:jc w:val="right"/>
          </w:pPr>
          <w:r>
            <w:t>1 lentelė</w:t>
          </w:r>
        </w:p>
        <w:p/>
        <w:sdt>
          <w:sdtPr>
            <w:alias w:val="Pavadinimas"/>
            <w:tag w:val="title_814d8107bdc74ca1a7f10cdb3b9cf86c"/>
            <w:lock w:val="sdtLocked"/>
            <w:richText/>
          </w:sdtPr>
          <w:sdtContent>
            <w:p>
              <w:pPr>
                <w:jc w:val="center"/>
                <w:rPr>
                  <w:b/>
                  <w:bCs/>
                </w:rPr>
              </w:pPr>
              <w:r>
                <w:rPr>
                  <w:b/>
                  <w:bCs/>
                </w:rPr>
                <w:t>TRANSPORTO PRIEMONIŲ VAIRUOTOJŲ SVEIKATOS TIKRINIMO MASTAS IR PERIODIŠKUMAS</w:t>
              </w:r>
            </w:p>
          </w:sdtContent>
        </w:sdt>
        <w:p>
          <w:pPr>
            <w:jc w:val="both"/>
            <w:rPr>
              <w:bCs/>
            </w:rPr>
          </w:pPr>
        </w:p>
        <w:tbl>
          <w:tblPr>
            <w:tblW w:w="14740" w:type="dxa"/>
            <w:tblLayout w:type="fixed"/>
            <w:tblCellMar>
              <w:left w:w="40" w:type="dxa"/>
              <w:right w:w="40" w:type="dxa"/>
            </w:tblCellMar>
            <w:tblLook w:val="0000" w:firstRow="0" w:lastRow="0" w:firstColumn="0" w:lastColumn="0" w:noHBand="0" w:noVBand="0"/>
          </w:tblPr>
          <w:tblGrid>
            <w:gridCol w:w="2610"/>
            <w:gridCol w:w="1489"/>
            <w:gridCol w:w="1861"/>
            <w:gridCol w:w="2120"/>
            <w:gridCol w:w="6660"/>
          </w:tblGrid>
          <w:tr>
            <w:trPr>
              <w:cantSplit/>
              <w:trHeight w:val="23"/>
              <w:tblHeader/>
            </w:trPr>
            <w:tc>
              <w:tcPr>
                <w:tcW w:w="2610" w:type="dxa"/>
                <w:vMerge w:val="restart"/>
                <w:tcBorders>
                  <w:top w:val="single" w:sz="6" w:space="0" w:color="auto"/>
                  <w:left w:val="single" w:sz="6" w:space="0" w:color="auto"/>
                  <w:right w:val="single" w:sz="6" w:space="0" w:color="auto"/>
                </w:tcBorders>
              </w:tcPr>
              <w:p>
                <w:pPr>
                  <w:jc w:val="center"/>
                  <w:rPr>
                    <w:sz w:val="22"/>
                  </w:rPr>
                </w:pPr>
                <w:r>
                  <w:rPr>
                    <w:sz w:val="22"/>
                  </w:rPr>
                  <w:t>Tikrinamieji: kandidatai ir vairuotojai</w:t>
                </w:r>
              </w:p>
            </w:tc>
            <w:tc>
              <w:tcPr>
                <w:tcW w:w="1489" w:type="dxa"/>
                <w:vMerge w:val="restart"/>
                <w:tcBorders>
                  <w:top w:val="single" w:sz="6" w:space="0" w:color="auto"/>
                  <w:left w:val="single" w:sz="6" w:space="0" w:color="auto"/>
                  <w:right w:val="single" w:sz="6" w:space="0" w:color="auto"/>
                </w:tcBorders>
              </w:tcPr>
              <w:p>
                <w:pPr>
                  <w:jc w:val="center"/>
                  <w:rPr>
                    <w:sz w:val="22"/>
                  </w:rPr>
                </w:pPr>
                <w:r>
                  <w:rPr>
                    <w:sz w:val="22"/>
                  </w:rPr>
                  <w:t>Tikrinimų periodiškumas</w:t>
                </w:r>
              </w:p>
            </w:tc>
            <w:tc>
              <w:tcPr>
                <w:tcW w:w="3981" w:type="dxa"/>
                <w:gridSpan w:val="2"/>
                <w:tcBorders>
                  <w:top w:val="single" w:sz="6" w:space="0" w:color="auto"/>
                  <w:left w:val="single" w:sz="6" w:space="0" w:color="auto"/>
                  <w:bottom w:val="single" w:sz="6" w:space="0" w:color="auto"/>
                  <w:right w:val="single" w:sz="6" w:space="0" w:color="auto"/>
                </w:tcBorders>
              </w:tcPr>
              <w:p>
                <w:pPr>
                  <w:jc w:val="center"/>
                  <w:rPr>
                    <w:sz w:val="22"/>
                  </w:rPr>
                </w:pPr>
                <w:r>
                  <w:rPr>
                    <w:sz w:val="22"/>
                  </w:rPr>
                  <w:t>Tikrina specialistai</w:t>
                </w:r>
              </w:p>
            </w:tc>
            <w:tc>
              <w:tcPr>
                <w:tcW w:w="6660" w:type="dxa"/>
                <w:vMerge w:val="restart"/>
                <w:tcBorders>
                  <w:top w:val="single" w:sz="6" w:space="0" w:color="auto"/>
                  <w:left w:val="single" w:sz="6" w:space="0" w:color="auto"/>
                  <w:right w:val="single" w:sz="6" w:space="0" w:color="auto"/>
                </w:tcBorders>
              </w:tcPr>
              <w:p>
                <w:pPr>
                  <w:jc w:val="center"/>
                  <w:rPr>
                    <w:sz w:val="22"/>
                  </w:rPr>
                </w:pPr>
                <w:r>
                  <w:rPr>
                    <w:sz w:val="22"/>
                  </w:rPr>
                  <w:t>Ištyrimas</w:t>
                </w:r>
              </w:p>
            </w:tc>
          </w:tr>
          <w:tr>
            <w:trPr>
              <w:cantSplit/>
              <w:trHeight w:val="23"/>
              <w:tblHeader/>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Pirminio lygio</w:t>
                </w:r>
              </w:p>
            </w:tc>
            <w:tc>
              <w:tcPr>
                <w:tcW w:w="2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Antrinio lygio</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10"/>
            </w:trPr>
            <w:tc>
              <w:tcPr>
                <w:tcW w:w="2610" w:type="dxa"/>
                <w:tcBorders>
                  <w:top w:val="single" w:sz="6" w:space="0" w:color="auto"/>
                  <w:left w:val="single" w:sz="6" w:space="0" w:color="auto"/>
                  <w:right w:val="single" w:sz="6" w:space="0" w:color="auto"/>
                </w:tcBorders>
              </w:tcPr>
              <w:p>
                <w:pPr>
                  <w:rPr>
                    <w:sz w:val="22"/>
                  </w:rPr>
                </w:pPr>
                <w:r>
                  <w:rPr>
                    <w:sz w:val="22"/>
                  </w:rPr>
                  <w:t>1. 1 grupės:</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Šeimos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tikrinant kandidatą į vairuotojus pirmą kartą vėliau periodiškai – jei siunčia šeimos gydytojas</w:t>
                </w:r>
              </w:p>
            </w:tc>
            <w:tc>
              <w:tcPr>
                <w:tcW w:w="6660" w:type="dxa"/>
                <w:vMerge w:val="restart"/>
                <w:tcBorders>
                  <w:top w:val="single" w:sz="6" w:space="0" w:color="auto"/>
                  <w:left w:val="single" w:sz="6" w:space="0" w:color="auto"/>
                  <w:right w:val="single" w:sz="6" w:space="0" w:color="auto"/>
                </w:tcBorders>
              </w:tcPr>
              <w:p>
                <w:pPr>
                  <w:ind w:left="339"/>
                  <w:rPr>
                    <w:sz w:val="22"/>
                  </w:rPr>
                </w:pPr>
                <w:r>
                  <w:rPr>
                    <w:sz w:val="22"/>
                  </w:rPr>
                  <w:t>Regėjimo aštrumo, Regėjimo lauko, Akispūdžio matavimas (asmenims nuo 40</w:t>
                </w:r>
                <w:r>
                  <w:rPr>
                    <w:i/>
                    <w:sz w:val="22"/>
                  </w:rPr>
                  <w:t xml:space="preserve"> </w:t>
                </w:r>
                <w:r>
                  <w:rPr>
                    <w:sz w:val="22"/>
                  </w:rPr>
                  <w:t>m.). Jei regėjimas neatitinka regėjimo lauko arba regėjimo aštrumo standarto: Regėjimo prieblandoje, Jautrumo ryškiai šviesai, Kontrastinio jautrumo. Klausos</w:t>
                </w:r>
                <w:r>
                  <w:rPr>
                    <w:i/>
                    <w:sz w:val="22"/>
                  </w:rPr>
                  <w:t xml:space="preserve"> </w:t>
                </w:r>
                <w:r>
                  <w:rPr>
                    <w:sz w:val="22"/>
                  </w:rPr>
                  <w:t>– šnabždesiu abipus, Vestibulinės funkcijos tyrimai, EKG, Psichologinės atrankos, reakcijos ir kiti tyrimai (gydytojui skyrus).</w:t>
                </w:r>
              </w:p>
            </w:tc>
          </w:tr>
          <w:tr>
            <w:trPr>
              <w:cantSplit/>
              <w:trHeight w:val="780"/>
            </w:trPr>
            <w:tc>
              <w:tcPr>
                <w:tcW w:w="2610" w:type="dxa"/>
                <w:tcBorders>
                  <w:left w:val="single" w:sz="6" w:space="0" w:color="auto"/>
                  <w:bottom w:val="single" w:sz="6" w:space="0" w:color="auto"/>
                  <w:right w:val="single" w:sz="6" w:space="0" w:color="auto"/>
                </w:tcBorders>
              </w:tcPr>
              <w:p>
                <w:pPr>
                  <w:rPr>
                    <w:sz w:val="22"/>
                  </w:rPr>
                </w:pPr>
                <w:r>
                  <w:rPr>
                    <w:sz w:val="22"/>
                  </w:rPr>
                  <w:t>1.1. asmenys iki 55 metų</w:t>
                </w:r>
              </w:p>
            </w:tc>
            <w:tc>
              <w:tcPr>
                <w:tcW w:w="1489" w:type="dxa"/>
                <w:tcBorders>
                  <w:left w:val="single" w:sz="6" w:space="0" w:color="auto"/>
                  <w:bottom w:val="single" w:sz="6" w:space="0" w:color="auto"/>
                  <w:right w:val="single" w:sz="6" w:space="0" w:color="auto"/>
                </w:tcBorders>
              </w:tcPr>
              <w:p>
                <w:pPr>
                  <w:rPr>
                    <w:sz w:val="22"/>
                  </w:rPr>
                </w:pPr>
                <w:r>
                  <w:rPr>
                    <w:sz w:val="22"/>
                  </w:rPr>
                  <w:t>1 kartą per 10 metų</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top w:val="single" w:sz="6" w:space="0" w:color="auto"/>
                  <w:left w:val="single" w:sz="6" w:space="0" w:color="auto"/>
                  <w:right w:val="single" w:sz="6" w:space="0" w:color="auto"/>
                </w:tcBorders>
              </w:tcPr>
              <w:p>
                <w:pPr>
                  <w:rPr>
                    <w:sz w:val="22"/>
                  </w:rPr>
                </w:pPr>
              </w:p>
            </w:tc>
            <w:tc>
              <w:tcPr>
                <w:tcW w:w="6660" w:type="dxa"/>
                <w:vMerge/>
                <w:tcBorders>
                  <w:top w:val="single" w:sz="6" w:space="0" w:color="auto"/>
                  <w:left w:val="single" w:sz="6" w:space="0" w:color="auto"/>
                  <w:right w:val="single" w:sz="6" w:space="0" w:color="auto"/>
                </w:tcBorders>
              </w:tcPr>
              <w:p>
                <w:pPr>
                  <w:ind w:left="339"/>
                  <w:rPr>
                    <w:sz w:val="22"/>
                  </w:rPr>
                </w:pPr>
              </w:p>
            </w:tc>
          </w:tr>
          <w:tr>
            <w:trPr>
              <w:cantSplit/>
              <w:trHeight w:val="23"/>
            </w:trPr>
            <w:tc>
              <w:tcPr>
                <w:tcW w:w="2610" w:type="dxa"/>
                <w:tcBorders>
                  <w:top w:val="single" w:sz="6" w:space="0" w:color="auto"/>
                  <w:left w:val="single" w:sz="6" w:space="0" w:color="auto"/>
                  <w:bottom w:val="single" w:sz="6" w:space="0" w:color="auto"/>
                  <w:right w:val="single" w:sz="6" w:space="0" w:color="auto"/>
                </w:tcBorders>
              </w:tcPr>
              <w:p>
                <w:pPr>
                  <w:rPr>
                    <w:sz w:val="22"/>
                  </w:rPr>
                </w:pPr>
                <w:r>
                  <w:rPr>
                    <w:sz w:val="22"/>
                  </w:rPr>
                  <w:t>1.2. asmenys nuo 56 iki 69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vidaus/vaikų ligų gydytojas, psichiatras (pagal pasirinktą SPĮ)</w:t>
                </w: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val="restart"/>
                <w:tcBorders>
                  <w:top w:val="single" w:sz="6" w:space="0" w:color="auto"/>
                  <w:left w:val="single" w:sz="6" w:space="0" w:color="auto"/>
                  <w:right w:val="single" w:sz="6" w:space="0" w:color="auto"/>
                </w:tcBorders>
              </w:tcPr>
              <w:p>
                <w:pPr>
                  <w:rPr>
                    <w:sz w:val="22"/>
                  </w:rPr>
                </w:pPr>
                <w:r>
                  <w:rPr>
                    <w:sz w:val="22"/>
                  </w:rPr>
                  <w:t>1.3. asmenys nuo 70 iki 79 metų</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tcBorders>
                  <w:left w:val="single" w:sz="6" w:space="0" w:color="auto"/>
                  <w:bottom w:val="nil"/>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right w:val="single" w:sz="6" w:space="0" w:color="auto"/>
                </w:tcBorders>
              </w:tcPr>
              <w:p>
                <w:pPr>
                  <w:rPr>
                    <w:sz w:val="22"/>
                  </w:rPr>
                </w:pP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1.4. asmenys nuo 80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990"/>
            </w:trPr>
            <w:tc>
              <w:tcPr>
                <w:tcW w:w="2610" w:type="dxa"/>
                <w:tcBorders>
                  <w:top w:val="single" w:sz="6" w:space="0" w:color="auto"/>
                  <w:left w:val="single" w:sz="6" w:space="0" w:color="auto"/>
                  <w:right w:val="single" w:sz="6" w:space="0" w:color="auto"/>
                </w:tcBorders>
              </w:tcPr>
              <w:p>
                <w:pPr>
                  <w:rPr>
                    <w:sz w:val="22"/>
                  </w:rPr>
                </w:pPr>
                <w:r>
                  <w:rPr>
                    <w:sz w:val="22"/>
                  </w:rPr>
                  <w:t>2. 2 grupės vairuotojai, dirbantys galimos profesinės rizikos sąlygomis (kenksmingų veiksnių poveikyje):</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bottom w:val="single" w:sz="6" w:space="0" w:color="auto"/>
                  <w:right w:val="single" w:sz="6" w:space="0" w:color="auto"/>
                </w:tcBorders>
              </w:tcPr>
              <w:p>
                <w:pPr>
                  <w:rPr>
                    <w:sz w:val="22"/>
                  </w:rPr>
                </w:pPr>
                <w:r>
                  <w:rPr>
                    <w:sz w:val="22"/>
                  </w:rPr>
                  <w:t xml:space="preserve">Šeimos gydytojas, psichiatras (pagal pasirinktą SPĮ) </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w:t>
                </w:r>
              </w:p>
            </w:tc>
            <w:tc>
              <w:tcPr>
                <w:tcW w:w="6660" w:type="dxa"/>
                <w:vMerge w:val="restart"/>
                <w:tcBorders>
                  <w:top w:val="single" w:sz="6" w:space="0" w:color="auto"/>
                  <w:left w:val="single" w:sz="6" w:space="0" w:color="auto"/>
                  <w:right w:val="single" w:sz="6" w:space="0" w:color="auto"/>
                </w:tcBorders>
              </w:tcPr>
              <w:p>
                <w:pPr>
                  <w:ind w:left="320"/>
                  <w:rPr>
                    <w:sz w:val="22"/>
                    <w:szCs w:val="22"/>
                  </w:rPr>
                </w:pPr>
                <w:r>
                  <w:rPr>
                    <w:sz w:val="22"/>
                    <w:szCs w:val="22"/>
                  </w:rPr>
                  <w:t xml:space="preserve">Regėjimo aštrumo, </w:t>
                </w:r>
              </w:p>
              <w:p>
                <w:pPr>
                  <w:ind w:left="320"/>
                  <w:rPr>
                    <w:sz w:val="22"/>
                    <w:szCs w:val="22"/>
                  </w:rPr>
                </w:pPr>
                <w:r>
                  <w:rPr>
                    <w:sz w:val="22"/>
                    <w:szCs w:val="22"/>
                  </w:rPr>
                  <w:t xml:space="preserve">Akipločio (regėjimo lauko), </w:t>
                </w:r>
              </w:p>
              <w:p>
                <w:pPr>
                  <w:ind w:left="320"/>
                  <w:rPr>
                    <w:sz w:val="22"/>
                    <w:szCs w:val="22"/>
                  </w:rPr>
                </w:pPr>
                <w:r>
                  <w:rPr>
                    <w:sz w:val="22"/>
                    <w:szCs w:val="22"/>
                  </w:rPr>
                  <w:t xml:space="preserve">Akispūdžio matavimas (asmenims nuo 40 m.), </w:t>
                </w:r>
              </w:p>
              <w:p>
                <w:pPr>
                  <w:ind w:left="320"/>
                  <w:rPr>
                    <w:sz w:val="22"/>
                    <w:szCs w:val="22"/>
                  </w:rPr>
                </w:pPr>
                <w:r>
                  <w:rPr>
                    <w:sz w:val="22"/>
                    <w:szCs w:val="22"/>
                  </w:rPr>
                  <w:t>Adaptacijos tamsai (įsidarbinant),</w:t>
                </w:r>
              </w:p>
              <w:p>
                <w:pPr>
                  <w:ind w:left="320"/>
                  <w:rPr>
                    <w:sz w:val="22"/>
                    <w:szCs w:val="22"/>
                  </w:rPr>
                </w:pPr>
                <w:r>
                  <w:rPr>
                    <w:color w:val="000000"/>
                    <w:sz w:val="22"/>
                    <w:szCs w:val="22"/>
                  </w:rPr>
                  <w:t>Regėjimo prieblandoje , Jautrumo ryškiai šviesai, Kontrastinio jautrumo</w:t>
                </w:r>
              </w:p>
              <w:p>
                <w:pPr>
                  <w:ind w:left="320"/>
                  <w:rPr>
                    <w:sz w:val="22"/>
                    <w:szCs w:val="22"/>
                  </w:rPr>
                </w:pPr>
                <w:r>
                  <w:rPr>
                    <w:sz w:val="22"/>
                    <w:szCs w:val="22"/>
                  </w:rPr>
                  <w:t>Spalvinio jutimo (</w:t>
                </w:r>
                <w:r>
                  <w:rPr>
                    <w:color w:val="000000"/>
                    <w:sz w:val="22"/>
                    <w:szCs w:val="22"/>
                  </w:rPr>
                  <w:t>spręsti individualiai)</w:t>
                </w:r>
              </w:p>
              <w:p>
                <w:pPr>
                  <w:ind w:left="320"/>
                  <w:rPr>
                    <w:sz w:val="22"/>
                    <w:szCs w:val="22"/>
                  </w:rPr>
                </w:pPr>
                <w:r>
                  <w:rPr>
                    <w:sz w:val="22"/>
                    <w:szCs w:val="22"/>
                  </w:rPr>
                  <w:t xml:space="preserve">Klausos – šnabždesiu abipus, audiograma, </w:t>
                </w:r>
              </w:p>
              <w:p>
                <w:pPr>
                  <w:ind w:left="320"/>
                  <w:rPr>
                    <w:sz w:val="22"/>
                    <w:szCs w:val="22"/>
                  </w:rPr>
                </w:pPr>
                <w:r>
                  <w:rPr>
                    <w:sz w:val="22"/>
                    <w:szCs w:val="22"/>
                  </w:rPr>
                  <w:t>Vestibulinės funkcijos tyrimai,</w:t>
                </w:r>
              </w:p>
              <w:p>
                <w:pPr>
                  <w:ind w:left="320"/>
                  <w:rPr>
                    <w:sz w:val="22"/>
                    <w:szCs w:val="22"/>
                  </w:rPr>
                </w:pPr>
                <w:r>
                  <w:rPr>
                    <w:sz w:val="22"/>
                    <w:szCs w:val="22"/>
                  </w:rPr>
                  <w:t xml:space="preserve">Krūtinės ląstos rentgenograma – jei nėra atlikta per dvejus metus, EKG, psichologinės atrankos, reakcijos ir kiti tyrimai (gydytojui skyrus) </w:t>
                </w:r>
              </w:p>
              <w:p>
                <w:pPr>
                  <w:ind w:left="320"/>
                  <w:rPr>
                    <w:sz w:val="22"/>
                  </w:rPr>
                </w:pPr>
                <w:r>
                  <w:rPr>
                    <w:sz w:val="22"/>
                    <w:szCs w:val="22"/>
                  </w:rPr>
                  <w:t>Kiti tyrimai ir konsultacijos atliekami vadovaujantis Asmenų, dirbančių galimos profesinės</w:t>
                </w:r>
                <w:r>
                  <w:rPr>
                    <w:sz w:val="22"/>
                  </w:rPr>
                  <w:t xml:space="preserve">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cantSplit/>
              <w:trHeight w:val="307"/>
            </w:trPr>
            <w:tc>
              <w:tcPr>
                <w:tcW w:w="2610" w:type="dxa"/>
                <w:tcBorders>
                  <w:left w:val="single" w:sz="6" w:space="0" w:color="auto"/>
                  <w:right w:val="single" w:sz="6" w:space="0" w:color="auto"/>
                </w:tcBorders>
              </w:tcPr>
              <w:p>
                <w:pPr>
                  <w:rPr>
                    <w:sz w:val="22"/>
                  </w:rPr>
                </w:pPr>
                <w:r>
                  <w:rPr>
                    <w:sz w:val="22"/>
                  </w:rPr>
                  <w:t>2.1. automobilių ir vikšrinių kranų kranininkai</w:t>
                </w:r>
              </w:p>
            </w:tc>
            <w:tc>
              <w:tcPr>
                <w:tcW w:w="1489" w:type="dxa"/>
                <w:vMerge w:val="restart"/>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495"/>
            </w:trPr>
            <w:tc>
              <w:tcPr>
                <w:tcW w:w="2610" w:type="dxa"/>
                <w:vMerge w:val="restart"/>
                <w:tcBorders>
                  <w:left w:val="single" w:sz="6" w:space="0" w:color="auto"/>
                  <w:right w:val="single" w:sz="6" w:space="0" w:color="auto"/>
                </w:tcBorders>
              </w:tcPr>
              <w:p>
                <w:pPr>
                  <w:rPr>
                    <w:sz w:val="22"/>
                  </w:rPr>
                </w:pPr>
                <w:r>
                  <w:rPr>
                    <w:sz w:val="22"/>
                  </w:rPr>
                  <w:t>2.2. dirbantieji kitomis kenksmingomis sveikatai sąlygomis (triukšmas, vibracija, oro ir darbo aplinkos temperatūra, kiti veiksniai)</w:t>
                </w:r>
              </w:p>
            </w:tc>
            <w:tc>
              <w:tcPr>
                <w:tcW w:w="1489" w:type="dxa"/>
                <w:vMerge/>
                <w:tcBorders>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23"/>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bottom w:val="single" w:sz="6" w:space="0" w:color="auto"/>
                  <w:right w:val="single" w:sz="6" w:space="0" w:color="auto"/>
                </w:tcBorders>
              </w:tcPr>
              <w:p>
                <w:pPr>
                  <w:rPr>
                    <w:sz w:val="22"/>
                  </w:rPr>
                </w:pP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bottom w:val="nil"/>
                  <w:right w:val="single" w:sz="6" w:space="0" w:color="auto"/>
                </w:tcBorders>
              </w:tcPr>
              <w:p>
                <w:pPr>
                  <w:rPr>
                    <w:sz w:val="22"/>
                  </w:rPr>
                </w:pPr>
                <w:r>
                  <w:rPr>
                    <w:sz w:val="22"/>
                  </w:rPr>
                  <w:t>3. Vairuotojai, dirbantys sąlygomis, kai yra padidinta grėsmė žmonių sveikatai ir gyvybei:</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w:t>
                </w:r>
              </w:p>
              <w:p>
                <w:pPr>
                  <w:rPr>
                    <w:sz w:val="22"/>
                  </w:rPr>
                </w:pPr>
                <w:r>
                  <w:rPr>
                    <w:sz w:val="22"/>
                  </w:rPr>
                  <w:t>(pagal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top w:val="single" w:sz="6" w:space="0" w:color="auto"/>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 xml:space="preserve">Spalvinio jutimo (įsigyjant vairuotojo pažymėjimą įsidarbinant), Klausos – šnabždesiu abipus, </w:t>
                </w:r>
              </w:p>
              <w:p>
                <w:pPr>
                  <w:ind w:left="320"/>
                  <w:rPr>
                    <w:sz w:val="22"/>
                  </w:rPr>
                </w:pPr>
                <w:r>
                  <w:rPr>
                    <w:sz w:val="22"/>
                  </w:rPr>
                  <w:t>Audiograma – esant indikacijų, Vestibulinės funkcijos tyrimai,</w:t>
                </w:r>
              </w:p>
              <w:p>
                <w:pPr>
                  <w:ind w:left="320"/>
                  <w:rPr>
                    <w:sz w:val="22"/>
                  </w:rPr>
                </w:pPr>
                <w:r>
                  <w:rPr>
                    <w:sz w:val="22"/>
                  </w:rPr>
                  <w:t xml:space="preserve">Krūtinės ląstos rentgenograma – jei nėra atlikta per dvejus metus, EKG, psichologinės atrankos ir kiti tyrimai (gydytojui skyrus), </w:t>
                </w:r>
              </w:p>
              <w:p>
                <w:pPr>
                  <w:ind w:left="320"/>
                  <w:rPr>
                    <w:sz w:val="22"/>
                  </w:rPr>
                </w:pPr>
                <w:r>
                  <w:rPr>
                    <w:sz w:val="22"/>
                  </w:rPr>
                  <w:t xml:space="preserve">Kraujo grupės ir Rh faktoriaus nustatymas (asmeniui pageidaujant) </w:t>
                </w:r>
              </w:p>
              <w:p>
                <w:pPr>
                  <w:ind w:left="320"/>
                  <w:rPr>
                    <w:sz w:val="22"/>
                  </w:rPr>
                </w:pPr>
                <w:r>
                  <w:rPr>
                    <w:sz w:val="22"/>
                  </w:rPr>
                  <w:t>Kiti tyrimai ir konsultacijos atliekami vadovaujantis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3.1. automobilių, skirtų keleiviams vežti – autobusų, mikroautobusų, autofurgonų su krovinių automobilių važiuokle ir turinčių daugiau kaip aštuonias sėdimas vietas, be vairuotojo, vairuotojai;</w:t>
                </w:r>
              </w:p>
              <w:p>
                <w:pPr>
                  <w:rPr>
                    <w:sz w:val="22"/>
                  </w:rPr>
                </w:pPr>
                <w:r>
                  <w:rPr>
                    <w:sz w:val="22"/>
                  </w:rPr>
                  <w:t>3.2. automobilių, skirtų kroviniams vežti, šių transporto priemonių su priekabomis, kurių didžiausioji leidžiamoji masė didesnė kaip 750 kg, jų kategorijoms priskiriamų vilkikų, vairuotojai;</w:t>
                </w:r>
              </w:p>
              <w:p>
                <w:pPr>
                  <w:rPr>
                    <w:sz w:val="22"/>
                  </w:rPr>
                </w:pPr>
                <w:r>
                  <w:rPr>
                    <w:sz w:val="22"/>
                  </w:rPr>
                  <w:t>3.3. B kategorijos transporto priemonių ir naudojantys vairuotojo pažymėjimą profesiniams tikslams (lengvieji taksi automobiliai, greitosios pagalbos automobiliai, ir pan.);</w:t>
                </w:r>
              </w:p>
              <w:p>
                <w:pPr>
                  <w:rPr>
                    <w:sz w:val="22"/>
                  </w:rPr>
                </w:pPr>
                <w:r>
                  <w:rPr>
                    <w:sz w:val="22"/>
                  </w:rPr>
                  <w:t>3.4. motorinių transporto priemonių (troleibuso – T) vairuotojai.</w:t>
                </w:r>
              </w:p>
              <w:p>
                <w:pPr>
                  <w:rPr>
                    <w:sz w:val="22"/>
                  </w:rPr>
                </w:pPr>
                <w:r>
                  <w:rPr>
                    <w:sz w:val="22"/>
                  </w:rPr>
                  <w:t>4. Traktorių ir savaeigių mašinų vairuotojai, dirbantys pagal darbo sutartis.</w:t>
                </w: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vidaus ligų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neurologas,</w:t>
                </w:r>
              </w:p>
              <w:p>
                <w:pPr>
                  <w:rPr>
                    <w:sz w:val="22"/>
                  </w:rPr>
                </w:pPr>
                <w:r>
                  <w:rPr>
                    <w:sz w:val="22"/>
                  </w:rPr>
                  <w:t>oftalmologas,</w:t>
                </w:r>
              </w:p>
              <w:p>
                <w:pPr>
                  <w:rPr>
                    <w:sz w:val="22"/>
                  </w:rPr>
                </w:pPr>
                <w:r>
                  <w:rPr>
                    <w:sz w:val="22"/>
                  </w:rPr>
                  <w:t>otorinolaringologas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right w:val="single" w:sz="6" w:space="0" w:color="auto"/>
                </w:tcBorders>
              </w:tcPr>
              <w:p>
                <w:pPr>
                  <w:rPr>
                    <w:sz w:val="22"/>
                  </w:rPr>
                </w:pPr>
                <w:r>
                  <w:rPr>
                    <w:sz w:val="22"/>
                  </w:rPr>
                  <w:t>5. Traktorių ir savaeigių mašinų vairuotojai, nenumatyti 4 punkte:</w:t>
                </w:r>
              </w:p>
            </w:tc>
            <w:tc>
              <w:tcPr>
                <w:tcW w:w="1489" w:type="dxa"/>
                <w:tcBorders>
                  <w:top w:val="single" w:sz="6" w:space="0" w:color="auto"/>
                  <w:left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Spalvinio jutimo (įsigyjant vairuotojo pažymėjimą įsidarbinant),</w:t>
                </w:r>
              </w:p>
              <w:p>
                <w:pPr>
                  <w:ind w:left="320"/>
                  <w:rPr>
                    <w:sz w:val="22"/>
                  </w:rPr>
                </w:pPr>
                <w:r>
                  <w:rPr>
                    <w:sz w:val="22"/>
                  </w:rPr>
                  <w:t>Klausos – šnabždesiu abipus,</w:t>
                </w:r>
              </w:p>
              <w:p>
                <w:pPr>
                  <w:ind w:left="320"/>
                  <w:rPr>
                    <w:sz w:val="22"/>
                  </w:rPr>
                </w:pPr>
                <w:r>
                  <w:rPr>
                    <w:sz w:val="22"/>
                  </w:rPr>
                  <w:t>Audiograma,</w:t>
                </w:r>
              </w:p>
              <w:p>
                <w:pPr>
                  <w:ind w:left="320"/>
                  <w:rPr>
                    <w:sz w:val="22"/>
                  </w:rPr>
                </w:pPr>
                <w:r>
                  <w:rPr>
                    <w:sz w:val="22"/>
                  </w:rPr>
                  <w:t>Vestibulinės funkcijos tyrimai,</w:t>
                </w:r>
              </w:p>
              <w:p>
                <w:pPr>
                  <w:ind w:left="320"/>
                  <w:rPr>
                    <w:sz w:val="22"/>
                  </w:rPr>
                </w:pPr>
                <w:r>
                  <w:rPr>
                    <w:sz w:val="22"/>
                  </w:rPr>
                  <w:t>Krūtinės ląstos rentgenograma – jei nėra atlikta per dvejus metus, EKG,</w:t>
                </w:r>
              </w:p>
              <w:p>
                <w:pPr>
                  <w:ind w:left="320"/>
                  <w:rPr>
                    <w:sz w:val="22"/>
                  </w:rPr>
                </w:pPr>
                <w:r>
                  <w:rPr>
                    <w:sz w:val="22"/>
                  </w:rPr>
                  <w:t>Kraujo grupės ir Rh faktoriaus nustatymas (asmeniui pageidaujant)</w:t>
                </w:r>
              </w:p>
            </w:tc>
          </w:tr>
          <w:tr>
            <w:trPr>
              <w:cantSplit/>
              <w:trHeight w:val="23"/>
            </w:trPr>
            <w:tc>
              <w:tcPr>
                <w:tcW w:w="2610" w:type="dxa"/>
                <w:tcBorders>
                  <w:left w:val="single" w:sz="6" w:space="0" w:color="auto"/>
                  <w:bottom w:val="nil"/>
                  <w:right w:val="single" w:sz="6" w:space="0" w:color="auto"/>
                </w:tcBorders>
              </w:tcPr>
              <w:p>
                <w:pPr>
                  <w:rPr>
                    <w:sz w:val="22"/>
                  </w:rPr>
                </w:pPr>
                <w:r>
                  <w:rPr>
                    <w:sz w:val="22"/>
                  </w:rPr>
                  <w:t>5.1. asmenys iki 59 metų amžiaus</w:t>
                </w:r>
              </w:p>
            </w:tc>
            <w:tc>
              <w:tcPr>
                <w:tcW w:w="1489" w:type="dxa"/>
                <w:tcBorders>
                  <w:left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neurologas, oftalmologas, otorinolaringologas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nil"/>
                  <w:right w:val="single" w:sz="6" w:space="0" w:color="auto"/>
                </w:tcBorders>
              </w:tcPr>
              <w:p>
                <w:pPr>
                  <w:rPr>
                    <w:sz w:val="22"/>
                  </w:rPr>
                </w:pPr>
                <w:r>
                  <w:rPr>
                    <w:sz w:val="22"/>
                  </w:rPr>
                  <w:t>5.2. asmenys nuo 60 iki 70 metų amžiaus</w:t>
                </w:r>
              </w:p>
            </w:tc>
            <w:tc>
              <w:tcPr>
                <w:tcW w:w="1489" w:type="dxa"/>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5.3. asmenys nuo 70 metų amžiaus</w:t>
                </w:r>
              </w:p>
            </w:tc>
            <w:tc>
              <w:tcPr>
                <w:tcW w:w="1489" w:type="dxa"/>
                <w:tcBorders>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bl>
        <w:p>
          <w:pPr>
            <w:jc w:val="right"/>
          </w:pPr>
        </w:p>
        <w:p>
          <w:pPr>
            <w:jc w:val="right"/>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6aa85ea7bc1a4140b82f76c5a920e540"/>
        <w:lock w:val="sdtLocked"/>
        <w:richText/>
      </w:sdtPr>
      <w:sdtContent>
        <w:p>
          <w:pPr>
            <w:jc w:val="right"/>
          </w:pPr>
          <w:sdt>
            <w:sdtPr>
              <w:alias w:val="Numeris"/>
              <w:tag w:val="nr_6aa85ea7bc1a4140b82f76c5a920e540"/>
              <w:lock w:val="sdtLocked"/>
              <w:richText/>
            </w:sdtPr>
            <w:sdtContent>
              <w:r>
                <w:t>3</w:t>
              </w:r>
            </w:sdtContent>
          </w:sdt>
          <w:r>
            <w:t xml:space="preserve"> lentelė</w:t>
          </w:r>
        </w:p>
        <w:p>
          <w:pPr>
            <w:jc w:val="both"/>
            <w:rPr>
              <w:bCs/>
            </w:rPr>
          </w:pPr>
        </w:p>
        <w:p>
          <w:pPr>
            <w:jc w:val="center"/>
            <w:rPr>
              <w:b/>
              <w:bCs/>
            </w:rPr>
          </w:pPr>
          <w:sdt>
            <w:sdtPr>
              <w:alias w:val="Pavadinimas"/>
              <w:tag w:val="title_6aa85ea7bc1a4140b82f76c5a920e540"/>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02.01, 02.02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ASMENYS SU JUDĖJIMO SUTRIKIMAIS</w:t>
                </w:r>
              </w:p>
              <w:p>
                <w:pPr>
                  <w:rPr>
                    <w:sz w:val="22"/>
                  </w:rPr>
                </w:pPr>
                <w:r>
                  <w:rPr>
                    <w:sz w:val="22"/>
                  </w:rPr>
                  <w:t>Vairuotojo pažymėjimai neišduodami kandidatams į vairuotojus ar neatnaujinami vairuotojams, kurie skundžiasi judėjimo sistemos negalavimais ar sutrikimais, kurie kelia pavojų saugiam variklio varomos priemonės vairavimui.</w:t>
                </w:r>
              </w:p>
              <w:p>
                <w:pPr>
                  <w:rPr>
                    <w:sz w:val="22"/>
                  </w:rPr>
                </w:pPr>
                <w:r>
                  <w:rPr>
                    <w:sz w:val="22"/>
                  </w:rPr>
                  <w:t>1 grupė:</w:t>
                </w:r>
              </w:p>
              <w:p>
                <w:pPr>
                  <w:rPr>
                    <w:sz w:val="22"/>
                  </w:rPr>
                </w:pPr>
                <w:r>
                  <w:rPr>
                    <w:sz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rPr>
                </w:pPr>
                <w:r>
                  <w:rPr>
                    <w:sz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rPr>
                </w:pPr>
                <w:r>
                  <w:rPr>
                    <w:sz w:val="22"/>
                  </w:rPr>
                  <w:t>Kai negalia neprogresuoja, vairuotojo pažymėjimas gali būti išduotas ar atnaujintas nereikalaujant reguliarios medicininės apžiūros.</w:t>
                </w:r>
              </w:p>
              <w:p>
                <w:pPr>
                  <w:rPr>
                    <w:sz w:val="22"/>
                  </w:rPr>
                </w:pPr>
                <w:r>
                  <w:rPr>
                    <w:sz w:val="22"/>
                  </w:rPr>
                  <w:t>2 grupė:</w:t>
                </w:r>
              </w:p>
              <w:p>
                <w:pPr>
                  <w:rPr>
                    <w:sz w:val="22"/>
                  </w:rPr>
                </w:pPr>
                <w:r>
                  <w:rPr>
                    <w:sz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Rankos, kojos, plaštakos, pėdos ar abiejų plaštakų, pėdų trūkumas, žymios deformacijos su lokomotorinės funkcijos sutrikimu: Z89.1, Z 89.2, Z 89.3, Z 89.4, Z 89.5, Z 89.6, Z 89.7, Z 89.8, Z 89.9 </w:t>
                </w:r>
              </w:p>
              <w:p>
                <w:pPr>
                  <w:rPr>
                    <w:sz w:val="22"/>
                  </w:rPr>
                </w:pPr>
                <w:r>
                  <w:rPr>
                    <w:b/>
                    <w:bCs/>
                    <w:sz w:val="22"/>
                  </w:rPr>
                  <w:t xml:space="preserve">PASTABA: </w:t>
                </w:r>
                <w:r>
                  <w:rPr>
                    <w:sz w:val="22"/>
                  </w:rPr>
                  <w:t>Tik individualiam transportui be teisės dirbti pagal darbo sutartis vairuotoju.</w:t>
                </w:r>
              </w:p>
              <w:p>
                <w:pPr>
                  <w:rPr>
                    <w:sz w:val="22"/>
                  </w:rPr>
                </w:pPr>
                <w:r>
                  <w:rPr>
                    <w:sz w:val="22"/>
                  </w:rPr>
                  <w:t xml:space="preserve">A; A1; AM; B; B1 ir BE kategorijų vairuotojams turi būti nurodyta,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rPr>
                </w:pPr>
                <w:r>
                  <w:rPr>
                    <w:b/>
                    <w:bCs/>
                    <w:sz w:val="22"/>
                  </w:rPr>
                  <w:t>PASTABA:</w:t>
                </w:r>
              </w:p>
              <w:p>
                <w:pPr>
                  <w:rPr>
                    <w:sz w:val="22"/>
                  </w:rPr>
                </w:pPr>
                <w:r>
                  <w:rPr>
                    <w:sz w:val="22"/>
                  </w:rPr>
                  <w:t xml:space="preserve">A; A1; AM; B; B1 ir BE kategorijų vairuotojams turi būti nurodytą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ŠIRDIES IR KRAUJAGYSLIŲ LIGOS</w:t>
                </w:r>
              </w:p>
              <w:p>
                <w:pPr>
                  <w:rPr>
                    <w:sz w:val="22"/>
                  </w:rPr>
                </w:pPr>
                <w:r>
                  <w:rPr>
                    <w:sz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rPr>
                </w:pPr>
                <w:r>
                  <w:rPr>
                    <w:sz w:val="22"/>
                  </w:rPr>
                  <w:t>1. Vairuotojo pažymėjimai neišduodami kandidatams į vairuotojus ar neatnaujinami vairuotojams, kurie serga sunkia aritmija.</w:t>
                </w:r>
              </w:p>
              <w:p>
                <w:pPr>
                  <w:rPr>
                    <w:sz w:val="22"/>
                  </w:rPr>
                </w:pPr>
                <w:r>
                  <w:rPr>
                    <w:sz w:val="22"/>
                  </w:rPr>
                  <w:t>2. Vairuotojo pažymėjimai gali būti išduodami kandidatams į vairuotojus ar atnaujinami vairuotojams su širdies stimuliatoriumi, pateikus gydytojo kardiologo išvadą ir reguliariai atliekant medicinines apžiūras.</w:t>
                </w:r>
              </w:p>
              <w:p>
                <w:pPr>
                  <w:rPr>
                    <w:sz w:val="22"/>
                  </w:rPr>
                </w:pPr>
                <w:r>
                  <w:rPr>
                    <w:sz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rPr>
                </w:pPr>
                <w:r>
                  <w:rPr>
                    <w:sz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rPr>
                </w:pPr>
                <w:r>
                  <w:rPr>
                    <w:sz w:val="22"/>
                  </w:rPr>
                  <w:t>2 grupė:</w:t>
                </w:r>
              </w:p>
              <w:p>
                <w:pPr>
                  <w:rPr>
                    <w:sz w:val="22"/>
                  </w:rPr>
                </w:pPr>
                <w:r>
                  <w:rPr>
                    <w:sz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II laipsnio su didele rizika ir III laipsnio arterinė hipertenzija: </w:t>
                </w:r>
              </w:p>
              <w:p>
                <w:pPr>
                  <w:rPr>
                    <w:sz w:val="22"/>
                  </w:rPr>
                </w:pPr>
                <w:r>
                  <w:rPr>
                    <w:sz w:val="22"/>
                  </w:rPr>
                  <w:t>I11–I15</w:t>
                </w:r>
              </w:p>
              <w:p>
                <w:pPr>
                  <w:rPr>
                    <w:sz w:val="22"/>
                  </w:rPr>
                </w:pPr>
                <w:r>
                  <w:rPr>
                    <w:b/>
                    <w:bCs/>
                    <w:sz w:val="22"/>
                  </w:rPr>
                  <w:t xml:space="preserve">PASTABA: </w:t>
                </w:r>
                <w:r>
                  <w:rPr>
                    <w:sz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NEUROLOGINES LIGOS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r>
                  <w:rPr>
                    <w:caps/>
                    <w:color w:val="000000"/>
                    <w:sz w:val="22"/>
                  </w:rPr>
                  <w:t>(</w:t>
                </w:r>
                <w:r>
                  <w:rPr>
                    <w:color w:val="000000"/>
                    <w:sz w:val="22"/>
                  </w:rPr>
                  <w:t>alkoholio sukeltų priepuolių atveju taikant 05.08</w:t>
                </w:r>
                <w:r>
                  <w:rPr>
                    <w:i/>
                    <w:color w:val="000000"/>
                    <w:sz w:val="22"/>
                  </w:rPr>
                  <w:t xml:space="preserve"> </w:t>
                </w:r>
                <w:r>
                  <w:rPr>
                    <w:color w:val="000000"/>
                    <w:sz w:val="22"/>
                  </w:rPr>
                  <w:t>apribojimą)</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p>
                <w:pPr>
                  <w:widowControl w:val="0"/>
                  <w:suppressAutoHyphens/>
                  <w:rPr>
                    <w:color w:val="000000"/>
                    <w:sz w:val="22"/>
                  </w:rPr>
                </w:pPr>
                <w:r>
                  <w:rPr>
                    <w:caps/>
                    <w:color w:val="000000"/>
                    <w:sz w:val="22"/>
                  </w:rPr>
                  <w:t>(</w:t>
                </w:r>
                <w:r>
                  <w:rPr>
                    <w:color w:val="000000"/>
                    <w:sz w:val="22"/>
                  </w:rPr>
                  <w:t>alkoholio sukeltų priepuolių atveju taikant apribojimą 05.08)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PSICHIKOS IR ELGESIO SUTRIKIMAI</w:t>
                </w:r>
              </w:p>
              <w:p>
                <w:pPr>
                  <w:rPr>
                    <w:sz w:val="22"/>
                  </w:rPr>
                </w:pPr>
                <w:r>
                  <w:rPr>
                    <w:sz w:val="22"/>
                  </w:rPr>
                  <w:t>1 grupė:</w:t>
                </w:r>
              </w:p>
              <w:p>
                <w:pPr>
                  <w:rPr>
                    <w:sz w:val="22"/>
                  </w:rPr>
                </w:pPr>
                <w:r>
                  <w:rPr>
                    <w:sz w:val="22"/>
                  </w:rPr>
                  <w:t>Vairuotojo pažymėjimai neišduodami kandidatams į vairuotojus ar neatnaujinami vairuotojams, turintiems:</w:t>
                </w:r>
              </w:p>
              <w:p>
                <w:pPr>
                  <w:rPr>
                    <w:sz w:val="22"/>
                  </w:rPr>
                </w:pPr>
                <w:r>
                  <w:rPr>
                    <w:sz w:val="22"/>
                  </w:rPr>
                  <w:t>– sunkių psichikos sutrikimų, įgimtų ar sukeltų ligos, traumų ar neurochirurginių operacijų,</w:t>
                </w:r>
              </w:p>
              <w:p>
                <w:pPr>
                  <w:rPr>
                    <w:sz w:val="22"/>
                  </w:rPr>
                </w:pPr>
                <w:r>
                  <w:rPr>
                    <w:sz w:val="22"/>
                  </w:rPr>
                  <w:t>– sunkų protinį atsilikimą</w:t>
                </w:r>
              </w:p>
              <w:p>
                <w:pPr>
                  <w:rPr>
                    <w:sz w:val="22"/>
                  </w:rPr>
                </w:pPr>
                <w:r>
                  <w:rPr>
                    <w:sz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reikalingus apribojimus 05.01–05.08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PASTABA: Psichozinio lygio sutrikimų atveju kokybiška remisija turėtų trukti ne trumpiau kaip 3 metus </w:t>
                </w:r>
              </w:p>
              <w:p>
                <w:pPr>
                  <w:rPr>
                    <w:sz w:val="22"/>
                  </w:rPr>
                </w:pPr>
                <w:r>
                  <w:rPr>
                    <w:sz w:val="22"/>
                  </w:rPr>
                  <w:t xml:space="preserve">Nepsichozinio lygio psichikos sutrikimų atveju remisija turėtų trukti ne trumpiau kaip 1 metus </w:t>
                </w:r>
              </w:p>
              <w:p>
                <w:pPr>
                  <w:rPr>
                    <w:sz w:val="22"/>
                  </w:rPr>
                </w:pPr>
                <w:r>
                  <w:rPr>
                    <w:sz w:val="22"/>
                  </w:rPr>
                  <w:t>Galima taikyti apribojimus 05.01–05.08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ALKOHOLIS</w:t>
                </w:r>
              </w:p>
              <w:p>
                <w:pPr>
                  <w:rPr>
                    <w:sz w:val="22"/>
                  </w:rPr>
                </w:pPr>
                <w:r>
                  <w:rPr>
                    <w:sz w:val="22"/>
                  </w:rPr>
                  <w:t>Alkoholio vartojimas kelia didžiulį pavojų kelių eismo saugumui. Atsižvelgiant į problemos mastą, medikai turi būti ypač budrūs.</w:t>
                </w:r>
              </w:p>
              <w:p>
                <w:pPr>
                  <w:rPr>
                    <w:sz w:val="22"/>
                  </w:rPr>
                </w:pPr>
                <w:r>
                  <w:rPr>
                    <w:sz w:val="22"/>
                  </w:rPr>
                  <w:t>1 grupė:</w:t>
                </w:r>
              </w:p>
              <w:p>
                <w:pPr>
                  <w:rPr>
                    <w:sz w:val="22"/>
                  </w:rPr>
                </w:pPr>
                <w:r>
                  <w:rPr>
                    <w:sz w:val="22"/>
                  </w:rPr>
                  <w:t>Vairuotojo pažymėjimai neišduodami kandidatams į vairuotojus ar neatnaujinami vairuotojams, priklausomiems nuo alkoholio arba negalintiems susilaikyti negėrus ir nevairavus esant neblaiviems.</w:t>
                </w:r>
              </w:p>
              <w:p>
                <w:pPr>
                  <w:rPr>
                    <w:sz w:val="22"/>
                  </w:rPr>
                </w:pPr>
                <w:r>
                  <w:rPr>
                    <w:sz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Priklausomybės ligos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NARKOTIKAI IR VAISTAI</w:t>
                </w:r>
              </w:p>
              <w:p>
                <w:pPr>
                  <w:rPr>
                    <w:sz w:val="22"/>
                  </w:rPr>
                </w:pPr>
                <w:r>
                  <w:rPr>
                    <w:sz w:val="22"/>
                  </w:rPr>
                  <w:t>Piktnaudžiavimas:</w:t>
                </w:r>
              </w:p>
              <w:p>
                <w:pPr>
                  <w:rPr>
                    <w:sz w:val="22"/>
                  </w:rPr>
                </w:pPr>
                <w:r>
                  <w:rPr>
                    <w:sz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rPr>
                </w:pPr>
                <w:r>
                  <w:rPr>
                    <w:sz w:val="22"/>
                  </w:rPr>
                  <w:t>1 grupė:</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rPr>
                </w:pPr>
                <w:r>
                  <w:rPr>
                    <w:sz w:val="22"/>
                  </w:rPr>
                  <w:t>2 grupė:</w:t>
                </w:r>
              </w:p>
              <w:p>
                <w:pPr>
                  <w:rPr>
                    <w:sz w:val="22"/>
                  </w:rPr>
                </w:pPr>
                <w:r>
                  <w:rPr>
                    <w:sz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Piktnaudžiavimas narkotikais ir vaistais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 xml:space="preserve">Sergantiesiems priklausomybės liga turi būti ne trumpesnė kaip 3 metų remisija. </w:t>
                </w:r>
              </w:p>
              <w:p>
                <w:pPr>
                  <w:rPr>
                    <w:sz w:val="22"/>
                  </w:rPr>
                </w:pPr>
                <w:r>
                  <w:rPr>
                    <w:sz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9c252954b7499b8f8f6925f9124f4a"/>
            <w:lock w:val="sdtLocked"/>
            <w:richText/>
          </w:sdtPr>
          <w:sdtContent>
            <w:p>
              <w:pPr>
                <w:jc w:val="both"/>
                <w:rPr>
                  <w:sz w:val="22"/>
                </w:rPr>
              </w:pPr>
              <w:r>
                <w:rPr>
                  <w:sz w:val="22"/>
                </w:rPr>
                <w:t>Pastabos:</w:t>
              </w:r>
            </w:p>
          </w:sdtContent>
        </w:sdt>
        <w:sdt>
          <w:sdtPr>
            <w:alias w:val="1 p."/>
            <w:tag w:val="part_b577f3413fa147cf96307a1d99631445"/>
            <w:lock w:val="sdtLocked"/>
            <w:richText/>
          </w:sdtPr>
          <w:sdtContent>
            <w:p>
              <w:pPr>
                <w:jc w:val="both"/>
                <w:rPr>
                  <w:sz w:val="22"/>
                </w:rPr>
              </w:pPr>
              <w:sdt>
                <w:sdtPr>
                  <w:alias w:val="Numeris"/>
                  <w:tag w:val="nr_b577f3413fa147cf96307a1d99631445"/>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b129c8b1863b4a1abaff689f3dcafbb0"/>
            <w:lock w:val="sdtLocked"/>
            <w:richText/>
          </w:sdtPr>
          <w:sdtContent>
            <w:p>
              <w:pPr>
                <w:jc w:val="both"/>
                <w:rPr>
                  <w:sz w:val="22"/>
                </w:rPr>
              </w:pPr>
              <w:sdt>
                <w:sdtPr>
                  <w:alias w:val="Numeris"/>
                  <w:tag w:val="nr_b129c8b1863b4a1abaff689f3dcafbb0"/>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804a45b4307c4e6ebe95f6e76648a0f6"/>
            <w:lock w:val="sdtLocked"/>
            <w:richText/>
          </w:sdtPr>
          <w:sdtContent>
            <w:p>
              <w:pPr>
                <w:jc w:val="both"/>
              </w:pPr>
              <w:sdt>
                <w:sdtPr>
                  <w:alias w:val="Numeris"/>
                  <w:tag w:val="nr_804a45b4307c4e6ebe95f6e76648a0f6"/>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8957939666040ddb859e8049f66a047"/>
        <w:lock w:val="sdtLocked"/>
        <w:richText/>
      </w:sdtPr>
      <w:sdtContent>
        <w:p>
          <w:pPr>
            <w:ind w:firstLine="567"/>
            <w:jc w:val="right"/>
          </w:pPr>
          <w:r>
            <w:br w:type="page"/>
          </w:r>
          <w:sdt>
            <w:sdtPr>
              <w:alias w:val="Numeris"/>
              <w:tag w:val="nr_88957939666040ddb859e8049f66a047"/>
              <w:lock w:val="sdtLocked"/>
              <w:richText/>
            </w:sdtPr>
            <w:sdtContent>
              <w:r>
                <w:t>5</w:t>
              </w:r>
            </w:sdtContent>
          </w:sdt>
          <w:r>
            <w:t xml:space="preserve"> lentelė</w:t>
          </w:r>
        </w:p>
        <w:p>
          <w:pPr>
            <w:jc w:val="both"/>
            <w:rPr>
              <w:bCs/>
            </w:rPr>
          </w:pPr>
        </w:p>
        <w:p>
          <w:pPr>
            <w:jc w:val="center"/>
            <w:rPr>
              <w:b/>
              <w:bCs/>
            </w:rPr>
          </w:pPr>
          <w:sdt>
            <w:sdtPr>
              <w:alias w:val="Pavadinimas"/>
              <w:tag w:val="title_88957939666040ddb859e8049f66a047"/>
              <w:lock w:val="sdtLocked"/>
              <w:richText/>
            </w:sdtPr>
            <w:sdtContent>
              <w:r>
                <w:rPr>
                  <w:b/>
                  <w:bCs/>
                </w:rPr>
                <w:t>TAIKOMŲ APRIBOJIMŲ KODAI</w:t>
              </w:r>
            </w:sdtContent>
          </w:sdt>
        </w:p>
        <w:p>
          <w:pPr>
            <w:jc w:val="both"/>
          </w:pPr>
        </w:p>
        <w:tbl>
          <w:tblPr>
            <w:tblW w:w="9070" w:type="dxa"/>
            <w:tblLayout w:type="fixed"/>
            <w:tblCellMar>
              <w:left w:w="40" w:type="dxa"/>
              <w:right w:w="40" w:type="dxa"/>
            </w:tblCellMar>
            <w:tblLook w:val="0000" w:firstRow="0" w:lastRow="0" w:firstColumn="0" w:lastColumn="0" w:noHBand="0" w:noVBand="0"/>
          </w:tblPr>
          <w:tblGrid>
            <w:gridCol w:w="880"/>
            <w:gridCol w:w="720"/>
            <w:gridCol w:w="7470"/>
          </w:tblGrid>
          <w:tr>
            <w:trPr>
              <w:cantSplit/>
              <w:trHeight w:val="23"/>
              <w:tblHeader/>
            </w:trPr>
            <w:tc>
              <w:tcPr>
                <w:tcW w:w="880" w:type="dxa"/>
                <w:tcBorders>
                  <w:top w:val="single" w:sz="18" w:space="0" w:color="auto"/>
                  <w:left w:val="single" w:sz="18" w:space="0" w:color="auto"/>
                  <w:bottom w:val="single" w:sz="18" w:space="0" w:color="auto"/>
                  <w:right w:val="single" w:sz="18" w:space="0" w:color="auto"/>
                </w:tcBorders>
              </w:tcPr>
              <w:p>
                <w:pPr>
                  <w:jc w:val="center"/>
                  <w:rPr>
                    <w:sz w:val="22"/>
                  </w:rPr>
                </w:pPr>
                <w:r>
                  <w:rPr>
                    <w:sz w:val="22"/>
                  </w:rPr>
                  <w:t>Kodas</w:t>
                </w:r>
              </w:p>
            </w:tc>
            <w:tc>
              <w:tcPr>
                <w:tcW w:w="720" w:type="dxa"/>
                <w:tcBorders>
                  <w:top w:val="single" w:sz="18" w:space="0" w:color="auto"/>
                  <w:left w:val="single" w:sz="18" w:space="0" w:color="auto"/>
                  <w:bottom w:val="single" w:sz="18" w:space="0" w:color="auto"/>
                  <w:right w:val="single" w:sz="6" w:space="0" w:color="auto"/>
                </w:tcBorders>
              </w:tcPr>
              <w:p>
                <w:pPr>
                  <w:jc w:val="center"/>
                  <w:rPr>
                    <w:sz w:val="22"/>
                  </w:rPr>
                </w:pPr>
              </w:p>
            </w:tc>
            <w:tc>
              <w:tcPr>
                <w:tcW w:w="7470" w:type="dxa"/>
                <w:tcBorders>
                  <w:top w:val="single" w:sz="18" w:space="0" w:color="auto"/>
                  <w:left w:val="single" w:sz="6" w:space="0" w:color="auto"/>
                  <w:bottom w:val="single" w:sz="18" w:space="0" w:color="auto"/>
                  <w:right w:val="single" w:sz="18" w:space="0" w:color="auto"/>
                </w:tcBorders>
              </w:tcPr>
              <w:p>
                <w:pPr>
                  <w:jc w:val="center"/>
                  <w:rPr>
                    <w:sz w:val="22"/>
                  </w:rPr>
                </w:pPr>
                <w:r>
                  <w:rPr>
                    <w:sz w:val="22"/>
                  </w:rPr>
                  <w:t>Apribojimas</w:t>
                </w:r>
              </w:p>
            </w:tc>
          </w:tr>
          <w:tr>
            <w:trPr>
              <w:cantSplit/>
              <w:trHeight w:val="23"/>
            </w:trPr>
            <w:tc>
              <w:tcPr>
                <w:tcW w:w="880" w:type="dxa"/>
                <w:tcBorders>
                  <w:top w:val="single" w:sz="18"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18" w:space="0" w:color="auto"/>
                  <w:left w:val="single" w:sz="18" w:space="0" w:color="auto"/>
                  <w:bottom w:val="single" w:sz="6" w:space="0" w:color="auto"/>
                  <w:right w:val="single" w:sz="6" w:space="0" w:color="auto"/>
                </w:tcBorders>
              </w:tcPr>
              <w:p>
                <w:pPr>
                  <w:rPr>
                    <w:sz w:val="22"/>
                  </w:rPr>
                </w:pPr>
              </w:p>
            </w:tc>
            <w:tc>
              <w:tcPr>
                <w:tcW w:w="7470" w:type="dxa"/>
                <w:tcBorders>
                  <w:top w:val="single" w:sz="18" w:space="0" w:color="auto"/>
                  <w:left w:val="single" w:sz="6" w:space="0" w:color="auto"/>
                  <w:bottom w:val="single" w:sz="6" w:space="0" w:color="auto"/>
                  <w:right w:val="single" w:sz="18" w:space="0" w:color="auto"/>
                </w:tcBorders>
              </w:tcPr>
              <w:p>
                <w:pPr>
                  <w:rPr>
                    <w:sz w:val="22"/>
                  </w:rPr>
                </w:pPr>
                <w:r>
                  <w:rPr>
                    <w:sz w:val="22"/>
                  </w:rPr>
                  <w:t>Dėl medicininių priežasčių (kandidatui į vairuotojus ir vairuotojui – išvadą pateikia ASP įstaiga)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Kontaktinis (-iai) lęšis (-iai)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Apsauginiai 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Tamsintas (matinis) lęšis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Akių danga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 arba kontaktiniai lęšiai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vienai ausiai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abiem ausims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Viršutinės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Apatinės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Ribotas naudojimas (būtina nurodyti papildomą kodą; vairavimas su apribojimais dėl medicininių priežasčių):</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dienos metu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 km spinduliu aplink vairuotojo gyvenamąją vietą arba tik ..................................... mieste (regione)</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vežti keleivius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didesniu nei.....km/h greičiu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lydint vairuotojo pažymėjimą turinčiam asmeniui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su priekaba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05.07</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automagistralėmis ir greitkeliais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05.08</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vairuoti išgėrus alkoholio</w:t>
                </w:r>
              </w:p>
            </w:tc>
          </w:tr>
          <w:tr>
            <w:trPr>
              <w:cantSplit/>
              <w:trHeight w:val="23"/>
            </w:trPr>
            <w:tc>
              <w:tcPr>
                <w:tcW w:w="880" w:type="dxa"/>
                <w:tcBorders>
                  <w:top w:val="single" w:sz="6" w:space="0" w:color="auto"/>
                  <w:left w:val="single" w:sz="18" w:space="0" w:color="auto"/>
                  <w:bottom w:val="single" w:sz="2" w:space="0" w:color="auto"/>
                  <w:right w:val="single" w:sz="18" w:space="0" w:color="auto"/>
                </w:tcBorders>
              </w:tcPr>
              <w:p>
                <w:pPr>
                  <w:rPr>
                    <w:sz w:val="22"/>
                  </w:rPr>
                </w:pPr>
                <w:r>
                  <w:rPr>
                    <w:sz w:val="22"/>
                  </w:rPr>
                  <w:t>10–51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Transporto priemonės pritaikymas – išvadą pateikia protezinių ortopedijos gaminių ir techninių priemonių pritaikymo įstaigos (institucijos)</w:t>
                </w:r>
              </w:p>
            </w:tc>
          </w:tr>
        </w:tbl>
        <w:p>
          <w:pPr>
            <w:jc w:val="both"/>
          </w:pPr>
        </w:p>
        <w:sdt>
          <w:sdtPr>
            <w:alias w:val="pabaiga"/>
            <w:tag w:val="part_ddc1e9180ddb4060b864a17b3b2f4493"/>
            <w:lock w:val="sdtLocked"/>
            <w:richText/>
          </w:sdtPr>
          <w:sdtContent>
            <w:p>
              <w:pPr>
                <w:jc w:val="center"/>
              </w:pPr>
              <w:r>
                <w:t>_________________</w:t>
              </w:r>
            </w:p>
            <w:p>
              <w:pPr>
                <w:rPr>
                  <w:color w:val="000000"/>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2"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56c44c63f12e42c08cbe4654bbd7e282"/>
        <w:lock w:val="sdtLocked"/>
        <w:richText/>
      </w:sdtPr>
      <w:sdtContent>
        <w:p>
          <w:pPr>
            <w:ind w:left="720" w:hanging="11"/>
            <w:jc w:val="center"/>
            <w:rPr>
              <w:szCs w:val="24"/>
            </w:rPr>
          </w:pPr>
        </w:p>
        <w:p>
          <w:pPr>
            <w:ind w:right="27"/>
            <w:jc w:val="both"/>
            <w:rPr>
              <w:sz w:val="20"/>
              <w:szCs w:val="24"/>
            </w:rPr>
            <w:sectPr>
              <w:headerReference w:type="even" r:id="rId104"/>
              <w:headerReference w:type="default" r:id="rId105"/>
              <w:pgSz w:w="11906" w:h="16838"/>
              <w:pgMar w:top="1276" w:right="567" w:bottom="851" w:left="1134" w:header="720" w:footer="720" w:gutter="0"/>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56c44c63f12e42c08cbe4654bbd7e282"/>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b42ad0c95fd64828985df24c78037c99"/>
        <w:lock w:val="sdtLocked"/>
        <w:richText/>
      </w:sdtPr>
      <w:sdtContent>
        <w:p>
          <w:pPr>
            <w:ind w:left="5184"/>
            <w:jc w:val="both"/>
            <w:sectPr>
              <w:headerReference w:type="even" r:id="rId106"/>
              <w:headerReference w:type="default" r:id="rId107"/>
              <w:pgSz w:w="16838" w:h="11906" w:orient="landscape" w:code="9"/>
              <w:pgMar w:top="709" w:right="680" w:bottom="567" w:left="1418" w:header="567" w:footer="567" w:gutter="0"/>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b42ad0c95fd64828985df24c78037c99"/>
              <w:lock w:val="sdtLocked"/>
              <w:richText/>
            </w:sdtPr>
            <w:sdtContent>
              <w:r>
                <w:rPr>
                  <w:szCs w:val="24"/>
                </w:rPr>
                <w:t>2</w:t>
              </w:r>
            </w:sdtContent>
          </w:sdt>
          <w:r>
            <w:rPr>
              <w:szCs w:val="24"/>
            </w:rPr>
            <w:t xml:space="preserve"> priedas</w:t>
          </w:r>
        </w:p>
        <w:p>
          <w:pPr>
            <w:jc w:val="center"/>
            <w:rPr>
              <w:b/>
              <w:szCs w:val="24"/>
            </w:rPr>
          </w:pPr>
        </w:p>
        <w:sdt>
          <w:sdtPr>
            <w:alias w:val="Pavadinimas"/>
            <w:tag w:val="title_b42ad0c95fd64828985df24c78037c99"/>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5" w:tgtFrame="_blank" w:history="1">
                    <w:r>
                      <w:rPr>
                        <w:color w:val="0000FF" w:themeColor="hyperlink"/>
                        <w:u w:val="single"/>
                      </w:rPr>
                      <w:t>4-27</w:t>
                    </w:r>
                  </w:hyperlink>
                  <w:r>
                    <w:rPr>
                      <w:color w:val="000000"/>
                    </w:rPr>
                    <w:t xml:space="preserve">; 2006, Nr. </w:t>
                  </w:r>
                  <w:hyperlink r:id="rId66"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7" w:tgtFrame="_blank" w:history="1">
                    <w:r>
                      <w:rPr>
                        <w:color w:val="0000FF" w:themeColor="hyperlink"/>
                        <w:u w:val="single"/>
                      </w:rPr>
                      <w:t>47-1365</w:t>
                    </w:r>
                  </w:hyperlink>
                  <w:r>
                    <w:rPr>
                      <w:color w:val="000000"/>
                    </w:rPr>
                    <w:t xml:space="preserve">; 2009, Nr. </w:t>
                  </w:r>
                  <w:hyperlink r:id="rId68"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9"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70"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71"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2"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3"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4"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5"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6"/>
                          <w:footerReference w:type="default" r:id="rId77"/>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8"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9"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80"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81"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2"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3"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4"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5"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6"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7"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8"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9"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90"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91"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2"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3" w:tgtFrame="_blank" w:history="1">
                          <w:r>
                            <w:rPr>
                              <w:color w:val="0000FF" w:themeColor="hyperlink"/>
                              <w:sz w:val="18"/>
                              <w:szCs w:val="18"/>
                              <w:u w:val="single"/>
                            </w:rPr>
                            <w:t>47-1365</w:t>
                          </w:r>
                        </w:hyperlink>
                        <w:r>
                          <w:rPr>
                            <w:sz w:val="18"/>
                            <w:szCs w:val="18"/>
                          </w:rPr>
                          <w:t xml:space="preserve">; 2005, Nr. </w:t>
                        </w:r>
                        <w:hyperlink r:id="rId94" w:tgtFrame="_blank" w:history="1">
                          <w:r>
                            <w:rPr>
                              <w:color w:val="0000FF" w:themeColor="hyperlink"/>
                              <w:sz w:val="18"/>
                              <w:szCs w:val="18"/>
                              <w:u w:val="single"/>
                            </w:rPr>
                            <w:t>128-4637</w:t>
                          </w:r>
                        </w:hyperlink>
                        <w:r>
                          <w:rPr>
                            <w:sz w:val="18"/>
                            <w:szCs w:val="18"/>
                          </w:rPr>
                          <w:t xml:space="preserve">; 2008, Nr. </w:t>
                        </w:r>
                        <w:hyperlink r:id="rId95"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6" w:tgtFrame="_blank" w:history="1">
                          <w:r>
                            <w:rPr>
                              <w:color w:val="0000FF" w:themeColor="hyperlink"/>
                              <w:sz w:val="18"/>
                              <w:szCs w:val="18"/>
                              <w:u w:val="single"/>
                            </w:rPr>
                            <w:t>47-1365</w:t>
                          </w:r>
                        </w:hyperlink>
                        <w:r>
                          <w:rPr>
                            <w:sz w:val="18"/>
                            <w:szCs w:val="18"/>
                          </w:rPr>
                          <w:t xml:space="preserve">; 2005, Nr. </w:t>
                        </w:r>
                        <w:hyperlink r:id="rId97" w:tgtFrame="_blank" w:history="1">
                          <w:r>
                            <w:rPr>
                              <w:color w:val="0000FF" w:themeColor="hyperlink"/>
                              <w:sz w:val="18"/>
                              <w:szCs w:val="18"/>
                              <w:u w:val="single"/>
                            </w:rPr>
                            <w:t>128-4637</w:t>
                          </w:r>
                        </w:hyperlink>
                        <w:r>
                          <w:rPr>
                            <w:sz w:val="18"/>
                            <w:szCs w:val="18"/>
                          </w:rPr>
                          <w:t xml:space="preserve">; 2008, Nr. </w:t>
                        </w:r>
                        <w:hyperlink r:id="rId9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9"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58bc4e20ec714262af1d9022188bcb50"/>
        <w:lock w:val="sdtLocked"/>
        <w:richText/>
      </w:sdtPr>
      <w:sdtContent>
        <w:p>
          <w:pPr>
            <w:tabs>
              <w:tab w:val="left" w:pos="1304"/>
              <w:tab w:val="left" w:pos="1457"/>
              <w:tab w:val="left" w:pos="1604"/>
              <w:tab w:val="left" w:pos="1757"/>
            </w:tabs>
            <w:ind w:left="5102"/>
            <w:sectPr>
              <w:headerReference w:type="even" r:id="rId53"/>
              <w:headerReference w:type="default" r:id="rId54"/>
              <w:footerReference w:type="even" r:id="rId55"/>
              <w:footerReference w:type="default" r:id="rId56"/>
              <w:headerReference w:type="first" r:id="rId57"/>
              <w:footerReference w:type="first" r:id="rId58"/>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58bc4e20ec714262af1d9022188bcb50"/>
              <w:lock w:val="sdtLocked"/>
              <w:richText/>
            </w:sdtPr>
            <w:sdtContent>
              <w:r>
                <w:rPr>
                  <w:color w:val="000000"/>
                </w:rPr>
                <w:t>15</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58bc4e20ec714262af1d9022188bcb50"/>
              <w:lock w:val="sdtLocked"/>
              <w:richText/>
            </w:sdtPr>
            <w:sdtContent>
              <w:r>
                <w:rPr>
                  <w:b/>
                  <w:caps/>
                  <w:color w:val="000000"/>
                </w:rPr>
                <w:t>GYDYTOJŲ, NORINČIŲ GAUTI LICENCIJĄ GYDYTOJO VEIKLAI, SVEIKATOS TIKRINIMO TVARKA</w:t>
              </w:r>
            </w:sdtContent>
          </w:sdt>
        </w:p>
        <w:p>
          <w:pPr>
            <w:widowControl w:val="0"/>
            <w:tabs>
              <w:tab w:val="left" w:pos="1304"/>
              <w:tab w:val="left" w:pos="2778"/>
              <w:tab w:val="left" w:pos="4876"/>
              <w:tab w:val="left" w:pos="6860"/>
            </w:tabs>
            <w:ind w:left="1069"/>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068"/>
            <w:gridCol w:w="2149"/>
            <w:gridCol w:w="3365"/>
          </w:tblGrid>
          <w:tr>
            <w:tc>
              <w:tcPr>
                <w:tcW w:w="4123" w:type="dxa"/>
                <w:gridSpan w:val="2"/>
                <w:shd w:val="clear" w:color="auto" w:fill="auto"/>
              </w:tcPr>
              <w:p>
                <w:pPr>
                  <w:widowControl w:val="0"/>
                  <w:ind w:left="360"/>
                  <w:jc w:val="center"/>
                  <w:rPr>
                    <w:sz w:val="14"/>
                  </w:rPr>
                </w:pPr>
                <w:r>
                  <w:rPr>
                    <w:sz w:val="14"/>
                  </w:rPr>
                  <w:t>Sveikatos tikrintojas</w:t>
                </w:r>
              </w:p>
            </w:tc>
            <w:tc>
              <w:tcPr>
                <w:tcW w:w="2149" w:type="dxa"/>
                <w:vMerge w:val="restart"/>
                <w:shd w:val="clear" w:color="auto" w:fill="auto"/>
              </w:tcPr>
              <w:p>
                <w:pPr>
                  <w:widowControl w:val="0"/>
                  <w:ind w:left="360"/>
                  <w:jc w:val="center"/>
                  <w:rPr>
                    <w:sz w:val="14"/>
                  </w:rPr>
                </w:pPr>
                <w:r>
                  <w:rPr>
                    <w:sz w:val="14"/>
                  </w:rPr>
                  <w:t>Sveikatos tikrinimą reglamentuojantys teisės aktai</w:t>
                </w:r>
              </w:p>
            </w:tc>
            <w:tc>
              <w:tcPr>
                <w:tcW w:w="3365" w:type="dxa"/>
                <w:vMerge w:val="restart"/>
                <w:shd w:val="clear" w:color="auto" w:fill="auto"/>
              </w:tcPr>
              <w:p>
                <w:pPr>
                  <w:widowControl w:val="0"/>
                  <w:ind w:left="360"/>
                  <w:jc w:val="center"/>
                  <w:rPr>
                    <w:sz w:val="14"/>
                  </w:rPr>
                </w:pPr>
                <w:r>
                  <w:rPr>
                    <w:sz w:val="14"/>
                  </w:rPr>
                  <w:t>Bendros kontraindikacijos</w:t>
                </w:r>
              </w:p>
            </w:tc>
          </w:tr>
          <w:tr>
            <w:trPr>
              <w:trHeight w:val="905"/>
            </w:trPr>
            <w:tc>
              <w:tcPr>
                <w:tcW w:w="2055"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206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149" w:type="dxa"/>
                <w:vMerge/>
                <w:tcBorders>
                  <w:bottom w:val="single" w:sz="4" w:space="0" w:color="auto"/>
                </w:tcBorders>
                <w:shd w:val="clear" w:color="auto" w:fill="auto"/>
              </w:tcPr>
              <w:p>
                <w:pPr>
                  <w:widowControl w:val="0"/>
                  <w:ind w:left="360"/>
                  <w:jc w:val="center"/>
                  <w:rPr>
                    <w:sz w:val="14"/>
                  </w:rPr>
                </w:pPr>
              </w:p>
            </w:tc>
            <w:tc>
              <w:tcPr>
                <w:tcW w:w="3365" w:type="dxa"/>
                <w:vMerge/>
                <w:tcBorders>
                  <w:bottom w:val="single" w:sz="4" w:space="0" w:color="auto"/>
                </w:tcBorders>
                <w:shd w:val="clear" w:color="auto" w:fill="auto"/>
              </w:tcPr>
              <w:p>
                <w:pPr>
                  <w:widowControl w:val="0"/>
                  <w:ind w:left="360"/>
                  <w:jc w:val="center"/>
                  <w:rPr>
                    <w:sz w:val="14"/>
                  </w:rPr>
                </w:pPr>
              </w:p>
            </w:tc>
          </w:tr>
          <w:tr>
            <w:trPr>
              <w:trHeight w:val="6765"/>
            </w:trPr>
            <w:tc>
              <w:tcPr>
                <w:tcW w:w="2055" w:type="dxa"/>
                <w:shd w:val="clear" w:color="auto" w:fill="auto"/>
              </w:tcPr>
              <w:p>
                <w:pPr>
                  <w:widowControl w:val="0"/>
                  <w:ind w:left="360"/>
                  <w:rPr>
                    <w:sz w:val="14"/>
                  </w:rPr>
                </w:pPr>
                <w:r>
                  <w:rPr>
                    <w:sz w:val="14"/>
                  </w:rPr>
                  <w:t>Bendrosios praktikos gydytojas(pagal normą MN 14) arba terapeutas</w:t>
                </w:r>
              </w:p>
            </w:tc>
            <w:tc>
              <w:tcPr>
                <w:tcW w:w="2068" w:type="dxa"/>
                <w:shd w:val="clear" w:color="auto" w:fill="auto"/>
              </w:tcPr>
              <w:p>
                <w:pPr>
                  <w:widowControl w:val="0"/>
                  <w:ind w:left="360"/>
                  <w:rPr>
                    <w:sz w:val="14"/>
                  </w:rPr>
                </w:pPr>
                <w:r>
                  <w:rPr>
                    <w:sz w:val="14"/>
                  </w:rPr>
                  <w:t>Pagal indikacijas</w:t>
                </w:r>
              </w:p>
            </w:tc>
            <w:tc>
              <w:tcPr>
                <w:tcW w:w="2149" w:type="dxa"/>
                <w:shd w:val="clear" w:color="auto" w:fill="auto"/>
              </w:tcPr>
              <w:p>
                <w:pPr>
                  <w:widowControl w:val="0"/>
                  <w:ind w:left="360"/>
                  <w:rPr>
                    <w:sz w:val="14"/>
                  </w:rPr>
                </w:pPr>
                <w:r>
                  <w:rPr>
                    <w:sz w:val="14"/>
                  </w:rPr>
                  <w:t xml:space="preserve">Vadovautis LR Vyriausybės 1999 m. nutarimu Nr. 544 „Dėl darbų ir veiklos sričių, kuriose leidžiama dirbti asmenims, tik iš anksto pasitikrinusiems ir vėliau periodiškai besitikrinantiems sveikatą dėl užkrečiamųjų ligų sąrašo ir šių asmenų tikrinimo tvarkos“ (Žin., 1999, Nr. </w:t>
                </w:r>
                <w:hyperlink r:id="rId59" w:history="1">
                  <w:r>
                    <w:rPr>
                      <w:sz w:val="14"/>
                    </w:rPr>
                    <w:t>41-1294</w:t>
                  </w:r>
                </w:hyperlink>
                <w:r>
                  <w:rPr>
                    <w:sz w:val="14"/>
                  </w:rPr>
                  <w:t>)</w:t>
                </w:r>
              </w:p>
            </w:tc>
            <w:tc>
              <w:tcPr>
                <w:tcW w:w="3365"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 xml:space="preserve">3.1. žymūs ir ilgai trunkantys organiniai psichikos bei asmenybės ir elgesio sutrikimai </w:t>
                </w:r>
              </w:p>
              <w:p>
                <w:pPr>
                  <w:widowControl w:val="0"/>
                  <w:ind w:left="360"/>
                  <w:rPr>
                    <w:sz w:val="14"/>
                  </w:rPr>
                </w:pPr>
                <w:r>
                  <w:rPr>
                    <w:sz w:val="14"/>
                  </w:rPr>
                  <w:t xml:space="preserve">dėl galvos smegenų ligos, pažeidimo ar disfunkcijos (esant ribinio lygio sutrikimų, </w:t>
                </w:r>
              </w:p>
              <w:p>
                <w:pPr>
                  <w:widowControl w:val="0"/>
                  <w:ind w:left="360"/>
                  <w:rPr>
                    <w:sz w:val="14"/>
                  </w:rPr>
                </w:pPr>
                <w:r>
                  <w:rPr>
                    <w:sz w:val="14"/>
                  </w:rPr>
                  <w:t>klausimas sprendžiamas individualiai);</w:t>
                </w:r>
              </w:p>
              <w:p>
                <w:pPr>
                  <w:widowControl w:val="0"/>
                  <w:ind w:left="360"/>
                  <w:rPr>
                    <w:sz w:val="14"/>
                  </w:rPr>
                </w:pPr>
                <w:r>
                  <w:rPr>
                    <w:sz w:val="14"/>
                  </w:rPr>
                  <w:t xml:space="preserve">3.2. šizofrenija, esant trumpų, nekokybiškų remisijų bei rezistentiškai gydymui </w:t>
                </w:r>
              </w:p>
              <w:p>
                <w:pPr>
                  <w:widowControl w:val="0"/>
                  <w:ind w:left="360"/>
                  <w:rPr>
                    <w:sz w:val="14"/>
                  </w:rPr>
                </w:pPr>
                <w:r>
                  <w:rPr>
                    <w:sz w:val="14"/>
                  </w:rPr>
                  <w:t xml:space="preserve">simptomatikai; epilepsija su dažnais paroksizmais ir charakterio bei intelekto pakitimais, </w:t>
                </w:r>
              </w:p>
              <w:p>
                <w:pPr>
                  <w:widowControl w:val="0"/>
                  <w:ind w:left="360"/>
                  <w:rPr>
                    <w:sz w:val="14"/>
                  </w:rPr>
                </w:pPr>
                <w:r>
                  <w:rPr>
                    <w:sz w:val="14"/>
                  </w:rPr>
                  <w:t>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 xml:space="preserve">3.4. vidutinio sunkumo afektiniai sutrikimai su rezistentiška gydymui simptomatika bei </w:t>
                </w:r>
              </w:p>
              <w:p>
                <w:pPr>
                  <w:widowControl w:val="0"/>
                  <w:ind w:left="360"/>
                  <w:rPr>
                    <w:sz w:val="14"/>
                  </w:rPr>
                </w:pPr>
                <w:r>
                  <w:rPr>
                    <w:sz w:val="14"/>
                  </w:rPr>
                  <w:t>sutrikusia adaptacija;</w:t>
                </w:r>
              </w:p>
              <w:p>
                <w:pPr>
                  <w:widowControl w:val="0"/>
                  <w:ind w:left="360"/>
                  <w:rPr>
                    <w:sz w:val="14"/>
                  </w:rPr>
                </w:pPr>
                <w:r>
                  <w:rPr>
                    <w:sz w:val="14"/>
                  </w:rPr>
                  <w:t>3.5. žymūs asmenybės ir elgesio sutrikimai, lydimi sutrikusios adaptacijos</w:t>
                </w:r>
              </w:p>
            </w:tc>
          </w:tr>
        </w:tbl>
        <w:p>
          <w:pPr>
            <w:jc w:val="center"/>
            <w:rPr>
              <w:color w:val="000000"/>
            </w:rPr>
          </w:pPr>
          <w:r>
            <w:rPr>
              <w:color w:val="000000"/>
            </w:rPr>
            <w:t>______________</w:t>
          </w:r>
        </w:p>
      </w:sdtContent>
    </w:sdt>
    <w:sdt>
      <w:sdtPr>
        <w:alias w:val="16 pr."/>
        <w:tag w:val="part_b72b9025c68f4aeb819721035ef540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b72b9025c68f4aeb819721035ef54046"/>
              <w:lock w:val="sdtLocked"/>
              <w:richText/>
            </w:sdtPr>
            <w:sdtContent>
              <w:r>
                <w:rPr>
                  <w:color w:val="000000"/>
                </w:rPr>
                <w:t>16</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b72b9025c68f4aeb819721035ef54046"/>
              <w:lock w:val="sdtLocked"/>
              <w:richText/>
            </w:sdtPr>
            <w:sdtContent>
              <w:r>
                <w:rPr>
                  <w:b/>
                  <w:caps/>
                  <w:color w:val="000000"/>
                </w:rPr>
                <w:t>ASMENŲ, NORINČIŲ BŪTI ADVOKATAIS, SVEIKATOS TIKRINIMO TVARKA</w:t>
              </w:r>
            </w:sdtContent>
          </w:sdt>
        </w:p>
        <w:p>
          <w:pPr>
            <w:widowControl w:val="0"/>
            <w:tabs>
              <w:tab w:val="left" w:pos="1304"/>
              <w:tab w:val="left" w:pos="2778"/>
              <w:tab w:val="left" w:pos="4876"/>
              <w:tab w:val="left" w:pos="6860"/>
            </w:tabs>
            <w:ind w:left="1069"/>
            <w:rPr>
              <w:color w:val="00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3131"/>
            <w:gridCol w:w="3399"/>
          </w:tblGrid>
          <w:tr>
            <w:tc>
              <w:tcPr>
                <w:tcW w:w="6240" w:type="dxa"/>
                <w:gridSpan w:val="2"/>
                <w:shd w:val="clear" w:color="auto" w:fill="auto"/>
              </w:tcPr>
              <w:p>
                <w:pPr>
                  <w:widowControl w:val="0"/>
                  <w:ind w:left="360"/>
                  <w:jc w:val="center"/>
                  <w:rPr>
                    <w:sz w:val="14"/>
                  </w:rPr>
                </w:pPr>
                <w:r>
                  <w:rPr>
                    <w:sz w:val="14"/>
                  </w:rPr>
                  <w:t>Sveikatos tikrintojas</w:t>
                </w:r>
              </w:p>
            </w:tc>
            <w:tc>
              <w:tcPr>
                <w:tcW w:w="3399" w:type="dxa"/>
                <w:vMerge w:val="restart"/>
                <w:shd w:val="clear" w:color="auto" w:fill="auto"/>
              </w:tcPr>
              <w:p>
                <w:pPr>
                  <w:widowControl w:val="0"/>
                  <w:ind w:left="360"/>
                  <w:jc w:val="center"/>
                  <w:rPr>
                    <w:sz w:val="14"/>
                  </w:rPr>
                </w:pPr>
                <w:r>
                  <w:rPr>
                    <w:sz w:val="14"/>
                  </w:rPr>
                  <w:t>Bendros kontraindikacijos</w:t>
                </w:r>
              </w:p>
            </w:tc>
          </w:tr>
          <w:tr>
            <w:trPr>
              <w:trHeight w:val="230"/>
            </w:trPr>
            <w:tc>
              <w:tcPr>
                <w:tcW w:w="3109" w:type="dxa"/>
                <w:vMerge w:val="restart"/>
                <w:shd w:val="clear" w:color="auto" w:fill="auto"/>
              </w:tcPr>
              <w:p>
                <w:pPr>
                  <w:widowControl w:val="0"/>
                  <w:ind w:left="360"/>
                  <w:jc w:val="center"/>
                  <w:rPr>
                    <w:sz w:val="14"/>
                  </w:rPr>
                </w:pPr>
                <w:r>
                  <w:rPr>
                    <w:sz w:val="14"/>
                  </w:rPr>
                  <w:t>Pirminio lygio asmens sveikatos priežiūros gydytojai</w:t>
                </w:r>
              </w:p>
            </w:tc>
            <w:tc>
              <w:tcPr>
                <w:tcW w:w="3131" w:type="dxa"/>
                <w:vMerge w:val="restart"/>
                <w:shd w:val="clear" w:color="auto" w:fill="auto"/>
              </w:tcPr>
              <w:p>
                <w:pPr>
                  <w:widowControl w:val="0"/>
                  <w:ind w:left="360"/>
                  <w:jc w:val="center"/>
                  <w:rPr>
                    <w:sz w:val="14"/>
                  </w:rPr>
                </w:pPr>
                <w:r>
                  <w:rPr>
                    <w:sz w:val="14"/>
                  </w:rPr>
                  <w:t>Privalomos antrinio lygio gydytojų specialistų konsultacijos</w:t>
                </w:r>
              </w:p>
            </w:tc>
            <w:tc>
              <w:tcPr>
                <w:tcW w:w="3399" w:type="dxa"/>
                <w:vMerge/>
                <w:shd w:val="clear" w:color="auto" w:fill="auto"/>
              </w:tcPr>
              <w:p>
                <w:pPr>
                  <w:widowControl w:val="0"/>
                  <w:ind w:left="360"/>
                  <w:jc w:val="center"/>
                  <w:rPr>
                    <w:sz w:val="14"/>
                  </w:rPr>
                </w:pPr>
              </w:p>
            </w:tc>
          </w:tr>
          <w:tr>
            <w:trPr>
              <w:trHeight w:val="230"/>
            </w:trPr>
            <w:tc>
              <w:tcPr>
                <w:tcW w:w="3109" w:type="dxa"/>
                <w:vMerge/>
                <w:shd w:val="clear" w:color="auto" w:fill="auto"/>
              </w:tcPr>
              <w:p>
                <w:pPr>
                  <w:widowControl w:val="0"/>
                  <w:ind w:left="360"/>
                  <w:jc w:val="center"/>
                  <w:rPr>
                    <w:sz w:val="14"/>
                  </w:rPr>
                </w:pPr>
              </w:p>
            </w:tc>
            <w:tc>
              <w:tcPr>
                <w:tcW w:w="3131" w:type="dxa"/>
                <w:vMerge/>
                <w:shd w:val="clear" w:color="auto" w:fill="auto"/>
              </w:tcPr>
              <w:p>
                <w:pPr>
                  <w:widowControl w:val="0"/>
                  <w:ind w:left="360"/>
                  <w:jc w:val="center"/>
                  <w:rPr>
                    <w:sz w:val="14"/>
                  </w:rPr>
                </w:pPr>
              </w:p>
            </w:tc>
            <w:tc>
              <w:tcPr>
                <w:tcW w:w="3399" w:type="dxa"/>
                <w:vMerge/>
                <w:shd w:val="clear" w:color="auto" w:fill="auto"/>
              </w:tcPr>
              <w:p>
                <w:pPr>
                  <w:widowControl w:val="0"/>
                  <w:ind w:left="360"/>
                  <w:jc w:val="center"/>
                  <w:rPr>
                    <w:sz w:val="14"/>
                  </w:rPr>
                </w:pPr>
              </w:p>
            </w:tc>
          </w:tr>
          <w:tr>
            <w:trPr>
              <w:trHeight w:val="230"/>
            </w:trPr>
            <w:tc>
              <w:tcPr>
                <w:tcW w:w="3109" w:type="dxa"/>
                <w:vMerge/>
                <w:shd w:val="clear" w:color="auto" w:fill="auto"/>
              </w:tcPr>
              <w:p>
                <w:pPr>
                  <w:widowControl w:val="0"/>
                  <w:ind w:left="360"/>
                  <w:jc w:val="center"/>
                  <w:rPr>
                    <w:sz w:val="14"/>
                  </w:rPr>
                </w:pPr>
              </w:p>
            </w:tc>
            <w:tc>
              <w:tcPr>
                <w:tcW w:w="3131" w:type="dxa"/>
                <w:vMerge/>
                <w:shd w:val="clear" w:color="auto" w:fill="auto"/>
              </w:tcPr>
              <w:p>
                <w:pPr>
                  <w:widowControl w:val="0"/>
                  <w:ind w:left="360"/>
                  <w:jc w:val="center"/>
                  <w:rPr>
                    <w:sz w:val="14"/>
                  </w:rPr>
                </w:pPr>
              </w:p>
            </w:tc>
            <w:tc>
              <w:tcPr>
                <w:tcW w:w="3399" w:type="dxa"/>
                <w:vMerge/>
                <w:shd w:val="clear" w:color="auto" w:fill="auto"/>
              </w:tcPr>
              <w:p>
                <w:pPr>
                  <w:widowControl w:val="0"/>
                  <w:ind w:left="360"/>
                  <w:jc w:val="center"/>
                  <w:rPr>
                    <w:sz w:val="14"/>
                  </w:rPr>
                </w:pPr>
              </w:p>
            </w:tc>
          </w:tr>
          <w:tr>
            <w:trPr>
              <w:trHeight w:val="6510"/>
            </w:trPr>
            <w:tc>
              <w:tcPr>
                <w:tcW w:w="3109" w:type="dxa"/>
                <w:shd w:val="clear" w:color="auto" w:fill="auto"/>
              </w:tcPr>
              <w:p>
                <w:pPr>
                  <w:widowControl w:val="0"/>
                  <w:ind w:left="360"/>
                  <w:rPr>
                    <w:sz w:val="14"/>
                  </w:rPr>
                </w:pPr>
                <w:r>
                  <w:rPr>
                    <w:sz w:val="14"/>
                  </w:rPr>
                  <w:t>Bendrosios praktikos gydytojas (pagal MN 14)</w:t>
                </w:r>
              </w:p>
              <w:p>
                <w:pPr>
                  <w:widowControl w:val="0"/>
                  <w:ind w:left="360"/>
                  <w:rPr>
                    <w:sz w:val="14"/>
                  </w:rPr>
                </w:pPr>
                <w:r>
                  <w:rPr>
                    <w:sz w:val="14"/>
                  </w:rPr>
                  <w:t>psichiatras</w:t>
                </w:r>
              </w:p>
              <w:p>
                <w:pPr>
                  <w:widowControl w:val="0"/>
                  <w:ind w:left="360"/>
                  <w:rPr>
                    <w:sz w:val="14"/>
                  </w:rPr>
                </w:pPr>
                <w:r>
                  <w:rPr>
                    <w:sz w:val="14"/>
                  </w:rPr>
                  <w:t>Terapeutas psichiatras</w:t>
                </w:r>
              </w:p>
            </w:tc>
            <w:tc>
              <w:tcPr>
                <w:tcW w:w="3131" w:type="dxa"/>
                <w:shd w:val="clear" w:color="auto" w:fill="auto"/>
              </w:tcPr>
              <w:p>
                <w:pPr>
                  <w:widowControl w:val="0"/>
                  <w:ind w:left="360"/>
                  <w:rPr>
                    <w:sz w:val="14"/>
                  </w:rPr>
                </w:pPr>
                <w:r>
                  <w:rPr>
                    <w:sz w:val="14"/>
                  </w:rPr>
                  <w:t>Pagal indikacijas</w:t>
                </w:r>
              </w:p>
            </w:tc>
            <w:tc>
              <w:tcPr>
                <w:tcW w:w="3399"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3.1. žymūs ir ilgai trunkantys organiniai psichikos bei asmenybės ir elgesio sutrikimai dėl galvos smegenų ligos, pažeidimo ar disfunkcijos (esant ribinio lygio sutrikimų, klausimas sprendžiamas individualiai);</w:t>
                </w:r>
              </w:p>
              <w:p>
                <w:pPr>
                  <w:widowControl w:val="0"/>
                  <w:ind w:left="360"/>
                  <w:rPr>
                    <w:sz w:val="14"/>
                  </w:rPr>
                </w:pPr>
                <w:r>
                  <w:rPr>
                    <w:sz w:val="14"/>
                  </w:rPr>
                  <w:t>3.2. šizofrenija, esant trumpų, nekokybiškų remisijų bei rezistentiškai gydymui simptomatikai; epilepsija su dažnais paroksizmais ir charakterio bei intelekto pakitimais, 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3.4. vidutinio sunkumo afektiniai sutrikimai su rezistentiška gydymui simptomatika bei sutrikusia adaptacija;</w:t>
                </w:r>
              </w:p>
              <w:p>
                <w:pPr>
                  <w:widowControl w:val="0"/>
                  <w:ind w:left="360"/>
                  <w:rPr>
                    <w:sz w:val="14"/>
                  </w:rPr>
                </w:pPr>
                <w:r>
                  <w:rPr>
                    <w:sz w:val="14"/>
                  </w:rPr>
                  <w:t>3.5. žymūs asmenybės ir elgesio sutrikimai, lydimi sutrikusios adaptacijos</w:t>
                </w:r>
              </w:p>
            </w:tc>
          </w:tr>
        </w:tbl>
        <w:p>
          <w:pPr>
            <w:widowControl w:val="0"/>
            <w:tabs>
              <w:tab w:val="left" w:pos="1304"/>
              <w:tab w:val="left" w:pos="2778"/>
              <w:tab w:val="left" w:pos="4876"/>
              <w:tab w:val="left" w:pos="6860"/>
            </w:tabs>
            <w:ind w:left="360"/>
            <w:jc w:val="center"/>
            <w:rPr>
              <w:color w:val="000000"/>
            </w:rPr>
          </w:pPr>
          <w:r>
            <w:rPr>
              <w:color w:val="000000"/>
            </w:rPr>
            <w:t>______________</w:t>
          </w:r>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73a6e9f1e10b4ea5acad1d08b71dfd1a"/>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73a6e9f1e10b4ea5acad1d08b71dfd1a"/>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73a6e9f1e10b4ea5acad1d08b71dfd1a"/>
              <w:lock w:val="sdtLocked"/>
              <w:richText/>
            </w:sdtPr>
            <w:sdtContent>
              <w:r>
                <w:rPr>
                  <w:b/>
                  <w:szCs w:val="24"/>
                  <w:lang w:eastAsia="lt-LT"/>
                </w:rPr>
                <w:t>PROFILAKTINIŲ SVEIKATOS TIKRINIMŲ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sdt>
          <w:sdtPr>
            <w:alias w:val="skyrius"/>
            <w:tag w:val="part_5b86aea1362a48ff8194d4d7c996adf0"/>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5b86aea1362a48ff8194d4d7c996adf0"/>
                  <w:lock w:val="sdtLocked"/>
                  <w:richText/>
                </w:sdtPr>
                <w:sdtContent>
                  <w:r>
                    <w:rPr>
                      <w:b/>
                      <w:szCs w:val="24"/>
                      <w:lang w:eastAsia="lt-LT"/>
                    </w:rPr>
                    <w:t>I</w:t>
                  </w:r>
                </w:sdtContent>
              </w:sdt>
              <w:r>
                <w:rPr>
                  <w:b/>
                  <w:szCs w:val="24"/>
                  <w:lang w:eastAsia="lt-LT"/>
                </w:rPr>
                <w:t xml:space="preserve"> SKYRIUS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5b86aea1362a48ff8194d4d7c996adf0"/>
                  <w:lock w:val="sdtLocked"/>
                  <w:richText/>
                </w:sdtPr>
                <w:sdtContent>
                  <w:r>
                    <w:rPr>
                      <w:b/>
                      <w:szCs w:val="24"/>
                      <w:lang w:eastAsia="lt-LT"/>
                    </w:rPr>
                    <w:t>PROFILAKTINIŲ SVEIKATOS TIKRINIMŲ, UŽ KURIUOS MOKA PATS DARBUOTOJAS, DARBDAVYS AR KITI ASMENYS, KAINOS</w:t>
                  </w:r>
                </w:sdtContent>
              </w:sdt>
            </w:p>
            <w:p>
              <w:pPr>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shd w:val="clear" w:color="000000" w:fill="auto"/>
                      <w:tabs>
                        <w:tab w:val="left" w:pos="916"/>
                      </w:tabs>
                      <w:spacing w:line="276" w:lineRule="auto"/>
                      <w:rPr>
                        <w:b/>
                        <w:color w:val="000000"/>
                        <w:szCs w:val="24"/>
                      </w:rPr>
                    </w:pPr>
                  </w:p>
                </w:tc>
                <w:tc>
                  <w:tcPr>
                    <w:tcW w:w="5245" w:type="dxa"/>
                    <w:vMerge/>
                    <w:tcBorders>
                      <w:bottom w:val="single" w:sz="4" w:space="0" w:color="auto"/>
                    </w:tcBorders>
                  </w:tcPr>
                  <w:p>
                    <w:pPr>
                      <w:shd w:val="clear" w:color="000000" w:fill="auto"/>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shd w:val="clear" w:color="000000" w:fill="auto"/>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shd w:val="clear" w:color="000000" w:fill="auto"/>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shd w:val="clear" w:color="000000" w:fill="auto"/>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shd w:val="clear" w:color="000000" w:fill="auto"/>
                      <w:tabs>
                        <w:tab w:val="left" w:pos="916"/>
                      </w:tabs>
                      <w:spacing w:line="276" w:lineRule="auto"/>
                      <w:jc w:val="center"/>
                      <w:rPr>
                        <w:strike/>
                        <w:szCs w:val="24"/>
                        <w:lang w:eastAsia="lt-LT"/>
                      </w:rPr>
                    </w:pPr>
                    <w:r>
                      <w:rPr>
                        <w:strike/>
                        <w:szCs w:val="24"/>
                        <w:lang w:eastAsia="lt-LT"/>
                      </w:rPr>
                      <w:t>4</w:t>
                    </w:r>
                  </w:p>
                </w:tc>
              </w:tr>
              <w:tr>
                <w:tc>
                  <w:tcPr>
                    <w:tcW w:w="992" w:type="dxa"/>
                  </w:tcPr>
                  <w:p>
                    <w:pPr>
                      <w:shd w:val="clear" w:color="000000" w:fill="auto"/>
                      <w:tabs>
                        <w:tab w:val="left" w:pos="916"/>
                      </w:tabs>
                      <w:spacing w:line="276" w:lineRule="auto"/>
                      <w:rPr>
                        <w:color w:val="000000"/>
                        <w:szCs w:val="24"/>
                      </w:rPr>
                    </w:pPr>
                    <w:r>
                      <w:rPr>
                        <w:color w:val="000000"/>
                        <w:szCs w:val="24"/>
                      </w:rPr>
                      <w:t>1.</w:t>
                    </w:r>
                  </w:p>
                </w:tc>
                <w:tc>
                  <w:tcPr>
                    <w:tcW w:w="5245" w:type="dxa"/>
                  </w:tcPr>
                  <w:p>
                    <w:pPr>
                      <w:shd w:val="clear" w:color="000000" w:fill="auto"/>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shd w:val="clear" w:color="000000" w:fill="auto"/>
                      <w:tabs>
                        <w:tab w:val="left" w:pos="916"/>
                      </w:tabs>
                      <w:spacing w:line="276" w:lineRule="auto"/>
                      <w:jc w:val="center"/>
                      <w:rPr>
                        <w:strike/>
                        <w:color w:val="000000"/>
                        <w:szCs w:val="24"/>
                      </w:rPr>
                    </w:pPr>
                    <w:r>
                      <w:rPr>
                        <w:szCs w:val="24"/>
                        <w:lang w:eastAsia="lt-LT"/>
                      </w:rPr>
                      <w:t>28,71</w:t>
                    </w:r>
                  </w:p>
                </w:tc>
                <w:tc>
                  <w:tcPr>
                    <w:tcW w:w="1242" w:type="dxa"/>
                  </w:tcPr>
                  <w:p>
                    <w:pPr>
                      <w:shd w:val="clear" w:color="000000" w:fill="auto"/>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shd w:val="clear" w:color="000000" w:fill="auto"/>
                      <w:tabs>
                        <w:tab w:val="left" w:pos="916"/>
                      </w:tabs>
                      <w:spacing w:line="276" w:lineRule="auto"/>
                      <w:rPr>
                        <w:strike/>
                        <w:color w:val="000000"/>
                        <w:szCs w:val="24"/>
                        <w:lang w:eastAsia="lt-LT"/>
                      </w:rPr>
                    </w:pPr>
                    <w:r>
                      <w:rPr>
                        <w:color w:val="000000"/>
                        <w:szCs w:val="24"/>
                        <w:lang w:eastAsia="lt-LT"/>
                      </w:rPr>
                      <w:t>2.</w:t>
                    </w:r>
                  </w:p>
                </w:tc>
                <w:tc>
                  <w:tcPr>
                    <w:tcW w:w="5245" w:type="dxa"/>
                  </w:tcPr>
                  <w:p>
                    <w:pPr>
                      <w:shd w:val="clear" w:color="000000" w:fill="auto"/>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shd w:val="clear" w:color="000000" w:fill="auto"/>
                      <w:tabs>
                        <w:tab w:val="left" w:pos="916"/>
                      </w:tabs>
                      <w:spacing w:line="276" w:lineRule="auto"/>
                      <w:jc w:val="center"/>
                      <w:rPr>
                        <w:strike/>
                        <w:color w:val="000000"/>
                        <w:szCs w:val="24"/>
                        <w:lang w:eastAsia="lt-LT"/>
                      </w:rPr>
                    </w:pPr>
                    <w:r>
                      <w:rPr>
                        <w:szCs w:val="24"/>
                        <w:lang w:eastAsia="lt-LT"/>
                      </w:rPr>
                      <w:t>5,35</w:t>
                    </w:r>
                  </w:p>
                </w:tc>
                <w:tc>
                  <w:tcPr>
                    <w:tcW w:w="1242" w:type="dxa"/>
                    <w:noWrap/>
                  </w:tcPr>
                  <w:p>
                    <w:pPr>
                      <w:shd w:val="clear" w:color="000000" w:fill="auto"/>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shd w:val="clear" w:color="000000" w:fill="auto"/>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shd w:val="clear" w:color="000000" w:fill="auto"/>
                      <w:tabs>
                        <w:tab w:val="left" w:pos="916"/>
                      </w:tabs>
                      <w:spacing w:line="276" w:lineRule="auto"/>
                      <w:rPr>
                        <w:color w:val="000000"/>
                        <w:szCs w:val="24"/>
                      </w:rPr>
                    </w:pPr>
                    <w:r>
                      <w:rPr>
                        <w:szCs w:val="24"/>
                        <w:lang w:eastAsia="lt-LT"/>
                      </w:rPr>
                      <w:t>Aviacijos darbuotojų</w:t>
                    </w:r>
                  </w:p>
                </w:tc>
                <w:tc>
                  <w:tcPr>
                    <w:tcW w:w="1559" w:type="dxa"/>
                  </w:tcPr>
                  <w:p>
                    <w:pPr>
                      <w:shd w:val="clear" w:color="000000" w:fill="auto"/>
                      <w:tabs>
                        <w:tab w:val="left" w:pos="916"/>
                      </w:tabs>
                      <w:spacing w:line="276" w:lineRule="auto"/>
                      <w:jc w:val="center"/>
                      <w:rPr>
                        <w:strike/>
                        <w:color w:val="000000"/>
                        <w:szCs w:val="24"/>
                      </w:rPr>
                    </w:pPr>
                    <w:r>
                      <w:rPr>
                        <w:szCs w:val="24"/>
                        <w:lang w:eastAsia="lt-LT"/>
                      </w:rPr>
                      <w:t>77,85</w:t>
                    </w:r>
                  </w:p>
                </w:tc>
                <w:tc>
                  <w:tcPr>
                    <w:tcW w:w="1242" w:type="dxa"/>
                  </w:tcPr>
                  <w:p>
                    <w:pPr>
                      <w:shd w:val="clear" w:color="000000" w:fill="auto"/>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hd w:val="clear" w:color="000000" w:fill="auto"/>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hd w:val="clear" w:color="000000" w:fill="auto"/>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9,24</w:t>
                    </w:r>
                  </w:p>
                  <w:p>
                    <w:pPr>
                      <w:shd w:val="clear" w:color="000000" w:fill="auto"/>
                      <w:rPr>
                        <w:sz w:val="18"/>
                        <w:szCs w:val="18"/>
                      </w:rPr>
                    </w:pPr>
                  </w:p>
                  <w:p>
                    <w:pPr>
                      <w:shd w:val="clear" w:color="000000" w:fill="auto"/>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shd w:val="clear" w:color="000000" w:fill="auto"/>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shd w:val="clear" w:color="000000" w:fill="auto"/>
                      <w:tabs>
                        <w:tab w:val="left" w:pos="916"/>
                      </w:tabs>
                      <w:spacing w:line="276" w:lineRule="auto"/>
                      <w:jc w:val="center"/>
                      <w:rPr>
                        <w:strike/>
                        <w:color w:val="000000"/>
                        <w:szCs w:val="24"/>
                        <w:lang w:eastAsia="lt-LT"/>
                      </w:rPr>
                    </w:pPr>
                    <w:r>
                      <w:rPr>
                        <w:color w:val="000000"/>
                        <w:szCs w:val="24"/>
                        <w:lang w:eastAsia="lt-LT"/>
                      </w:rPr>
                      <w:t>2,43</w:t>
                    </w:r>
                  </w:p>
                  <w:p>
                    <w:pPr>
                      <w:shd w:val="clear" w:color="000000" w:fill="auto"/>
                      <w:rPr>
                        <w:sz w:val="18"/>
                        <w:szCs w:val="18"/>
                      </w:rPr>
                    </w:pPr>
                  </w:p>
                  <w:p>
                    <w:pPr>
                      <w:shd w:val="clear" w:color="000000" w:fill="auto"/>
                      <w:tabs>
                        <w:tab w:val="left" w:pos="916"/>
                      </w:tabs>
                      <w:spacing w:line="276" w:lineRule="auto"/>
                      <w:jc w:val="center"/>
                      <w:rPr>
                        <w:color w:val="000000"/>
                        <w:szCs w:val="24"/>
                        <w:lang w:eastAsia="lt-LT"/>
                      </w:rPr>
                    </w:pPr>
                  </w:p>
                </w:tc>
              </w:tr>
            </w:tbl>
            <w:p>
              <w:pPr>
                <w:shd w:val="clear" w:color="000000" w:fill="auto"/>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shd w:val="clear" w:color="000000" w:fill="auto"/>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sdtContent>
        </w:sdt>
        <w:sdt>
          <w:sdtPr>
            <w:alias w:val="skyrius"/>
            <w:tag w:val="part_fc733df0a6ba498581408a313750b7a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fc733df0a6ba498581408a313750b7a7"/>
                  <w:lock w:val="sdtLocked"/>
                  <w:richText/>
                </w:sdtPr>
                <w:sdtContent>
                  <w:r>
                    <w:rPr>
                      <w:b/>
                      <w:szCs w:val="24"/>
                      <w:lang w:eastAsia="lt-LT"/>
                    </w:rPr>
                    <w:t>II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b/>
                  <w:szCs w:val="24"/>
                  <w:lang w:eastAsia="lt-LT"/>
                </w:rPr>
              </w:pPr>
              <w:sdt>
                <w:sdtPr>
                  <w:alias w:val="Pavadinimas"/>
                  <w:tag w:val="title_fc733df0a6ba498581408a313750b7a7"/>
                  <w:lock w:val="sdtLocked"/>
                  <w:richText/>
                </w:sdtPr>
                <w:sdtContent>
                  <w:r>
                    <w:rPr>
                      <w:b/>
                      <w:szCs w:val="24"/>
                      <w:lang w:eastAsia="lt-LT"/>
                    </w:rPr>
                    <w:t>PROFILAKTINIŲ SVEIKATOS TIKRINIMŲ, APMOKAMŲ IŠ PRIVALOMOJO SVEIKATOS DRAUDIMO FONDO BIUDŽETO,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237"/>
                <w:gridCol w:w="1951"/>
              </w:tblGrid>
              <w:tr>
                <w:tc>
                  <w:tcPr>
                    <w:tcW w:w="850"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623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1951" w:type="dxa"/>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Tikrinimų kaina (balais)</w:t>
                    </w:r>
                  </w:p>
                </w:tc>
              </w:tr>
              <w:tr>
                <w:trPr>
                  <w:trHeight w:val="173"/>
                </w:trPr>
                <w:tc>
                  <w:tcPr>
                    <w:tcW w:w="850"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6237"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zCs w:val="24"/>
                        <w:lang w:eastAsia="lt-LT"/>
                      </w:rPr>
                    </w:pPr>
                    <w:r>
                      <w:rPr>
                        <w:szCs w:val="24"/>
                        <w:lang w:eastAsia="lt-LT"/>
                      </w:rPr>
                      <w:t>2</w:t>
                    </w:r>
                  </w:p>
                </w:tc>
                <w:tc>
                  <w:tcPr>
                    <w:tcW w:w="1951"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r>
              <w:tr>
                <w:trPr>
                  <w:trHeight w:val="363"/>
                </w:trPr>
                <w:tc>
                  <w:tcPr>
                    <w:tcW w:w="850"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 xml:space="preserve">1. </w:t>
                    </w:r>
                  </w:p>
                </w:tc>
                <w:tc>
                  <w:tcPr>
                    <w:tcW w:w="6237"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b/>
                        <w:szCs w:val="24"/>
                        <w:lang w:eastAsia="lt-LT"/>
                      </w:rPr>
                      <w:t xml:space="preserve">Gydytojų specialistų </w:t>
                    </w:r>
                  </w:p>
                </w:tc>
                <w:tc>
                  <w:tcPr>
                    <w:tcW w:w="1951"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szCs w:val="24"/>
                        <w:lang w:eastAsia="lt-LT"/>
                      </w:rPr>
                      <w:t>6,33</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szCs w:val="24"/>
                  <w:lang w:eastAsia="lt-LT"/>
                </w:rPr>
                <w:t>_______</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87770029ee11e5a2d7e5e47b869348">
                <w:r w:rsidRPr="00532B9F">
                  <w:rPr>
                    <w:rFonts w:ascii="Times New Roman" w:eastAsia="MS Mincho" w:hAnsi="Times New Roman"/>
                    <w:sz w:val="20"/>
                    <w:i/>
                    <w:iCs/>
                    <w:color w:val="0000FF" w:themeColor="hyperlink"/>
                    <w:u w:val="single"/>
                  </w:rPr>
                  <w:t>V-862</w:t>
                </w:r>
              </w:fldSimple>
              <w:r>
                <w:rPr>
                  <w:rFonts w:ascii="Times New Roman" w:eastAsia="MS Mincho" w:hAnsi="Times New Roman"/>
                  <w:sz w:val="20"/>
                  <w:i/>
                  <w:iCs/>
                </w:rPr>
                <w:t>,
2015-07-10,
paskelbta TAR 2015-07-14, i. k. 2015-11317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shapelayout v:ext="edit">
      <o:idmap v:ext="edit" data="1"/>
    </o:shapelayout>
  </w:shapeDefaults>
  <w:decimalSymbol w:val=","/>
  <w:listSeparator w:val=";"/>
  <w14:docId w14:val="47E556F8"/>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yperlink" TargetMode="External" Target="https://www.e-tar.lt/portal/lt/legalAct/TAR.6CFC2AC8617C"/>
  <Relationship Id="rId101" Type="http://schemas.openxmlformats.org/officeDocument/2006/relationships/hyperlink" TargetMode="External" Target="https://www.e-tar.lt/portal/lt/legalAct/TAR.9BB254501DB8"/>
  <Relationship Id="rId102" Type="http://schemas.openxmlformats.org/officeDocument/2006/relationships/hyperlink" TargetMode="External" Target="https://www.e-tar.lt/portal/lt/legalAct/TAR.DC61D74561C5"/>
  <Relationship Id="rId103" Type="http://schemas.openxmlformats.org/officeDocument/2006/relationships/hyperlink" TargetMode="External" Target="https://www.e-tar.lt/portal/lt/legalAct/TAR.21897F4DD271"/>
  <Relationship Id="rId104" Type="http://schemas.openxmlformats.org/officeDocument/2006/relationships/header" Target="header128.xml"/>
  <Relationship Id="rId105" Type="http://schemas.openxmlformats.org/officeDocument/2006/relationships/header" Target="header129.xml"/>
  <Relationship Id="rId106" Type="http://schemas.openxmlformats.org/officeDocument/2006/relationships/header" Target="header130.xml"/>
  <Relationship Id="rId107" Type="http://schemas.openxmlformats.org/officeDocument/2006/relationships/header" Target="header131.xml"/>
  <Relationship Id="rId108" Type="http://schemas.openxmlformats.org/officeDocument/2006/relationships/customXml" Target="../customXml/item1.xml"/>
  <Relationship Id="rId11" Type="http://schemas.openxmlformats.org/officeDocument/2006/relationships/hyperlink" TargetMode="External" Target="https://www.e-tar.lt/portal/lt/legalAct/TAR.95C79D036AA4"/>
  <Relationship Id="rId12" Type="http://schemas.openxmlformats.org/officeDocument/2006/relationships/hyperlink" TargetMode="External" Target="https://www.e-tar.lt/portal/lt/legalAct/TAR.E2B2957B9182"/>
  <Relationship Id="rId13" Type="http://schemas.openxmlformats.org/officeDocument/2006/relationships/hyperlink" TargetMode="External" Target="https://www.e-tar.lt/portal/lt/legalAct/TAR.E964CE7A637A"/>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52.xml"/>
  <Relationship Id="rId23" Type="http://schemas.openxmlformats.org/officeDocument/2006/relationships/header" Target="header53.xml"/>
  <Relationship Id="rId24" Type="http://schemas.openxmlformats.org/officeDocument/2006/relationships/footer" Target="footer52.xml"/>
  <Relationship Id="rId25" Type="http://schemas.openxmlformats.org/officeDocument/2006/relationships/footer" Target="footer53.xml"/>
  <Relationship Id="rId26" Type="http://schemas.openxmlformats.org/officeDocument/2006/relationships/header" Target="header54.xml"/>
  <Relationship Id="rId27" Type="http://schemas.openxmlformats.org/officeDocument/2006/relationships/footer" Target="footer54.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67.xml"/>
  <Relationship Id="rId35" Type="http://schemas.openxmlformats.org/officeDocument/2006/relationships/header" Target="header68.xml"/>
  <Relationship Id="rId36" Type="http://schemas.openxmlformats.org/officeDocument/2006/relationships/footer" Target="footer67.xml"/>
  <Relationship Id="rId37" Type="http://schemas.openxmlformats.org/officeDocument/2006/relationships/footer" Target="footer68.xml"/>
  <Relationship Id="rId38" Type="http://schemas.openxmlformats.org/officeDocument/2006/relationships/header" Target="header69.xml"/>
  <Relationship Id="rId39" Type="http://schemas.openxmlformats.org/officeDocument/2006/relationships/footer" Target="footer69.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94.xml"/>
  <Relationship Id="rId43" Type="http://schemas.openxmlformats.org/officeDocument/2006/relationships/header" Target="header95.xml"/>
  <Relationship Id="rId44" Type="http://schemas.openxmlformats.org/officeDocument/2006/relationships/footer" Target="footer94.xml"/>
  <Relationship Id="rId45" Type="http://schemas.openxmlformats.org/officeDocument/2006/relationships/footer" Target="footer95.xml"/>
  <Relationship Id="rId46" Type="http://schemas.openxmlformats.org/officeDocument/2006/relationships/header" Target="header96.xml"/>
  <Relationship Id="rId47" Type="http://schemas.openxmlformats.org/officeDocument/2006/relationships/footer" Target="footer96.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yperlink" TargetMode="External" Target="https://www.e-tar.lt/portal/lt/legalAct/TAR.501193BA5D7C"/>
  <Relationship Id="rId53" Type="http://schemas.openxmlformats.org/officeDocument/2006/relationships/header" Target="header118.xml"/>
  <Relationship Id="rId54" Type="http://schemas.openxmlformats.org/officeDocument/2006/relationships/header" Target="header119.xml"/>
  <Relationship Id="rId55" Type="http://schemas.openxmlformats.org/officeDocument/2006/relationships/footer" Target="footer118.xml"/>
  <Relationship Id="rId56" Type="http://schemas.openxmlformats.org/officeDocument/2006/relationships/footer" Target="footer119.xml"/>
  <Relationship Id="rId57" Type="http://schemas.openxmlformats.org/officeDocument/2006/relationships/header" Target="header120.xml"/>
  <Relationship Id="rId58" Type="http://schemas.openxmlformats.org/officeDocument/2006/relationships/footer" Target="footer120.xml"/>
  <Relationship Id="rId59" Type="http://schemas.openxmlformats.org/officeDocument/2006/relationships/hyperlink" TargetMode="External" Target="http://www3.lrs.lt/cgi-bin/preps2?a=79699&amp;b="/>
  <Relationship Id="rId6" Type="http://schemas.microsoft.com/office/2007/relationships/stylesWithEffects" Target="stylesWithEffects.xml"/>
  <Relationship Id="rId60" Type="http://schemas.openxmlformats.org/officeDocument/2006/relationships/hyperlink" TargetMode="External" Target="https://www.e-tar.lt/portal/lt/legalAct/TAR.5DC1759E42CB"/>
  <Relationship Id="rId61" Type="http://schemas.openxmlformats.org/officeDocument/2006/relationships/hyperlink" TargetMode="External" Target="https://www.e-tar.lt/portal/lt/legalAct/TAR.8D97CD7E1857"/>
  <Relationship Id="rId62" Type="http://schemas.openxmlformats.org/officeDocument/2006/relationships/hyperlink" TargetMode="External" Target="https://www.e-tar.lt/portal/lt/legalAct/TAR.DC61D74561C5"/>
  <Relationship Id="rId63" Type="http://schemas.openxmlformats.org/officeDocument/2006/relationships/hyperlink" TargetMode="External" Target="https://www.e-tar.lt/portal/lt/legalAct/TAR.67B5099C5848"/>
  <Relationship Id="rId64" Type="http://schemas.openxmlformats.org/officeDocument/2006/relationships/hyperlink" TargetMode="External" Target="https://www.e-tar.lt/portal/lt/legalAct/TAR.78FAC7B20AD8"/>
  <Relationship Id="rId65" Type="http://schemas.openxmlformats.org/officeDocument/2006/relationships/hyperlink" TargetMode="External" Target="https://www.e-tar.lt/portal/lt/legalAct/TAR.C7A984833333"/>
  <Relationship Id="rId66" Type="http://schemas.openxmlformats.org/officeDocument/2006/relationships/hyperlink" TargetMode="External" Target="https://www.e-tar.lt/portal/lt/legalAct/TAR.33907EA7C2DC"/>
  <Relationship Id="rId67" Type="http://schemas.openxmlformats.org/officeDocument/2006/relationships/hyperlink" TargetMode="External" Target="https://www.e-tar.lt/portal/lt/legalAct/TAR.DC61D74561C5"/>
  <Relationship Id="rId68" Type="http://schemas.openxmlformats.org/officeDocument/2006/relationships/hyperlink" TargetMode="External" Target="https://www.e-tar.lt/portal/lt/legalAct/TAR.723F49D02CD8"/>
  <Relationship Id="rId69" Type="http://schemas.openxmlformats.org/officeDocument/2006/relationships/hyperlink" TargetMode="External" Target="https://www.e-tar.lt/portal/lt/legalAct/TAR.6A8A7A3BBCDC"/>
  <Relationship Id="rId7" Type="http://schemas.openxmlformats.org/officeDocument/2006/relationships/theme" Target="theme/theme1.xml"/>
  <Relationship Id="rId70" Type="http://schemas.openxmlformats.org/officeDocument/2006/relationships/hyperlink" TargetMode="External" Target="https://www.e-tar.lt/portal/lt/legalAct/TAR.F1D86F455636"/>
  <Relationship Id="rId71" Type="http://schemas.openxmlformats.org/officeDocument/2006/relationships/hyperlink" TargetMode="External" Target="https://www.e-tar.lt/portal/lt/legalAct/TAR.5E3842DF67F8"/>
  <Relationship Id="rId72" Type="http://schemas.openxmlformats.org/officeDocument/2006/relationships/hyperlink" TargetMode="External" Target="https://www.e-tar.lt/portal/lt/legalAct/TAR.668CEF058FF8"/>
  <Relationship Id="rId73" Type="http://schemas.openxmlformats.org/officeDocument/2006/relationships/hyperlink" TargetMode="External" Target="https://www.e-tar.lt/portal/lt/legalAct/TAR.DC61D74561C5"/>
  <Relationship Id="rId74" Type="http://schemas.openxmlformats.org/officeDocument/2006/relationships/hyperlink" TargetMode="External" Target="https://www.e-tar.lt/portal/lt/legalAct/TAR.C6E4170DB704"/>
  <Relationship Id="rId75" Type="http://schemas.openxmlformats.org/officeDocument/2006/relationships/hyperlink" TargetMode="External" Target="https://www.e-tar.lt/portal/lt/legalAct/TAR.668CEF058FF8"/>
  <Relationship Id="rId76" Type="http://schemas.openxmlformats.org/officeDocument/2006/relationships/header" Target="header124.xml"/>
  <Relationship Id="rId77" Type="http://schemas.openxmlformats.org/officeDocument/2006/relationships/footer" Target="footer124.xml"/>
  <Relationship Id="rId78" Type="http://schemas.openxmlformats.org/officeDocument/2006/relationships/hyperlink" TargetMode="External" Target="https://www.e-tar.lt/portal/lt/legalAct/TAR.1B50A305B56B"/>
  <Relationship Id="rId79" Type="http://schemas.openxmlformats.org/officeDocument/2006/relationships/hyperlink" TargetMode="External" Target="https://www.e-tar.lt/portal/lt/legalAct/TAR.A36A799DD928"/>
  <Relationship Id="rId8" Type="http://schemas.openxmlformats.org/officeDocument/2006/relationships/webSettings" Target="webSettings.xml"/>
  <Relationship Id="rId80" Type="http://schemas.openxmlformats.org/officeDocument/2006/relationships/hyperlink" TargetMode="External" Target="https://www.e-tar.lt/portal/lt/legalAct/TAR.7083DB116A2E"/>
  <Relationship Id="rId81" Type="http://schemas.openxmlformats.org/officeDocument/2006/relationships/hyperlink" TargetMode="External" Target="https://www.e-tar.lt/portal/lt/legalAct/TAR.6A8A7A3BBCDC"/>
  <Relationship Id="rId82" Type="http://schemas.openxmlformats.org/officeDocument/2006/relationships/hyperlink" TargetMode="External" Target="https://www.e-tar.lt/portal/lt/legalAct/TAR.F1D86F455636"/>
  <Relationship Id="rId83" Type="http://schemas.openxmlformats.org/officeDocument/2006/relationships/hyperlink" TargetMode="External" Target="https://www.e-tar.lt/portal/lt/legalAct/TAR.751B6F8BF451"/>
  <Relationship Id="rId84" Type="http://schemas.openxmlformats.org/officeDocument/2006/relationships/hyperlink" TargetMode="External" Target="https://www.e-tar.lt/portal/lt/legalAct/TAR.313208361D5D"/>
  <Relationship Id="rId85" Type="http://schemas.openxmlformats.org/officeDocument/2006/relationships/hyperlink" TargetMode="External" Target="https://www.e-tar.lt/portal/lt/legalAct/TAR.64EB889A3B24"/>
  <Relationship Id="rId86" Type="http://schemas.openxmlformats.org/officeDocument/2006/relationships/hyperlink" TargetMode="External" Target="https://www.e-tar.lt/portal/lt/legalAct/TAR.5ED52629C3C4"/>
  <Relationship Id="rId87" Type="http://schemas.openxmlformats.org/officeDocument/2006/relationships/hyperlink" TargetMode="External" Target="https://www.e-tar.lt/portal/lt/legalAct/TAR.0630DF325F2F"/>
  <Relationship Id="rId88" Type="http://schemas.openxmlformats.org/officeDocument/2006/relationships/hyperlink" TargetMode="External" Target="https://www.e-tar.lt/portal/lt/legalAct/TAR.A57CA999DD08"/>
  <Relationship Id="rId89" Type="http://schemas.openxmlformats.org/officeDocument/2006/relationships/hyperlink" TargetMode="External" Target="https://www.e-tar.lt/portal/lt/legalAct/TAR.668CEF058FF8"/>
  <Relationship Id="rId9" Type="http://schemas.openxmlformats.org/officeDocument/2006/relationships/image" Target="media/image3.wmf"/>
  <Relationship Id="rId90" Type="http://schemas.openxmlformats.org/officeDocument/2006/relationships/hyperlink" TargetMode="External" Target="https://www.e-tar.lt/portal/lt/legalAct/TAR.04551A50A76D"/>
  <Relationship Id="rId91" Type="http://schemas.openxmlformats.org/officeDocument/2006/relationships/hyperlink" TargetMode="External" Target="https://www.e-tar.lt/portal/lt/legalAct/TAR.C6E4170DB704"/>
  <Relationship Id="rId92" Type="http://schemas.openxmlformats.org/officeDocument/2006/relationships/hyperlink" TargetMode="External" Target="https://www.e-tar.lt/portal/lt/legalAct/TAR.DC61D74561C5"/>
  <Relationship Id="rId93" Type="http://schemas.openxmlformats.org/officeDocument/2006/relationships/hyperlink" TargetMode="External" Target="https://www.e-tar.lt/portal/lt/legalAct/TAR.DC61D74561C5"/>
  <Relationship Id="rId94" Type="http://schemas.openxmlformats.org/officeDocument/2006/relationships/hyperlink" TargetMode="External" Target="https://www.e-tar.lt/portal/lt/legalAct/TAR.9A2A80746DED"/>
  <Relationship Id="rId95" Type="http://schemas.openxmlformats.org/officeDocument/2006/relationships/hyperlink" TargetMode="External" Target="https://www.e-tar.lt/portal/lt/legalAct/TAR.F7E759DF5DFE"/>
  <Relationship Id="rId96" Type="http://schemas.openxmlformats.org/officeDocument/2006/relationships/hyperlink" TargetMode="External" Target="https://www.e-tar.lt/portal/lt/legalAct/TAR.DC61D74561C5"/>
  <Relationship Id="rId97" Type="http://schemas.openxmlformats.org/officeDocument/2006/relationships/hyperlink" TargetMode="External" Target="https://www.e-tar.lt/portal/lt/legalAct/TAR.9A2A80746DED"/>
  <Relationship Id="rId98" Type="http://schemas.openxmlformats.org/officeDocument/2006/relationships/hyperlink" TargetMode="External" Target="https://www.e-tar.lt/portal/lt/legalAct/TAR.F7E759DF5DFE"/>
  <Relationship Id="rId99" Type="http://schemas.openxmlformats.org/officeDocument/2006/relationships/hyperlink" TargetMode="External" Target="https://www.e-tar.lt/portal/lt/legalAct/TAR.C6E4170DB704"/>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2152ca4f3743421ab846c4b406da715c"/>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dfe1efc318ed46b08dc8d16e789adf53"/>
      <Part Type="punktas" Nr="1.16" Abbr="1.16 p." DocPartId="406e004c002143a2b4fbffe4e06bd120" PartId="02efe7ccf31f467eac654227aacf00b8"/>
      <Part Type="punktas" Nr="1.17" Abbr="1.17 p." DocPartId="ea257061e8eb45de84bf09145f549703" PartId="5d1d60a5b7a041d4b22777e500e3c49b"/>
      <Part Type="punktas" Nr="1.18" Abbr="1.18 p." DocPartId="b9228af3d6ca41daa00a4ac5a27da6b5" PartId="c57d7f3649454770b017265b15002ad0"/>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d2d583564dea4eb684c6cb8e3d034a43">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9464970cfcdc43bf8ae17564922964e7"/>
          <Part Type="punktas" Nr="1.13.2" Abbr="1 pr. 1.13.2 p." DocPartId="6896b45ded7341279549e8cf949a8f49" PartId="613449be2c2742ef8cb37e73de4a49dd"/>
          <Part Type="punktas" Nr="1.13.3" Abbr="1 pr. 1.13.3 p." DocPartId="edd66172f0584f1a99e8baf491389c9b" PartId="41bf8167eb4f490094a1a5ec5a884d51"/>
        </Part>
        <Part Type="punktas" Nr="1.14" Abbr="1 pr. 1.14 p." DocPartId="785aff93690e445b95838e97cddbdc07" PartId="8079f56c08e442f1b50d5cca6cdddf5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5.3 p." DocPartId="3051079954284fa5a96af68222df2073" PartId="dab8bea7d93841f5b738abc7242890dc"/>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9ea4f8be08ff4d4e9fc17871a760b419">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3412558061c34b8ca87db7dcd4cb54d2"/>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8cf7d2c35f0f4110ba60b571c5043f14"/>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Nr="1" Title="TRANSPORTO PRIEMONIŲ VAIRUOTOJŲ SVEIKATOS TIKRINIMO MASTAS IR PERIODIŠKUMAS" DocPartId="142b301bb7e84762a1200f94fc7218dd" PartId="814d8107bdc74ca1a7f10cdb3b9cf86c"/>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6aa85ea7bc1a4140b82f76c5a920e540">
    <Part Type="pastraipa" DocPartId="7b954aa134dd4611a9e75d9c40060a98" PartId="a19c252954b7499b8f8f6925f9124f4a"/>
    <Part Type="punktas" Nr="1" Abbr="1 p." DocPartId="1254632742e644e191695fc4c20945e2" PartId="b577f3413fa147cf96307a1d99631445"/>
    <Part Type="punktas" Nr="2" Abbr="2 p." DocPartId="e7f8b195045a4a1e8de067abfddb9378" PartId="b129c8b1863b4a1abaff689f3dcafbb0"/>
    <Part Type="punktas" Nr="3" Abbr="3 p." DocPartId="ca47ac30f39e46fd95b39bca86ce683c" PartId="804a45b4307c4e6ebe95f6e76648a0f6"/>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88957939666040ddb859e8049f66a047">
    <Part Type="pabaiga" DocPartId="d74d6fa8bd9b4b52adbb3dfb1bbbe19b" PartId="ddc1e9180ddb4060b864a17b3b2f4493"/>
  </Part>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56c44c63f12e42c08cbe4654bbd7e282"/>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b42ad0c95fd64828985df24c78037c99"/>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LICENCIJĄ GYDYTOJO VEIKLAI, SVEIKATOS TIKRINIMO TVARKA" DocPartId="da428097ad304c3b917c63a7b9cd59fe" PartId="58bc4e20ec714262af1d9022188bcb50"/>
  <Part Type="priedas" Nr="16" Abbr="16 pr." Title="ASMENŲ, NORINČIŲ BŪTI ADVOKATAIS, SVEIKATOS TIKRINIMO TVARKA" DocPartId="972d96aff5b140328c87cbb94e6d9132" PartId="b72b9025c68f4aeb819721035ef54046"/>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DocPartId="c84ba4b4f0764c449991f18e6019364e" PartId="73a6e9f1e10b4ea5acad1d08b71dfd1a">
    <Part Type="skyrius" Nr="1" Title="PROFILAKTINIŲ SVEIKATOS TIKRINIMŲ, UŽ KURIUOS MOKA PATS DARBUOTOJAS, DARBDAVYS AR KITI ASMENYS, KAINOS" DocPartId="161c22c08ecf44daa32ed2550d7153df" PartId="5b86aea1362a48ff8194d4d7c996adf0"/>
    <Part Type="skyrius" Nr="2" Title="PROFILAKTINIŲ SVEIKATOS TIKRINIMŲ, APMOKAMŲ IŠ PRIVALOMOJO SVEIKATOS DRAUDIMO FONDO BIUDŽETO, KAINOS" DocPartId="4c6f3dbd67e2452eb79027c8b6d83049" PartId="fc733df0a6ba498581408a313750b7a7"/>
  </Part>
</Parts>
</file>

<file path=customXml/itemProps1.xml><?xml version="1.0" encoding="utf-8"?>
<ds:datastoreItem xmlns:ds="http://schemas.openxmlformats.org/officeDocument/2006/customXml" ds:itemID="{7FDE26E2-5A4F-4A2C-8A8F-940F1C0FE5A7}">
  <ds:schemaRefs>
    <ds:schemaRef ds:uri="http://lrs.lt/TAIS/DocParts"/>
  </ds:schemaRefs>
</ds:datastoreItem>
</file>

<file path=docProps/app.xml><?xml version="1.0" encoding="utf-8"?>
<Properties xmlns="http://schemas.openxmlformats.org/officeDocument/2006/extended-properties">
  <Template>Normal.dotm</Template>
  <TotalTime>107</TotalTime>
  <Pages>228</Pages>
  <Words>291999</Words>
  <Characters>166440</Characters>
  <Application>Microsoft Office Word</Application>
  <DocSecurity>0</DocSecurity>
  <Lines>1387</Lines>
  <Paragraphs>915</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457524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2018-06-20T10:14:00Z</dcterms:modified>
  <revision>71</revision>
</coreProperties>
</file>