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2011-05-27 iki 2011-06-02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2152ca4f3743421ab846c4b406da715c"/>
                <w:lock w:val="sdtLocked"/>
                <w:richText/>
              </w:sdtPr>
              <w:sdtContent>
                <w:p>
                  <w:pPr>
                    <w:widowControl w:val="0"/>
                    <w:suppressAutoHyphens/>
                    <w:ind w:firstLine="709"/>
                    <w:jc w:val="both"/>
                    <w:rPr>
                      <w:color w:val="000000"/>
                    </w:rPr>
                  </w:pPr>
                  <w:sdt>
                    <w:sdtPr>
                      <w:alias w:val="Numeris"/>
                      <w:tag w:val="nr_2152ca4f3743421ab846c4b406da715c"/>
                      <w:lock w:val="sdtLocked"/>
                      <w:richText/>
                    </w:sdtPr>
                    <w:sdtContent>
                      <w:r>
                        <w:rPr>
                          <w:color w:val="000000"/>
                        </w:rPr>
                        <w:t>1.3</w:t>
                      </w:r>
                    </w:sdtContent>
                  </w:sdt>
                  <w:r>
                    <w:rPr>
                      <w:color w:val="000000"/>
                    </w:rPr>
                    <w:t>. Vaikų sveikatos tikrinimo tvarką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45298bba560a48ab939fbc7d606c550b"/>
                <w:lock w:val="sdtLocked"/>
                <w:richText/>
              </w:sdtPr>
              <w:sdtContent>
                <w:p>
                  <w:pPr>
                    <w:widowControl w:val="0"/>
                    <w:suppressAutoHyphens/>
                    <w:ind w:firstLine="709"/>
                    <w:jc w:val="both"/>
                    <w:rPr>
                      <w:color w:val="000000"/>
                    </w:rPr>
                  </w:pPr>
                  <w:sdt>
                    <w:sdtPr>
                      <w:alias w:val="Numeris"/>
                      <w:tag w:val="nr_45298bba560a48ab939fbc7d606c550b"/>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accbb68508ec4090a57e9593a46cc5a1"/>
                <w:lock w:val="sdtLocked"/>
                <w:richText/>
              </w:sdtPr>
              <w:sdtContent>
                <w:p>
                  <w:pPr>
                    <w:widowControl w:val="0"/>
                    <w:suppressAutoHyphens/>
                    <w:ind w:firstLine="709"/>
                    <w:jc w:val="both"/>
                    <w:rPr>
                      <w:color w:val="000000"/>
                    </w:rPr>
                  </w:pPr>
                  <w:sdt>
                    <w:sdtPr>
                      <w:alias w:val="Numeris"/>
                      <w:tag w:val="nr_accbb68508ec4090a57e9593a46cc5a1"/>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af61f55f8f3745df9d766f4e458d4346"/>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af61f55f8f3745df9d766f4e458d4346"/>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f61f55f8f3745df9d766f4e458d4346"/>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5.3 p."/>
                    <w:tag w:val="part_dab8bea7d93841f5b738abc7242890dc"/>
                    <w:lock w:val="sdtLocked"/>
                    <w:richText/>
                  </w:sdtPr>
                  <w:sdtContent>
                    <w:p>
                      <w:pPr>
                        <w:widowControl w:val="0"/>
                        <w:suppressAutoHyphens/>
                        <w:ind w:firstLine="709"/>
                        <w:jc w:val="both"/>
                        <w:rPr>
                          <w:color w:val="000000"/>
                        </w:rPr>
                      </w:pPr>
                      <w:sdt>
                        <w:sdtPr>
                          <w:alias w:val="Numeris"/>
                          <w:tag w:val="nr_dab8bea7d93841f5b738abc7242890dc"/>
                          <w:lock w:val="sdtLocked"/>
                          <w:richText/>
                        </w:sdtPr>
                        <w:sdtContent>
                          <w:r>
                            <w:rPr>
                              <w:color w:val="000000"/>
                            </w:rPr>
                            <w:t>5.3</w:t>
                          </w:r>
                        </w:sdtContent>
                      </w:sdt>
                      <w:r>
                        <w:rPr>
                          <w:color w:val="000000"/>
                        </w:rPr>
                        <w:t xml:space="preserve">. profilaktinių tikrinimų kainos, nurodytos Profilaktinių sveikatos tikrinimų kainų (18 priedas), patvirtintų Lietuvos Respublikos sveikatos apsaugos ministro 2000 m. gegužės 31 d. įsakymu Nr. 301 „Dėl profilaktinių sveikatos tikrinimų sveikatos priežiūros įstaigose“ (Žin., 2000, Nr. </w:t>
                      </w:r>
                      <w:hyperlink r:id="rId96" w:tgtFrame="_blank" w:history="1">
                        <w:r>
                          <w:rPr>
                            <w:color w:val="0000FF" w:themeColor="hyperlink"/>
                            <w:u w:val="single"/>
                          </w:rPr>
                          <w:t>47-1365</w:t>
                        </w:r>
                      </w:hyperlink>
                      <w:r>
                        <w:rPr>
                          <w:color w:val="000000"/>
                        </w:rPr>
                        <w:t xml:space="preserv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(Žin., 1999, Nr. </w:t>
                      </w:r>
                      <w:hyperlink r:id="rId97" w:tgtFrame="_blank" w:history="1">
                        <w:r>
                          <w:rPr>
                            <w:color w:val="0000FF" w:themeColor="hyperlink"/>
                            <w:u w:val="single"/>
                          </w:rPr>
                          <w:t>67-2175</w:t>
                        </w:r>
                      </w:hyperlink>
                      <w:r>
                        <w:rPr>
                          <w:color w:val="000000"/>
                        </w:rPr>
                        <w:t>), 2 punkte nustatyta tvarka apskaičiuotu koeficientu ir iš naujo tvirtinamos ministro įsakymu.</w:t>
                      </w:r>
                    </w:p>
                    <w:p>
                      <w:pPr>
                        <w:widowControl w:val="0"/>
                        <w:suppressAutoHyphens/>
                        <w:ind w:firstLine="709"/>
                        <w:jc w:val="both"/>
                        <w:rPr>
                          <w:color w:val="000000"/>
                        </w:rPr>
                      </w:pPr>
                      <w:r>
                        <w:rPr>
                          <w:color w:val="000000"/>
                        </w:rPr>
                        <w:t>Kainos gali būti indeksuojamos, kai koeficientas yra ne mažesnis kaip 1,2.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6a65812f199745a58e3302679ef31305"/>
        <w:lock w:val="sdtLocked"/>
        <w:richText/>
      </w:sdtPr>
      <w:sdtContent>
        <w:p>
          <w:pPr>
            <w:widowControl w:val="0"/>
            <w:shd w:val="clear" w:color="000000" w:fill="auto"/>
            <w:suppressAutoHyphens/>
            <w:jc w:val="both"/>
            <w:rPr>
              <w:color w:val="000000"/>
            </w:rPr>
          </w:pPr>
        </w:p>
        <w:p>
          <w:pPr>
            <w:widowControl w:val="0"/>
            <w:shd w:val="clear" w:color="000000" w:fill="auto"/>
            <w:suppressAutoHyphens/>
            <w:jc w:val="both"/>
            <w:rPr>
              <w:color w:val="000000"/>
            </w:rPr>
            <w:sectPr>
              <w:pgSz w:w="11907" w:h="16840" w:code="9"/>
              <w:pgMar w:top="1134" w:right="1134" w:bottom="1134" w:left="1701" w:header="709" w:footer="709" w:gutter="0"/>
              <w:pgNumType w:start="1"/>
              <w:cols w:space="708"/>
              <w:titlePg/>
              <w:docGrid w:linePitch="326"/>
            </w:sectPr>
          </w:pPr>
        </w:p>
        <w:p>
          <w:pPr>
            <w:shd w:val="clear" w:color="000000" w:fill="auto"/>
            <w:ind w:left="9100"/>
          </w:pPr>
          <w:r>
            <w:t>PATVIRTINTA</w:t>
          </w:r>
        </w:p>
        <w:p>
          <w:pPr>
            <w:shd w:val="clear" w:color="000000" w:fill="auto"/>
            <w:ind w:left="9100"/>
          </w:pPr>
          <w:r>
            <w:t xml:space="preserve">Lietuvos Respublikos sveikatos apsaugos ministro </w:t>
          </w:r>
        </w:p>
        <w:p>
          <w:pPr>
            <w:shd w:val="clear" w:color="000000" w:fill="auto"/>
            <w:ind w:left="9100"/>
          </w:pPr>
          <w:r>
            <w:t>2000 m. gegužės 31 d. įsakymu Nr. 301</w:t>
          </w:r>
        </w:p>
        <w:p>
          <w:pPr>
            <w:shd w:val="clear" w:color="000000" w:fill="auto"/>
            <w:ind w:left="9100"/>
          </w:pPr>
          <w:r>
            <w:t>(2010 m. birželio 18 d. įsakymo Nr. V-586 redakcija)</w:t>
          </w:r>
        </w:p>
        <w:p>
          <w:pPr>
            <w:shd w:val="clear" w:color="000000" w:fill="auto"/>
            <w:ind w:left="9100"/>
          </w:pPr>
          <w:r>
            <w:t>3 priedas</w:t>
          </w:r>
        </w:p>
        <w:sdt>
          <w:sdtPr>
            <w:alias w:val="Pavadinimas"/>
            <w:tag w:val="title_6a65812f199745a58e3302679ef31305"/>
            <w:lock w:val="sdtLocked"/>
            <w:richText/>
          </w:sdtPr>
          <w:sdtContent>
            <w:p>
              <w:pPr>
                <w:shd w:val="clear" w:color="000000" w:fill="auto"/>
              </w:pPr>
            </w:p>
            <w:p>
              <w:pPr>
                <w:shd w:val="clear" w:color="000000" w:fill="auto"/>
                <w:tabs>
                  <w:tab w:val="left" w:pos="945"/>
                  <w:tab w:val="center" w:pos="6979"/>
                </w:tabs>
                <w:jc w:val="center"/>
                <w:rPr>
                  <w:b/>
                </w:rPr>
              </w:pPr>
              <w:r>
                <w:rPr>
                  <w:b/>
                </w:rPr>
                <w:t>VAIKŲ SVEIKATOS TIKRINIMO TVARKA</w:t>
              </w:r>
            </w:p>
          </w:sdtContent>
        </w:sdt>
        <w:p>
          <w:pPr>
            <w:shd w:val="clear" w:color="000000" w:fill="auto"/>
            <w:tabs>
              <w:tab w:val="left" w:pos="945"/>
              <w:tab w:val="center" w:pos="6979"/>
            </w:tabs>
            <w:rPr>
              <w:b/>
              <w:caps/>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53"/>
            <w:gridCol w:w="1093"/>
            <w:gridCol w:w="1633"/>
            <w:gridCol w:w="2310"/>
            <w:gridCol w:w="4337"/>
            <w:gridCol w:w="1633"/>
            <w:gridCol w:w="1498"/>
            <w:gridCol w:w="1633"/>
            <w:gridCol w:w="52"/>
          </w:tblGrid>
          <w:tr>
            <w:trPr>
              <w:trHeight w:val="20"/>
              <w:tblHeader/>
            </w:trPr>
            <w:tc>
              <w:tcPr>
                <w:tcW w:w="554" w:type="dxa"/>
                <w:vMerge w:val="restart"/>
                <w:vAlign w:val="center"/>
              </w:tcPr>
              <w:p>
                <w:pPr>
                  <w:shd w:val="clear" w:color="000000" w:fill="auto"/>
                  <w:rPr>
                    <w:sz w:val="22"/>
                    <w:szCs w:val="22"/>
                  </w:rPr>
                </w:pPr>
                <w:r>
                  <w:rPr>
                    <w:sz w:val="22"/>
                    <w:szCs w:val="22"/>
                  </w:rPr>
                  <w:t>Eil. Nr.</w:t>
                </w:r>
              </w:p>
            </w:tc>
            <w:tc>
              <w:tcPr>
                <w:tcW w:w="1096" w:type="dxa"/>
                <w:vMerge w:val="restart"/>
                <w:shd w:val="clear" w:color="auto" w:fill="auto"/>
                <w:vAlign w:val="center"/>
              </w:tcPr>
              <w:p>
                <w:pPr>
                  <w:shd w:val="clear" w:color="000000" w:fill="auto"/>
                  <w:rPr>
                    <w:sz w:val="22"/>
                    <w:szCs w:val="22"/>
                  </w:rPr>
                </w:pPr>
                <w:r>
                  <w:rPr>
                    <w:sz w:val="22"/>
                    <w:szCs w:val="22"/>
                  </w:rPr>
                  <w:t>Amžius</w:t>
                </w:r>
              </w:p>
            </w:tc>
            <w:tc>
              <w:tcPr>
                <w:tcW w:w="8311" w:type="dxa"/>
                <w:gridSpan w:val="3"/>
                <w:vAlign w:val="center"/>
              </w:tcPr>
              <w:p>
                <w:pPr>
                  <w:shd w:val="clear" w:color="000000" w:fill="auto"/>
                  <w:rPr>
                    <w:sz w:val="22"/>
                    <w:szCs w:val="22"/>
                  </w:rPr>
                </w:pPr>
                <w:r>
                  <w:rPr>
                    <w:sz w:val="22"/>
                    <w:szCs w:val="22"/>
                  </w:rPr>
                  <w:t>Sveikatos priežiūra</w:t>
                </w:r>
              </w:p>
            </w:tc>
            <w:tc>
              <w:tcPr>
                <w:tcW w:w="4781" w:type="dxa"/>
                <w:gridSpan w:val="4"/>
                <w:tcBorders>
                  <w:right w:val="single" w:sz="4" w:space="0" w:color="auto"/>
                </w:tcBorders>
                <w:vAlign w:val="center"/>
              </w:tcPr>
              <w:p>
                <w:pPr>
                  <w:shd w:val="clear" w:color="000000" w:fill="auto"/>
                  <w:rPr>
                    <w:sz w:val="22"/>
                    <w:szCs w:val="22"/>
                  </w:rPr>
                </w:pPr>
                <w:r>
                  <w:rPr>
                    <w:sz w:val="22"/>
                    <w:szCs w:val="22"/>
                  </w:rPr>
                  <w:t>Profilaktinis sveikatos tikrinimas</w:t>
                </w:r>
              </w:p>
            </w:tc>
          </w:tr>
          <w:tr>
            <w:trPr>
              <w:trHeight w:val="20"/>
              <w:tblHeader/>
            </w:trPr>
            <w:tc>
              <w:tcPr>
                <w:tcW w:w="554" w:type="dxa"/>
                <w:vMerge/>
                <w:vAlign w:val="center"/>
              </w:tcPr>
              <w:p>
                <w:pPr>
                  <w:shd w:val="clear" w:color="000000" w:fill="auto"/>
                  <w:rPr>
                    <w:sz w:val="22"/>
                    <w:szCs w:val="22"/>
                  </w:rPr>
                </w:pPr>
              </w:p>
            </w:tc>
            <w:tc>
              <w:tcPr>
                <w:tcW w:w="1096" w:type="dxa"/>
                <w:vMerge/>
                <w:shd w:val="clear" w:color="auto" w:fill="auto"/>
                <w:vAlign w:val="center"/>
              </w:tcPr>
              <w:p>
                <w:pPr>
                  <w:shd w:val="clear" w:color="000000" w:fill="auto"/>
                  <w:rPr>
                    <w:sz w:val="22"/>
                    <w:szCs w:val="22"/>
                  </w:rPr>
                </w:pPr>
              </w:p>
            </w:tc>
            <w:tc>
              <w:tcPr>
                <w:tcW w:w="1639" w:type="dxa"/>
                <w:vAlign w:val="center"/>
              </w:tcPr>
              <w:p>
                <w:pPr>
                  <w:shd w:val="clear" w:color="000000" w:fill="auto"/>
                  <w:rPr>
                    <w:sz w:val="22"/>
                    <w:szCs w:val="22"/>
                  </w:rPr>
                </w:pPr>
                <w:r>
                  <w:rPr>
                    <w:sz w:val="22"/>
                    <w:szCs w:val="22"/>
                  </w:rPr>
                  <w:t>Periodiškumas</w:t>
                </w:r>
              </w:p>
            </w:tc>
            <w:tc>
              <w:tcPr>
                <w:tcW w:w="2318" w:type="dxa"/>
                <w:vAlign w:val="center"/>
              </w:tcPr>
              <w:p>
                <w:pPr>
                  <w:shd w:val="clear" w:color="000000" w:fill="auto"/>
                  <w:rPr>
                    <w:sz w:val="22"/>
                    <w:szCs w:val="22"/>
                  </w:rPr>
                </w:pPr>
                <w:r>
                  <w:rPr>
                    <w:sz w:val="22"/>
                    <w:szCs w:val="22"/>
                  </w:rPr>
                  <w:t>Specialistai</w:t>
                </w:r>
              </w:p>
            </w:tc>
            <w:tc>
              <w:tcPr>
                <w:tcW w:w="4354" w:type="dxa"/>
                <w:vAlign w:val="center"/>
              </w:tcPr>
              <w:p>
                <w:pPr>
                  <w:shd w:val="clear" w:color="000000" w:fill="auto"/>
                  <w:rPr>
                    <w:sz w:val="22"/>
                    <w:szCs w:val="22"/>
                  </w:rPr>
                </w:pPr>
                <w:r>
                  <w:rPr>
                    <w:sz w:val="22"/>
                    <w:szCs w:val="22"/>
                  </w:rPr>
                  <w:t>Privalomieji veiksmai ir būtini tyrimai</w:t>
                </w:r>
              </w:p>
            </w:tc>
            <w:tc>
              <w:tcPr>
                <w:tcW w:w="1639" w:type="dxa"/>
                <w:vAlign w:val="center"/>
              </w:tcPr>
              <w:p>
                <w:pPr>
                  <w:shd w:val="clear" w:color="000000" w:fill="auto"/>
                  <w:rPr>
                    <w:sz w:val="22"/>
                    <w:szCs w:val="22"/>
                  </w:rPr>
                </w:pPr>
                <w:r>
                  <w:rPr>
                    <w:sz w:val="22"/>
                    <w:szCs w:val="22"/>
                  </w:rPr>
                  <w:t>Periodiškumas</w:t>
                </w:r>
              </w:p>
            </w:tc>
            <w:tc>
              <w:tcPr>
                <w:tcW w:w="1503" w:type="dxa"/>
                <w:vAlign w:val="center"/>
              </w:tcPr>
              <w:p>
                <w:pPr>
                  <w:shd w:val="clear" w:color="000000" w:fill="auto"/>
                  <w:rPr>
                    <w:sz w:val="22"/>
                    <w:szCs w:val="22"/>
                  </w:rPr>
                </w:pPr>
                <w:r>
                  <w:rPr>
                    <w:sz w:val="22"/>
                    <w:szCs w:val="22"/>
                  </w:rPr>
                  <w:t>Specialistai</w:t>
                </w:r>
              </w:p>
            </w:tc>
            <w:tc>
              <w:tcPr>
                <w:tcW w:w="1639" w:type="dxa"/>
                <w:gridSpan w:val="2"/>
                <w:vAlign w:val="center"/>
              </w:tcPr>
              <w:p>
                <w:pPr>
                  <w:shd w:val="clear" w:color="000000" w:fill="auto"/>
                  <w:rPr>
                    <w:sz w:val="22"/>
                    <w:szCs w:val="22"/>
                  </w:rPr>
                </w:pPr>
                <w:r>
                  <w:rPr>
                    <w:sz w:val="22"/>
                    <w:szCs w:val="22"/>
                  </w:rPr>
                  <w:t>Privalomieji veiksmai</w:t>
                </w:r>
              </w:p>
            </w:tc>
          </w:tr>
          <w:tr>
            <w:trPr>
              <w:trHeight w:val="20"/>
            </w:trPr>
            <w:tc>
              <w:tcPr>
                <w:tcW w:w="554" w:type="dxa"/>
                <w:vMerge w:val="restart"/>
              </w:tcPr>
              <w:p>
                <w:pPr>
                  <w:shd w:val="clear" w:color="000000" w:fill="auto"/>
                  <w:rPr>
                    <w:sz w:val="22"/>
                    <w:szCs w:val="22"/>
                  </w:rPr>
                </w:pPr>
                <w:r>
                  <w:rPr>
                    <w:sz w:val="22"/>
                    <w:szCs w:val="22"/>
                  </w:rPr>
                  <w:t>1.</w:t>
                </w:r>
              </w:p>
            </w:tc>
            <w:tc>
              <w:tcPr>
                <w:tcW w:w="1096" w:type="dxa"/>
                <w:vMerge w:val="restart"/>
              </w:tcPr>
              <w:p>
                <w:pPr>
                  <w:shd w:val="clear" w:color="000000" w:fill="auto"/>
                  <w:rPr>
                    <w:sz w:val="22"/>
                    <w:szCs w:val="22"/>
                  </w:rPr>
                </w:pPr>
                <w:r>
                  <w:rPr>
                    <w:sz w:val="22"/>
                    <w:szCs w:val="22"/>
                  </w:rPr>
                  <w:t>Iki 1 mėn.</w:t>
                </w:r>
              </w:p>
            </w:tc>
            <w:tc>
              <w:tcPr>
                <w:tcW w:w="1639" w:type="dxa"/>
              </w:tcPr>
              <w:p>
                <w:pPr>
                  <w:shd w:val="clear" w:color="000000" w:fill="auto"/>
                  <w:rPr>
                    <w:sz w:val="22"/>
                    <w:szCs w:val="22"/>
                  </w:rPr>
                </w:pPr>
                <w:r>
                  <w:rPr>
                    <w:sz w:val="22"/>
                    <w:szCs w:val="22"/>
                  </w:rPr>
                  <w:t>1 kartą</w:t>
                </w:r>
              </w:p>
            </w:tc>
            <w:tc>
              <w:tcPr>
                <w:tcW w:w="2318" w:type="dxa"/>
              </w:tcPr>
              <w:p>
                <w:pPr>
                  <w:shd w:val="clear" w:color="000000" w:fill="auto"/>
                  <w:rPr>
                    <w:sz w:val="22"/>
                    <w:szCs w:val="22"/>
                  </w:rPr>
                </w:pPr>
                <w:r>
                  <w:rPr>
                    <w:sz w:val="22"/>
                    <w:szCs w:val="22"/>
                  </w:rPr>
                  <w:t>Slaugytojas, akušeris arba gydytojas</w:t>
                </w:r>
              </w:p>
            </w:tc>
            <w:tc>
              <w:tcPr>
                <w:tcW w:w="4354" w:type="dxa"/>
                <w:tcBorders>
                  <w:bottom w:val="single" w:sz="4" w:space="0" w:color="auto"/>
                </w:tcBorders>
              </w:tcPr>
              <w:p>
                <w:pPr>
                  <w:shd w:val="clear" w:color="000000" w:fill="auto"/>
                  <w:rPr>
                    <w:sz w:val="22"/>
                    <w:szCs w:val="22"/>
                  </w:rPr>
                </w:pPr>
                <w:r>
                  <w:rPr>
                    <w:sz w:val="22"/>
                    <w:szCs w:val="22"/>
                  </w:rPr>
                  <w:t xml:space="preserve">Aplankyti ir apžiūrėti naujagimį namuose per 3 darbo dienas nuo išvykimo iš akušerijos stacionaro. </w:t>
                </w:r>
              </w:p>
              <w:p>
                <w:pPr>
                  <w:shd w:val="clear" w:color="000000" w:fill="auto"/>
                  <w:rPr>
                    <w:sz w:val="22"/>
                    <w:szCs w:val="22"/>
                  </w:rPr>
                </w:pPr>
                <w:r>
                  <w:rPr>
                    <w:sz w:val="22"/>
                    <w:szCs w:val="22"/>
                  </w:rPr>
                  <w:t xml:space="preserve">Įvertinti šeimos socialinį, psichologinį pasirengimą. </w:t>
                </w:r>
              </w:p>
              <w:p>
                <w:pPr>
                  <w:shd w:val="clear" w:color="000000" w:fill="auto"/>
                  <w:rPr>
                    <w:sz w:val="22"/>
                    <w:szCs w:val="22"/>
                  </w:rPr>
                </w:pPr>
                <w:r>
                  <w:rPr>
                    <w:sz w:val="22"/>
                    <w:szCs w:val="22"/>
                  </w:rPr>
                  <w:t xml:space="preserve">Patarti tėvams naujagimio priežiūros, mitybos, higienos klausimais. </w:t>
                </w:r>
              </w:p>
              <w:p>
                <w:pPr>
                  <w:shd w:val="clear" w:color="000000" w:fill="auto"/>
                  <w:rPr>
                    <w:sz w:val="22"/>
                    <w:szCs w:val="22"/>
                  </w:rPr>
                </w:pPr>
                <w:r>
                  <w:rPr>
                    <w:sz w:val="22"/>
                    <w:szCs w:val="22"/>
                  </w:rPr>
                  <w:t xml:space="preserve">Informuoti tėvus apie prisiregistravimo prie pirminės asmens sveikatos priežiūros įstaigos (toliau – PASPĮ) tvarką. </w:t>
                </w:r>
              </w:p>
              <w:p>
                <w:pPr>
                  <w:shd w:val="clear" w:color="000000" w:fill="auto"/>
                  <w:rPr>
                    <w:sz w:val="22"/>
                    <w:szCs w:val="22"/>
                  </w:rPr>
                </w:pPr>
                <w:r>
                  <w:rPr>
                    <w:sz w:val="22"/>
                    <w:szCs w:val="22"/>
                  </w:rPr>
                  <w:t>Prireikus informuoti socialinį darbuotoją.</w:t>
                </w:r>
              </w:p>
            </w:tc>
            <w:tc>
              <w:tcPr>
                <w:tcW w:w="1639" w:type="dxa"/>
                <w:vMerge w:val="restart"/>
              </w:tcPr>
              <w:p>
                <w:pPr>
                  <w:shd w:val="clear" w:color="000000" w:fill="auto"/>
                  <w:rPr>
                    <w:sz w:val="22"/>
                    <w:szCs w:val="22"/>
                  </w:rPr>
                </w:pPr>
                <w:r>
                  <w:rPr>
                    <w:sz w:val="22"/>
                    <w:szCs w:val="22"/>
                  </w:rPr>
                  <w:t>1 kartą</w:t>
                </w:r>
              </w:p>
            </w:tc>
            <w:tc>
              <w:tcPr>
                <w:tcW w:w="1503" w:type="dxa"/>
                <w:vMerge w:val="restart"/>
              </w:tcPr>
              <w:p>
                <w:pPr>
                  <w:shd w:val="clear" w:color="000000" w:fill="auto"/>
                  <w:rPr>
                    <w:sz w:val="22"/>
                    <w:szCs w:val="22"/>
                  </w:rPr>
                </w:pPr>
                <w:r>
                  <w:rPr>
                    <w:sz w:val="22"/>
                    <w:szCs w:val="22"/>
                  </w:rPr>
                  <w:t>Oftalmologas, jeigu rizikos grupės vaikas nebuvo apžiūrėtas akušerijos stacionare.</w:t>
                </w:r>
              </w:p>
            </w:tc>
            <w:tc>
              <w:tcPr>
                <w:tcW w:w="1639" w:type="dxa"/>
                <w:gridSpan w:val="2"/>
                <w:vMerge w:val="restart"/>
              </w:tcPr>
              <w:p>
                <w:pPr>
                  <w:shd w:val="clear" w:color="000000" w:fill="auto"/>
                  <w:rPr>
                    <w:sz w:val="22"/>
                    <w:szCs w:val="22"/>
                  </w:rPr>
                </w:pPr>
                <w:r>
                  <w:rPr>
                    <w:sz w:val="22"/>
                    <w:szCs w:val="22"/>
                  </w:rPr>
                  <w:t>Apžiūrėti rizikos grupės vaiką.</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1–2 kartus per mėnesį</w:t>
                </w:r>
              </w:p>
            </w:tc>
            <w:tc>
              <w:tcPr>
                <w:tcW w:w="2318" w:type="dxa"/>
              </w:tcPr>
              <w:p>
                <w:pPr>
                  <w:shd w:val="clear" w:color="000000" w:fill="auto"/>
                  <w:rPr>
                    <w:sz w:val="22"/>
                    <w:szCs w:val="22"/>
                  </w:rPr>
                </w:pPr>
                <w:r>
                  <w:rPr>
                    <w:sz w:val="22"/>
                    <w:szCs w:val="22"/>
                  </w:rPr>
                  <w:t>Šeimos gydytojas</w:t>
                </w:r>
              </w:p>
              <w:p>
                <w:pPr>
                  <w:shd w:val="clear" w:color="000000" w:fill="auto"/>
                  <w:rPr>
                    <w:sz w:val="22"/>
                    <w:szCs w:val="22"/>
                  </w:rPr>
                </w:pPr>
                <w:r>
                  <w:rPr>
                    <w:sz w:val="22"/>
                    <w:szCs w:val="22"/>
                  </w:rPr>
                  <w:t>arba pirminės asmens sveikatos priežiūros komandos (toliau – PASP komanda) vaikų ligų gydytojas</w:t>
                </w:r>
              </w:p>
            </w:tc>
            <w:tc>
              <w:tcPr>
                <w:tcW w:w="4354" w:type="dxa"/>
                <w:tcBorders>
                  <w:bottom w:val="single" w:sz="4" w:space="0" w:color="auto"/>
                </w:tcBorders>
              </w:tcPr>
              <w:p>
                <w:pPr>
                  <w:shd w:val="clear" w:color="000000" w:fill="auto"/>
                  <w:rPr>
                    <w:sz w:val="22"/>
                    <w:szCs w:val="22"/>
                  </w:rPr>
                </w:pPr>
                <w:r>
                  <w:rPr>
                    <w:sz w:val="22"/>
                    <w:szCs w:val="22"/>
                  </w:rPr>
                  <w:t xml:space="preserve">Vaikui apsilankius PASPĮ, įvertinti jo sveikatos būklę, klausą. </w:t>
                </w:r>
              </w:p>
              <w:p>
                <w:pPr>
                  <w:shd w:val="clear" w:color="000000" w:fill="auto"/>
                  <w:rPr>
                    <w:sz w:val="22"/>
                    <w:szCs w:val="22"/>
                  </w:rPr>
                </w:pPr>
                <w:r>
                  <w:rPr>
                    <w:sz w:val="22"/>
                    <w:szCs w:val="22"/>
                  </w:rPr>
                  <w:t>1 mėn. amžiaus, jeigu vaikas gimė neišnešiotas, po ABO ar Rh konflikto, įgimtos infekcijos, atlikti kraujo ir šlapimo tyrimus.</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1–2 kartus per mėnesį</w:t>
                </w:r>
              </w:p>
            </w:tc>
            <w:tc>
              <w:tcPr>
                <w:tcW w:w="2318" w:type="dxa"/>
              </w:tcPr>
              <w:p>
                <w:pPr>
                  <w:shd w:val="clear" w:color="000000" w:fill="auto"/>
                  <w:rPr>
                    <w:sz w:val="22"/>
                    <w:szCs w:val="22"/>
                  </w:rPr>
                </w:pPr>
                <w:r>
                  <w:rPr>
                    <w:sz w:val="22"/>
                    <w:szCs w:val="22"/>
                  </w:rPr>
                  <w:t>Slaugytojas arba akušeris</w:t>
                </w:r>
              </w:p>
            </w:tc>
            <w:tc>
              <w:tcPr>
                <w:tcW w:w="4354" w:type="dxa"/>
                <w:tcBorders>
                  <w:bottom w:val="single" w:sz="4" w:space="0" w:color="auto"/>
                </w:tcBorders>
              </w:tcPr>
              <w:p>
                <w:pPr>
                  <w:shd w:val="clear" w:color="000000" w:fill="auto"/>
                  <w:rPr>
                    <w:sz w:val="22"/>
                    <w:szCs w:val="22"/>
                  </w:rPr>
                </w:pPr>
                <w:r>
                  <w:rPr>
                    <w:sz w:val="22"/>
                    <w:szCs w:val="22"/>
                  </w:rPr>
                  <w:t xml:space="preserve">Įvertinti naujagimio priežiūros kokybę, šeimos sanitarinį higieninį pasirengimą. Informuoti tėvus apie ligų ir traumų, nudegimų ir smurto profilaktiką, imunoprofilaktiką.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2.</w:t>
                </w:r>
              </w:p>
            </w:tc>
            <w:tc>
              <w:tcPr>
                <w:tcW w:w="1096" w:type="dxa"/>
                <w:vMerge w:val="restart"/>
              </w:tcPr>
              <w:p>
                <w:pPr>
                  <w:shd w:val="clear" w:color="000000" w:fill="auto"/>
                  <w:rPr>
                    <w:sz w:val="22"/>
                    <w:szCs w:val="22"/>
                  </w:rPr>
                </w:pPr>
                <w:r>
                  <w:rPr>
                    <w:sz w:val="22"/>
                    <w:szCs w:val="22"/>
                  </w:rPr>
                  <w:t>1–6 mėn.</w:t>
                </w:r>
              </w:p>
            </w:tc>
            <w:tc>
              <w:tcPr>
                <w:tcW w:w="1639" w:type="dxa"/>
                <w:tcBorders>
                  <w:bottom w:val="nil"/>
                </w:tcBorders>
              </w:tcPr>
              <w:p>
                <w:pPr>
                  <w:shd w:val="clear" w:color="000000" w:fill="auto"/>
                  <w:rPr>
                    <w:sz w:val="22"/>
                    <w:szCs w:val="22"/>
                  </w:rPr>
                </w:pPr>
                <w:r>
                  <w:rPr>
                    <w:sz w:val="22"/>
                    <w:szCs w:val="22"/>
                  </w:rPr>
                  <w:t>1 kartą per mėnesį</w:t>
                </w:r>
              </w:p>
            </w:tc>
            <w:tc>
              <w:tcPr>
                <w:tcW w:w="2318" w:type="dxa"/>
                <w:tcBorders>
                  <w:bottom w:val="nil"/>
                </w:tcBorders>
              </w:tcPr>
              <w:p>
                <w:pPr>
                  <w:shd w:val="clear" w:color="000000" w:fill="auto"/>
                  <w:rPr>
                    <w:sz w:val="22"/>
                    <w:szCs w:val="22"/>
                  </w:rPr>
                </w:pPr>
                <w:r>
                  <w:rPr>
                    <w:sz w:val="22"/>
                    <w:szCs w:val="22"/>
                  </w:rPr>
                  <w:t>Šeimos gydytojas</w:t>
                </w:r>
              </w:p>
              <w:p>
                <w:pPr>
                  <w:shd w:val="clear" w:color="000000" w:fill="auto"/>
                  <w:rPr>
                    <w:sz w:val="22"/>
                    <w:szCs w:val="22"/>
                  </w:rPr>
                </w:pPr>
                <w:r>
                  <w:rPr>
                    <w:sz w:val="22"/>
                    <w:szCs w:val="22"/>
                  </w:rPr>
                  <w:t>arba PASP komandos vaikų ligų gydytojas</w:t>
                </w:r>
              </w:p>
            </w:tc>
            <w:tc>
              <w:tcPr>
                <w:tcW w:w="4354" w:type="dxa"/>
                <w:tcBorders>
                  <w:bottom w:val="nil"/>
                </w:tcBorders>
              </w:tcPr>
              <w:p>
                <w:pPr>
                  <w:shd w:val="clear" w:color="000000" w:fill="auto"/>
                  <w:rPr>
                    <w:sz w:val="22"/>
                    <w:szCs w:val="22"/>
                  </w:rPr>
                </w:pPr>
                <w:r>
                  <w:rPr>
                    <w:sz w:val="22"/>
                    <w:szCs w:val="22"/>
                  </w:rPr>
                  <w:t xml:space="preserve">1. Kiekvieno apsilankymo metu įvertinti vaiko sveikatos būklę. </w:t>
                </w:r>
              </w:p>
            </w:tc>
            <w:tc>
              <w:tcPr>
                <w:tcW w:w="1639" w:type="dxa"/>
                <w:vMerge w:val="restart"/>
              </w:tcPr>
              <w:p>
                <w:pPr>
                  <w:shd w:val="clear" w:color="000000" w:fill="auto"/>
                  <w:rPr>
                    <w:sz w:val="22"/>
                    <w:szCs w:val="22"/>
                  </w:rPr>
                </w:pPr>
                <w:r>
                  <w:rPr>
                    <w:sz w:val="22"/>
                    <w:szCs w:val="22"/>
                  </w:rPr>
                  <w:t>1–3 mėn. amžiaus 1 kartą</w:t>
                </w:r>
              </w:p>
            </w:tc>
            <w:tc>
              <w:tcPr>
                <w:tcW w:w="1503" w:type="dxa"/>
                <w:vMerge w:val="restart"/>
              </w:tcPr>
              <w:p>
                <w:pPr>
                  <w:shd w:val="clear" w:color="000000" w:fill="auto"/>
                  <w:rPr>
                    <w:sz w:val="22"/>
                    <w:szCs w:val="22"/>
                  </w:rPr>
                </w:pPr>
                <w:r>
                  <w:rPr>
                    <w:sz w:val="22"/>
                    <w:szCs w:val="22"/>
                  </w:rPr>
                  <w:t>Vaikų ligų gydytojas</w:t>
                </w:r>
              </w:p>
            </w:tc>
            <w:tc>
              <w:tcPr>
                <w:tcW w:w="1639" w:type="dxa"/>
                <w:gridSpan w:val="2"/>
                <w:vMerge w:val="restart"/>
              </w:tcPr>
              <w:p>
                <w:pPr>
                  <w:shd w:val="clear" w:color="000000" w:fill="auto"/>
                  <w:rPr>
                    <w:sz w:val="22"/>
                    <w:szCs w:val="22"/>
                  </w:rPr>
                </w:pPr>
                <w:r>
                  <w:rPr>
                    <w:sz w:val="22"/>
                    <w:szCs w:val="22"/>
                  </w:rPr>
                  <w:t xml:space="preserve">Nustatyti ir įvertinti rizikos veiksnius. </w:t>
                </w:r>
              </w:p>
              <w:p>
                <w:pPr>
                  <w:shd w:val="clear" w:color="000000" w:fill="auto"/>
                  <w:rPr>
                    <w:sz w:val="22"/>
                    <w:szCs w:val="22"/>
                  </w:rPr>
                </w:pPr>
                <w:r>
                  <w:rPr>
                    <w:sz w:val="22"/>
                    <w:szCs w:val="22"/>
                  </w:rPr>
                  <w:t>Esant indikacijų, paskirti kitų gydytojų specialistų profilaktinius patikrinimus.</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 xml:space="preserve">2. 5–6 mėn. amžiaus atlikti: </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mėnesį</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Koreguoti kūdikio aplinkos ir priežiūros higieną. </w:t>
                </w:r>
              </w:p>
              <w:p>
                <w:pPr>
                  <w:shd w:val="clear" w:color="000000" w:fill="auto"/>
                  <w:rPr>
                    <w:sz w:val="22"/>
                    <w:szCs w:val="22"/>
                  </w:rPr>
                </w:pPr>
                <w:r>
                  <w:rPr>
                    <w:sz w:val="22"/>
                    <w:szCs w:val="22"/>
                  </w:rPr>
                  <w:t xml:space="preserve">Informuoti tėvus apie ligų ir traumų, nudegimų ir smurto profilaktiką, imunoprofilaktiką. </w:t>
                </w:r>
              </w:p>
              <w:p>
                <w:pPr>
                  <w:shd w:val="clear" w:color="000000" w:fill="auto"/>
                  <w:rPr>
                    <w:sz w:val="22"/>
                    <w:szCs w:val="22"/>
                  </w:rPr>
                </w:pPr>
                <w:r>
                  <w:rPr>
                    <w:sz w:val="22"/>
                    <w:szCs w:val="22"/>
                  </w:rPr>
                  <w:t>Padėti formuoti racionalios kūdikio ir motinos mitybos įgūdžius.</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Borders>
                  <w:bottom w:val="single" w:sz="4" w:space="0" w:color="auto"/>
                </w:tcBorders>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3.</w:t>
                </w:r>
              </w:p>
            </w:tc>
            <w:tc>
              <w:tcPr>
                <w:tcW w:w="1096" w:type="dxa"/>
                <w:vMerge w:val="restart"/>
              </w:tcPr>
              <w:p>
                <w:pPr>
                  <w:shd w:val="clear" w:color="000000" w:fill="auto"/>
                  <w:rPr>
                    <w:sz w:val="22"/>
                    <w:szCs w:val="22"/>
                  </w:rPr>
                </w:pPr>
                <w:r>
                  <w:rPr>
                    <w:sz w:val="22"/>
                    <w:szCs w:val="22"/>
                  </w:rPr>
                  <w:t>7–12 mėn.</w:t>
                </w:r>
              </w:p>
            </w:tc>
            <w:tc>
              <w:tcPr>
                <w:tcW w:w="1639" w:type="dxa"/>
                <w:tcBorders>
                  <w:bottom w:val="nil"/>
                </w:tcBorders>
              </w:tcPr>
              <w:p>
                <w:pPr>
                  <w:shd w:val="clear" w:color="000000" w:fill="auto"/>
                  <w:rPr>
                    <w:sz w:val="22"/>
                    <w:szCs w:val="22"/>
                  </w:rPr>
                </w:pPr>
                <w:r>
                  <w:rPr>
                    <w:sz w:val="22"/>
                    <w:szCs w:val="22"/>
                  </w:rPr>
                  <w:t>2–3 kartus</w:t>
                </w:r>
              </w:p>
            </w:tc>
            <w:tc>
              <w:tcPr>
                <w:tcW w:w="2318" w:type="dxa"/>
                <w:tcBorders>
                  <w:bottom w:val="nil"/>
                </w:tcBorders>
              </w:tcPr>
              <w:p>
                <w:pPr>
                  <w:shd w:val="clear" w:color="000000" w:fill="auto"/>
                  <w:rPr>
                    <w:sz w:val="22"/>
                    <w:szCs w:val="22"/>
                  </w:rPr>
                </w:pPr>
                <w:r>
                  <w:rPr>
                    <w:sz w:val="22"/>
                    <w:szCs w:val="22"/>
                  </w:rPr>
                  <w:t xml:space="preserve">Šeimos gydytojas </w:t>
                </w:r>
              </w:p>
              <w:p>
                <w:pPr>
                  <w:shd w:val="clear" w:color="000000" w:fill="auto"/>
                  <w:rPr>
                    <w:sz w:val="22"/>
                    <w:szCs w:val="22"/>
                  </w:rPr>
                </w:pPr>
                <w:r>
                  <w:rPr>
                    <w:sz w:val="22"/>
                    <w:szCs w:val="22"/>
                  </w:rPr>
                  <w:t>arba PASP komandos vaikų ligų gydytojas</w:t>
                </w:r>
              </w:p>
            </w:tc>
            <w:tc>
              <w:tcPr>
                <w:tcW w:w="4354" w:type="dxa"/>
                <w:tcBorders>
                  <w:top w:val="single" w:sz="4" w:space="0" w:color="auto"/>
                  <w:bottom w:val="nil"/>
                </w:tcBorders>
              </w:tcPr>
              <w:p>
                <w:pPr>
                  <w:shd w:val="clear" w:color="000000" w:fill="auto"/>
                  <w:rPr>
                    <w:sz w:val="22"/>
                    <w:szCs w:val="22"/>
                  </w:rPr>
                </w:pPr>
                <w:r>
                  <w:rPr>
                    <w:sz w:val="22"/>
                    <w:szCs w:val="22"/>
                  </w:rPr>
                  <w:t>1. Kiekvieno apsilankymo metu įvertinti vaiko sveikatos būklę.</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gridSpan w:val="2"/>
                <w:vMerge w:val="restart"/>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bottom w:val="single" w:sz="4" w:space="0" w:color="auto"/>
                </w:tcBorders>
              </w:tcPr>
              <w:p>
                <w:pPr>
                  <w:shd w:val="clear" w:color="000000" w:fill="auto"/>
                  <w:rPr>
                    <w:sz w:val="22"/>
                    <w:szCs w:val="22"/>
                  </w:rPr>
                </w:pPr>
                <w:r>
                  <w:rPr>
                    <w:sz w:val="22"/>
                    <w:szCs w:val="22"/>
                  </w:rPr>
                  <w:t>2. 9–12 mėn. amžiaus:</w:t>
                </w:r>
              </w:p>
              <w:p>
                <w:pPr>
                  <w:shd w:val="clear" w:color="000000" w:fill="auto"/>
                  <w:rPr>
                    <w:sz w:val="22"/>
                    <w:szCs w:val="22"/>
                  </w:rPr>
                </w:pPr>
                <w:r>
                  <w:rPr>
                    <w:sz w:val="22"/>
                    <w:szCs w:val="22"/>
                  </w:rPr>
                  <w:t>įvertinti tuberkuliozės vakcinos (BCG) randą.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2–3 kartus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 xml:space="preserve">Koreguoti kūdikio aplinkos ir priežiūros higieną. </w:t>
                </w:r>
              </w:p>
              <w:p>
                <w:pPr>
                  <w:shd w:val="clear" w:color="000000" w:fill="auto"/>
                  <w:rPr>
                    <w:sz w:val="22"/>
                    <w:szCs w:val="22"/>
                  </w:rPr>
                </w:pPr>
                <w:r>
                  <w:rPr>
                    <w:sz w:val="22"/>
                    <w:szCs w:val="22"/>
                  </w:rPr>
                  <w:t xml:space="preserve">Padėti formuoti racionalios kūdikio ir šeimos mitybos įgūdžius. </w:t>
                </w:r>
              </w:p>
              <w:p>
                <w:pPr>
                  <w:shd w:val="clear" w:color="000000" w:fill="auto"/>
                  <w:rPr>
                    <w:sz w:val="22"/>
                    <w:szCs w:val="22"/>
                  </w:rPr>
                </w:pPr>
                <w:r>
                  <w:rPr>
                    <w:sz w:val="22"/>
                    <w:szCs w:val="22"/>
                  </w:rPr>
                  <w:t>Informuoti tėvus apie ligų ir traumų, nudegimų ir smurto profilaktiką, imunoprofilaktiką.</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4.</w:t>
                </w:r>
              </w:p>
            </w:tc>
            <w:tc>
              <w:tcPr>
                <w:tcW w:w="1096" w:type="dxa"/>
                <w:vMerge w:val="restart"/>
              </w:tcPr>
              <w:p>
                <w:pPr>
                  <w:shd w:val="clear" w:color="000000" w:fill="auto"/>
                  <w:rPr>
                    <w:sz w:val="22"/>
                    <w:szCs w:val="22"/>
                  </w:rPr>
                </w:pPr>
                <w:r>
                  <w:rPr>
                    <w:sz w:val="22"/>
                    <w:szCs w:val="22"/>
                  </w:rPr>
                  <w:t>1–4 gyvenimo metai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 xml:space="preserve">Šeimos gydytojas </w:t>
                </w:r>
              </w:p>
              <w:p>
                <w:pPr>
                  <w:shd w:val="clear" w:color="000000" w:fill="auto"/>
                  <w:rPr>
                    <w:sz w:val="22"/>
                    <w:szCs w:val="22"/>
                  </w:rPr>
                </w:pPr>
                <w:r>
                  <w:rPr>
                    <w:sz w:val="22"/>
                    <w:szCs w:val="22"/>
                  </w:rPr>
                  <w:t>arba PASP komandos vaikų ligų gydytojas</w:t>
                </w:r>
              </w:p>
            </w:tc>
            <w:tc>
              <w:tcPr>
                <w:tcW w:w="4354" w:type="dxa"/>
                <w:tcBorders>
                  <w:top w:val="single" w:sz="4" w:space="0" w:color="auto"/>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kalbą, psichomotorinę raidą;</w:t>
                </w:r>
              </w:p>
              <w:p>
                <w:pPr>
                  <w:shd w:val="clear" w:color="000000" w:fill="auto"/>
                  <w:rPr>
                    <w:sz w:val="22"/>
                    <w:szCs w:val="22"/>
                  </w:rPr>
                </w:pPr>
                <w:r>
                  <w:rPr>
                    <w:sz w:val="22"/>
                    <w:szCs w:val="22"/>
                  </w:rPr>
                  <w:t xml:space="preserve">1.2. regėjimą, klausą, </w:t>
                </w:r>
              </w:p>
              <w:p>
                <w:pPr>
                  <w:shd w:val="clear" w:color="000000" w:fill="auto"/>
                  <w:rPr>
                    <w:sz w:val="22"/>
                    <w:szCs w:val="22"/>
                  </w:rPr>
                </w:pPr>
                <w:r>
                  <w:rPr>
                    <w:sz w:val="22"/>
                    <w:szCs w:val="22"/>
                  </w:rPr>
                  <w:t>1.3. atramos judamąjį aparatą.</w:t>
                </w:r>
              </w:p>
            </w:tc>
            <w:tc>
              <w:tcPr>
                <w:tcW w:w="1639" w:type="dxa"/>
                <w:vMerge w:val="restart"/>
              </w:tcPr>
              <w:p>
                <w:pPr>
                  <w:shd w:val="clear" w:color="000000" w:fill="auto"/>
                  <w:rPr>
                    <w:sz w:val="22"/>
                    <w:szCs w:val="22"/>
                  </w:rPr>
                </w:pPr>
                <w:r>
                  <w:rPr>
                    <w:sz w:val="22"/>
                    <w:szCs w:val="22"/>
                  </w:rPr>
                  <w:t xml:space="preserve">1–3 metų amžiaus 1 kartą </w:t>
                </w:r>
              </w:p>
            </w:tc>
            <w:tc>
              <w:tcPr>
                <w:tcW w:w="1503" w:type="dxa"/>
                <w:vMerge w:val="restart"/>
              </w:tcPr>
              <w:p>
                <w:pPr>
                  <w:shd w:val="clear" w:color="000000" w:fill="auto"/>
                  <w:rPr>
                    <w:sz w:val="22"/>
                    <w:szCs w:val="22"/>
                  </w:rPr>
                </w:pPr>
                <w:r>
                  <w:rPr>
                    <w:sz w:val="22"/>
                    <w:szCs w:val="22"/>
                  </w:rPr>
                  <w:t>Oftalmologas</w:t>
                </w:r>
              </w:p>
            </w:tc>
            <w:tc>
              <w:tcPr>
                <w:tcW w:w="1639" w:type="dxa"/>
                <w:gridSpan w:val="2"/>
                <w:vMerge w:val="restart"/>
              </w:tcPr>
              <w:p>
                <w:pPr>
                  <w:shd w:val="clear" w:color="000000" w:fill="auto"/>
                  <w:rPr>
                    <w:sz w:val="22"/>
                    <w:szCs w:val="22"/>
                  </w:rPr>
                </w:pPr>
                <w:r>
                  <w:rPr>
                    <w:sz w:val="22"/>
                    <w:szCs w:val="22"/>
                  </w:rPr>
                  <w:t>Įvertinti refrakciją, regėjimą (žvairumas, astigmatizmas), įgimtas anomalijas.</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bottom w:val="single" w:sz="4" w:space="0" w:color="auto"/>
                </w:tcBorders>
              </w:tcPr>
              <w:p>
                <w:pPr>
                  <w:shd w:val="clear" w:color="000000" w:fill="auto"/>
                  <w:rPr>
                    <w:sz w:val="22"/>
                    <w:szCs w:val="22"/>
                  </w:rPr>
                </w:pPr>
                <w:r>
                  <w:rPr>
                    <w:sz w:val="22"/>
                    <w:szCs w:val="22"/>
                  </w:rPr>
                  <w:t>2. 2–3 metų amžiaus atlikti: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 xml:space="preserve">2.2. šlapimo tyrimą. </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 xml:space="preserve">Įvertinti dantų dygimą. </w:t>
                </w:r>
              </w:p>
              <w:p>
                <w:pPr>
                  <w:shd w:val="clear" w:color="000000" w:fill="auto"/>
                  <w:rPr>
                    <w:sz w:val="22"/>
                    <w:szCs w:val="22"/>
                  </w:rPr>
                </w:pPr>
                <w:r>
                  <w:rPr>
                    <w:sz w:val="22"/>
                    <w:szCs w:val="22"/>
                  </w:rPr>
                  <w:t xml:space="preserve">Atlikti ankstyvo dantų ėduonies profilaktiką. </w:t>
                </w:r>
              </w:p>
              <w:p>
                <w:pPr>
                  <w:shd w:val="clear" w:color="000000" w:fill="auto"/>
                  <w:rPr>
                    <w:sz w:val="22"/>
                    <w:szCs w:val="22"/>
                  </w:rPr>
                </w:pPr>
                <w:r>
                  <w:rPr>
                    <w:sz w:val="22"/>
                    <w:szCs w:val="22"/>
                  </w:rPr>
                  <w:t>Įvertinti burnos higienos būklę ir tėvus pamokyti burnos higienos pagrindų.</w:t>
                </w:r>
              </w:p>
              <w:p>
                <w:pPr>
                  <w:shd w:val="clear" w:color="000000" w:fill="auto"/>
                  <w:rPr>
                    <w:sz w:val="22"/>
                    <w:szCs w:val="22"/>
                  </w:rPr>
                </w:pPr>
                <w:r>
                  <w:rPr>
                    <w:sz w:val="22"/>
                    <w:szCs w:val="22"/>
                  </w:rPr>
                  <w:t xml:space="preserve">Atlikti ankstyvo dantų ėduonies profilaktiką. </w:t>
                </w:r>
              </w:p>
              <w:p>
                <w:pPr>
                  <w:shd w:val="clear" w:color="000000" w:fill="auto"/>
                  <w:rPr>
                    <w:sz w:val="22"/>
                    <w:szCs w:val="22"/>
                  </w:rPr>
                </w:pPr>
                <w:r>
                  <w:rPr>
                    <w:sz w:val="22"/>
                    <w:szCs w:val="22"/>
                  </w:rPr>
                  <w:t>Įvertinti burnos higienos būklę ir tėvus pamokyti burnos higienos pagrindų.</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gridSpan w:val="2"/>
                <w:vMerge w:val="restart"/>
                <w:tcBorders>
                  <w:tl2br w:val="nil"/>
                  <w:tr2bl w:val="nil"/>
                </w:tcBorders>
              </w:tcPr>
              <w:p>
                <w:pPr>
                  <w:shd w:val="clear" w:color="000000" w:fill="auto"/>
                  <w:ind w:firstLine="55"/>
                  <w:rPr>
                    <w:sz w:val="22"/>
                    <w:szCs w:val="22"/>
                  </w:rPr>
                </w:pP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Informuoti tėvus ir vaikus apie racionalią </w:t>
                </w:r>
              </w:p>
              <w:p>
                <w:pPr>
                  <w:shd w:val="clear" w:color="000000" w:fill="auto"/>
                  <w:rPr>
                    <w:sz w:val="22"/>
                    <w:szCs w:val="22"/>
                  </w:rPr>
                </w:pPr>
                <w:r>
                  <w:rPr>
                    <w:sz w:val="22"/>
                    <w:szCs w:val="22"/>
                  </w:rPr>
                  <w:t>mitybą, traumų, nudegimų ir smurto, žalingų įpročių profilaktiką.</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Borders>
                  <w:bottom w:val="single" w:sz="4" w:space="0" w:color="auto"/>
                </w:tcBorders>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5.</w:t>
                </w:r>
              </w:p>
            </w:tc>
            <w:tc>
              <w:tcPr>
                <w:tcW w:w="1096" w:type="dxa"/>
                <w:vMerge w:val="restart"/>
              </w:tcPr>
              <w:p>
                <w:pPr>
                  <w:shd w:val="clear" w:color="000000" w:fill="auto"/>
                  <w:rPr>
                    <w:sz w:val="22"/>
                    <w:szCs w:val="22"/>
                  </w:rPr>
                </w:pPr>
                <w:r>
                  <w:rPr>
                    <w:sz w:val="22"/>
                    <w:szCs w:val="22"/>
                  </w:rPr>
                  <w:t>5–7 gyvenimo metai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Šeimos gydytojas arba PASP komandos vaikų ligų gydytojas</w:t>
                </w:r>
              </w:p>
            </w:tc>
            <w:tc>
              <w:tcPr>
                <w:tcW w:w="4354" w:type="dxa"/>
                <w:tcBorders>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kalbą;</w:t>
                </w:r>
              </w:p>
              <w:p>
                <w:pPr>
                  <w:shd w:val="clear" w:color="000000" w:fill="auto"/>
                  <w:rPr>
                    <w:sz w:val="22"/>
                    <w:szCs w:val="22"/>
                  </w:rPr>
                </w:pPr>
                <w:r>
                  <w:rPr>
                    <w:sz w:val="22"/>
                    <w:szCs w:val="22"/>
                  </w:rPr>
                  <w:t>1.2. ūgį, svorį;</w:t>
                </w:r>
              </w:p>
              <w:p>
                <w:pPr>
                  <w:shd w:val="clear" w:color="000000" w:fill="auto"/>
                  <w:rPr>
                    <w:sz w:val="22"/>
                    <w:szCs w:val="22"/>
                  </w:rPr>
                </w:pPr>
                <w:r>
                  <w:rPr>
                    <w:sz w:val="22"/>
                    <w:szCs w:val="22"/>
                  </w:rPr>
                  <w:t xml:space="preserve">1.3. regėjimą, klausą, </w:t>
                </w:r>
              </w:p>
              <w:p>
                <w:pPr>
                  <w:shd w:val="clear" w:color="000000" w:fill="auto"/>
                  <w:rPr>
                    <w:sz w:val="22"/>
                    <w:szCs w:val="22"/>
                  </w:rPr>
                </w:pPr>
                <w:r>
                  <w:rPr>
                    <w:sz w:val="22"/>
                    <w:szCs w:val="22"/>
                  </w:rPr>
                  <w:t>1.4. atramos judamąjį aparatą.</w:t>
                </w:r>
              </w:p>
            </w:tc>
            <w:tc>
              <w:tcPr>
                <w:tcW w:w="1639" w:type="dxa"/>
                <w:vMerge w:val="restart"/>
              </w:tcPr>
              <w:p>
                <w:pPr>
                  <w:shd w:val="clear" w:color="000000" w:fill="auto"/>
                  <w:rPr>
                    <w:sz w:val="22"/>
                    <w:szCs w:val="22"/>
                  </w:rPr>
                </w:pPr>
                <w:r>
                  <w:rPr>
                    <w:sz w:val="22"/>
                    <w:szCs w:val="22"/>
                  </w:rPr>
                  <w:t xml:space="preserve">6–7 metų amžiaus </w:t>
                </w:r>
              </w:p>
              <w:p>
                <w:pPr>
                  <w:shd w:val="clear" w:color="000000" w:fill="auto"/>
                  <w:rPr>
                    <w:sz w:val="22"/>
                    <w:szCs w:val="22"/>
                  </w:rPr>
                </w:pPr>
                <w:r>
                  <w:rPr>
                    <w:sz w:val="22"/>
                    <w:szCs w:val="22"/>
                  </w:rPr>
                  <w:t>1 kartą</w:t>
                </w:r>
              </w:p>
            </w:tc>
            <w:tc>
              <w:tcPr>
                <w:tcW w:w="1503" w:type="dxa"/>
                <w:vMerge w:val="restart"/>
              </w:tcPr>
              <w:p>
                <w:pPr>
                  <w:shd w:val="clear" w:color="000000" w:fill="auto"/>
                  <w:rPr>
                    <w:sz w:val="22"/>
                    <w:szCs w:val="22"/>
                  </w:rPr>
                </w:pPr>
                <w:r>
                  <w:rPr>
                    <w:sz w:val="22"/>
                    <w:szCs w:val="22"/>
                  </w:rPr>
                  <w:t>Vaikų ligų gydytojas</w:t>
                </w:r>
              </w:p>
            </w:tc>
            <w:tc>
              <w:tcPr>
                <w:tcW w:w="1639" w:type="dxa"/>
                <w:gridSpan w:val="2"/>
                <w:vMerge w:val="restart"/>
              </w:tcPr>
              <w:p>
                <w:pPr>
                  <w:shd w:val="clear" w:color="000000" w:fill="auto"/>
                  <w:rPr>
                    <w:sz w:val="22"/>
                    <w:szCs w:val="22"/>
                  </w:rPr>
                </w:pPr>
                <w:r>
                  <w:rPr>
                    <w:sz w:val="22"/>
                    <w:szCs w:val="22"/>
                  </w:rPr>
                  <w:t>Nustatyti ir įvertinti rizikos veiksnius. Esant indikacijų, paskirti kitų gydytojų specialistų profilaktinius patikrinimus.</w:t>
                </w:r>
              </w:p>
            </w:tc>
          </w:tr>
          <w:tr>
            <w:trPr>
              <w:trHeight w:val="20"/>
            </w:trPr>
            <w:tc>
              <w:tcPr>
                <w:tcW w:w="554" w:type="dxa"/>
                <w:vMerge/>
                <w:tcBorders>
                  <w:bottom w:val="nil"/>
                </w:tcBorders>
              </w:tcPr>
              <w:p>
                <w:pPr>
                  <w:shd w:val="clear" w:color="000000" w:fill="auto"/>
                  <w:rPr>
                    <w:sz w:val="22"/>
                    <w:szCs w:val="22"/>
                  </w:rPr>
                </w:pPr>
              </w:p>
            </w:tc>
            <w:tc>
              <w:tcPr>
                <w:tcW w:w="1096" w:type="dxa"/>
                <w:vMerge/>
                <w:tcBorders>
                  <w:bottom w:val="nil"/>
                </w:tcBorders>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2. 6–7 metų amžiaus atlikti / pamatuoti: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p>
                <w:pPr>
                  <w:shd w:val="clear" w:color="000000" w:fill="auto"/>
                  <w:rPr>
                    <w:sz w:val="22"/>
                    <w:szCs w:val="22"/>
                  </w:rPr>
                </w:pPr>
                <w:r>
                  <w:rPr>
                    <w:sz w:val="22"/>
                    <w:szCs w:val="22"/>
                  </w:rPr>
                  <w:t>2.3. elektrokardiogramą (EKG);</w:t>
                </w:r>
              </w:p>
              <w:p>
                <w:pPr>
                  <w:shd w:val="clear" w:color="000000" w:fill="auto"/>
                  <w:rPr>
                    <w:sz w:val="22"/>
                    <w:szCs w:val="22"/>
                  </w:rPr>
                </w:pPr>
                <w:r>
                  <w:rPr>
                    <w:sz w:val="22"/>
                    <w:szCs w:val="22"/>
                  </w:rPr>
                  <w:t xml:space="preserve">2.4. arterinį kraujo spaudimą (AKS). </w:t>
                </w:r>
              </w:p>
            </w:tc>
            <w:tc>
              <w:tcPr>
                <w:tcW w:w="1639" w:type="dxa"/>
                <w:vMerge/>
                <w:tcBorders>
                  <w:top w:val="nil"/>
                </w:tcBorders>
              </w:tcPr>
              <w:p>
                <w:pPr>
                  <w:shd w:val="clear" w:color="000000" w:fill="auto"/>
                  <w:rPr>
                    <w:sz w:val="22"/>
                    <w:szCs w:val="22"/>
                  </w:rPr>
                </w:pPr>
              </w:p>
            </w:tc>
            <w:tc>
              <w:tcPr>
                <w:tcW w:w="1503" w:type="dxa"/>
                <w:vMerge/>
                <w:tcBorders>
                  <w:top w:val="nil"/>
                </w:tcBorders>
              </w:tcPr>
              <w:p>
                <w:pPr>
                  <w:shd w:val="clear" w:color="000000" w:fill="auto"/>
                  <w:rPr>
                    <w:sz w:val="22"/>
                    <w:szCs w:val="22"/>
                  </w:rPr>
                </w:pPr>
              </w:p>
            </w:tc>
            <w:tc>
              <w:tcPr>
                <w:tcW w:w="1639" w:type="dxa"/>
                <w:gridSpan w:val="2"/>
                <w:vMerge/>
                <w:tcBorders>
                  <w:top w:val="nil"/>
                </w:tcBorders>
              </w:tcPr>
              <w:p>
                <w:pPr>
                  <w:shd w:val="clear" w:color="000000" w:fill="auto"/>
                  <w:rPr>
                    <w:sz w:val="22"/>
                    <w:szCs w:val="22"/>
                  </w:rPr>
                </w:pPr>
              </w:p>
            </w:tc>
          </w:tr>
          <w:tr>
            <w:trPr>
              <w:trHeight w:val="20"/>
            </w:trPr>
            <w:tc>
              <w:tcPr>
                <w:tcW w:w="554" w:type="dxa"/>
                <w:vMerge w:val="restart"/>
                <w:tcBorders>
                  <w:top w:val="nil"/>
                </w:tcBorders>
              </w:tcPr>
              <w:p>
                <w:pPr>
                  <w:shd w:val="clear" w:color="000000" w:fill="auto"/>
                  <w:rPr>
                    <w:sz w:val="22"/>
                    <w:szCs w:val="22"/>
                  </w:rPr>
                </w:pPr>
              </w:p>
            </w:tc>
            <w:tc>
              <w:tcPr>
                <w:tcW w:w="1096" w:type="dxa"/>
                <w:vMerge w:val="restart"/>
                <w:tcBorders>
                  <w:top w:val="nil"/>
                </w:tcBorders>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 xml:space="preserve">Įvertinti nuolatinių dantų dygimą. </w:t>
                </w:r>
              </w:p>
              <w:p>
                <w:pPr>
                  <w:shd w:val="clear" w:color="000000" w:fill="auto"/>
                  <w:rPr>
                    <w:sz w:val="22"/>
                    <w:szCs w:val="22"/>
                  </w:rPr>
                </w:pPr>
                <w:r>
                  <w:rPr>
                    <w:sz w:val="22"/>
                    <w:szCs w:val="22"/>
                  </w:rPr>
                  <w:t xml:space="preserve">Atlikti krūminių dantų ėduonies profilaktiką. </w:t>
                </w:r>
              </w:p>
              <w:p>
                <w:pPr>
                  <w:shd w:val="clear" w:color="000000" w:fill="auto"/>
                  <w:rPr>
                    <w:sz w:val="22"/>
                    <w:szCs w:val="22"/>
                  </w:rPr>
                </w:pPr>
                <w:r>
                  <w:rPr>
                    <w:sz w:val="22"/>
                    <w:szCs w:val="22"/>
                  </w:rPr>
                  <w:t xml:space="preserve">Įvertinti burnos higienos būklę ir pamokyti burnos higienos pagrindų. </w:t>
                </w:r>
              </w:p>
            </w:tc>
            <w:tc>
              <w:tcPr>
                <w:tcW w:w="1639" w:type="dxa"/>
                <w:vMerge w:val="restart"/>
                <w:tcBorders>
                  <w:top w:val="nil"/>
                </w:tcBorders>
              </w:tcPr>
              <w:p>
                <w:pPr>
                  <w:shd w:val="clear" w:color="000000" w:fill="auto"/>
                  <w:rPr>
                    <w:sz w:val="22"/>
                    <w:szCs w:val="22"/>
                  </w:rPr>
                </w:pPr>
                <w:r>
                  <w:rPr>
                    <w:sz w:val="22"/>
                    <w:szCs w:val="22"/>
                  </w:rPr>
                  <w:t>6–7 metų amžiaus</w:t>
                </w:r>
              </w:p>
              <w:p>
                <w:pPr>
                  <w:shd w:val="clear" w:color="000000" w:fill="auto"/>
                  <w:rPr>
                    <w:sz w:val="22"/>
                    <w:szCs w:val="22"/>
                  </w:rPr>
                </w:pPr>
                <w:r>
                  <w:rPr>
                    <w:sz w:val="22"/>
                    <w:szCs w:val="22"/>
                  </w:rPr>
                  <w:t>1 kartą</w:t>
                </w:r>
              </w:p>
            </w:tc>
            <w:tc>
              <w:tcPr>
                <w:tcW w:w="1503" w:type="dxa"/>
                <w:vMerge w:val="restart"/>
                <w:tcBorders>
                  <w:top w:val="nil"/>
                </w:tcBorders>
              </w:tcPr>
              <w:p>
                <w:pPr>
                  <w:shd w:val="clear" w:color="000000" w:fill="auto"/>
                  <w:rPr>
                    <w:sz w:val="22"/>
                    <w:szCs w:val="22"/>
                  </w:rPr>
                </w:pPr>
                <w:r>
                  <w:rPr>
                    <w:sz w:val="22"/>
                    <w:szCs w:val="22"/>
                  </w:rPr>
                  <w:t>Oftalmologas</w:t>
                </w:r>
              </w:p>
            </w:tc>
            <w:tc>
              <w:tcPr>
                <w:tcW w:w="1639" w:type="dxa"/>
                <w:gridSpan w:val="2"/>
                <w:vMerge w:val="restart"/>
                <w:tcBorders>
                  <w:top w:val="nil"/>
                </w:tcBorders>
              </w:tcPr>
              <w:p>
                <w:pPr>
                  <w:shd w:val="clear" w:color="000000" w:fill="auto"/>
                  <w:rPr>
                    <w:sz w:val="22"/>
                    <w:szCs w:val="22"/>
                  </w:rPr>
                </w:pPr>
                <w:r>
                  <w:rPr>
                    <w:sz w:val="22"/>
                    <w:szCs w:val="22"/>
                  </w:rPr>
                  <w:t>Įvertinti refrakciją, regėjimą (žvairumas, astigmatizmas) per išplėstą vyzdį.</w:t>
                </w: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Informuoti tėvus ir vaikus apie racionalią mitybą, traumų, nudegimų ir smurto, ligų ir žalingų įpročių profilaktiką, sveiko gyvenimo būdo ir lytinio švietimo principus. </w:t>
                </w:r>
              </w:p>
            </w:tc>
            <w:tc>
              <w:tcPr>
                <w:tcW w:w="1639" w:type="dxa"/>
                <w:vMerge/>
                <w:tcBorders>
                  <w:top w:val="nil"/>
                  <w:bottom w:val="single" w:sz="4" w:space="0" w:color="auto"/>
                </w:tcBorders>
              </w:tcPr>
              <w:p>
                <w:pPr>
                  <w:shd w:val="clear" w:color="000000" w:fill="auto"/>
                  <w:rPr>
                    <w:sz w:val="22"/>
                    <w:szCs w:val="22"/>
                  </w:rPr>
                </w:pPr>
              </w:p>
            </w:tc>
            <w:tc>
              <w:tcPr>
                <w:tcW w:w="1503" w:type="dxa"/>
                <w:vMerge/>
                <w:tcBorders>
                  <w:top w:val="nil"/>
                  <w:bottom w:val="single" w:sz="4" w:space="0" w:color="auto"/>
                </w:tcBorders>
              </w:tcPr>
              <w:p>
                <w:pPr>
                  <w:shd w:val="clear" w:color="000000" w:fill="auto"/>
                  <w:rPr>
                    <w:sz w:val="22"/>
                    <w:szCs w:val="22"/>
                  </w:rPr>
                </w:pPr>
              </w:p>
            </w:tc>
            <w:tc>
              <w:tcPr>
                <w:tcW w:w="1639" w:type="dxa"/>
                <w:gridSpan w:val="2"/>
                <w:vMerge/>
                <w:tcBorders>
                  <w:top w:val="nil"/>
                  <w:bottom w:val="single" w:sz="4" w:space="0" w:color="auto"/>
                </w:tcBorders>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val="restart"/>
              </w:tcPr>
              <w:p>
                <w:pPr>
                  <w:shd w:val="clear" w:color="000000" w:fill="auto"/>
                  <w:rPr>
                    <w:sz w:val="22"/>
                    <w:szCs w:val="22"/>
                  </w:rPr>
                </w:pPr>
                <w:r>
                  <w:rPr>
                    <w:sz w:val="22"/>
                    <w:szCs w:val="22"/>
                  </w:rPr>
                  <w:t>6.</w:t>
                </w:r>
              </w:p>
            </w:tc>
            <w:tc>
              <w:tcPr>
                <w:tcW w:w="1096" w:type="dxa"/>
                <w:vMerge w:val="restart"/>
              </w:tcPr>
              <w:p>
                <w:pPr>
                  <w:shd w:val="clear" w:color="000000" w:fill="auto"/>
                  <w:rPr>
                    <w:sz w:val="22"/>
                    <w:szCs w:val="22"/>
                  </w:rPr>
                </w:pPr>
                <w:r>
                  <w:rPr>
                    <w:sz w:val="22"/>
                    <w:szCs w:val="22"/>
                  </w:rPr>
                  <w:t>8–11 gyvenimo metai</w:t>
                </w: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Šeimos gydytojas arba PASP komandos vaikų ligų gydytojas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ūgį, svorį, AKS;</w:t>
                </w:r>
              </w:p>
              <w:p>
                <w:pPr>
                  <w:shd w:val="clear" w:color="000000" w:fill="auto"/>
                  <w:rPr>
                    <w:sz w:val="22"/>
                    <w:szCs w:val="22"/>
                  </w:rPr>
                </w:pPr>
                <w:r>
                  <w:rPr>
                    <w:sz w:val="22"/>
                    <w:szCs w:val="22"/>
                  </w:rPr>
                  <w:t xml:space="preserve">1.2. atramos judamąjį aparatą; </w:t>
                </w:r>
              </w:p>
              <w:p>
                <w:pPr>
                  <w:shd w:val="clear" w:color="000000" w:fill="auto"/>
                  <w:rPr>
                    <w:sz w:val="22"/>
                    <w:szCs w:val="22"/>
                  </w:rPr>
                </w:pPr>
                <w:r>
                  <w:rPr>
                    <w:sz w:val="22"/>
                    <w:szCs w:val="22"/>
                  </w:rPr>
                  <w:t xml:space="preserve">1.3. regėjimą; </w:t>
                </w:r>
              </w:p>
              <w:p>
                <w:pPr>
                  <w:shd w:val="clear" w:color="000000" w:fill="auto"/>
                  <w:rPr>
                    <w:sz w:val="22"/>
                    <w:szCs w:val="22"/>
                  </w:rPr>
                </w:pPr>
                <w:r>
                  <w:rPr>
                    <w:sz w:val="22"/>
                    <w:szCs w:val="22"/>
                  </w:rPr>
                  <w:t>1.4. psichikos būklę;</w:t>
                </w:r>
              </w:p>
              <w:p>
                <w:pPr>
                  <w:shd w:val="clear" w:color="000000" w:fill="auto"/>
                  <w:rPr>
                    <w:sz w:val="22"/>
                    <w:szCs w:val="22"/>
                  </w:rPr>
                </w:pPr>
                <w:r>
                  <w:rPr>
                    <w:sz w:val="22"/>
                    <w:szCs w:val="22"/>
                  </w:rPr>
                  <w:t>1.5. mitybos ir higienos įgūdžius.</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vMerge w:val="restart"/>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Borders>
                  <w:top w:val="single" w:sz="4" w:space="0" w:color="auto"/>
                </w:tcBorders>
              </w:tcPr>
              <w:p>
                <w:pPr>
                  <w:shd w:val="clear" w:color="000000" w:fill="auto"/>
                  <w:rPr>
                    <w:sz w:val="22"/>
                    <w:szCs w:val="22"/>
                  </w:rPr>
                </w:pPr>
                <w:r>
                  <w:rPr>
                    <w:sz w:val="22"/>
                    <w:szCs w:val="22"/>
                  </w:rPr>
                  <w:t xml:space="preserve">Atlikti dantų ėduonies profilaktiką. </w:t>
                </w:r>
              </w:p>
              <w:p>
                <w:pPr>
                  <w:shd w:val="clear" w:color="000000" w:fill="auto"/>
                  <w:rPr>
                    <w:sz w:val="22"/>
                    <w:szCs w:val="22"/>
                  </w:rPr>
                </w:pPr>
                <w:r>
                  <w:rPr>
                    <w:sz w:val="22"/>
                    <w:szCs w:val="22"/>
                  </w:rPr>
                  <w:t xml:space="preserve">Įvertinti nuolatinių dantų sąkandį, nustatyti, ar nėra sąkandžio anomalijų.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 xml:space="preserve">Pagal amžiaus ir lyties ypatumus padėti vaikui ir tėvams formuoti higienos, racionalios mitybos, sveiko gyvenimo būdo, imunoprofilaktikos nuostatas. </w:t>
                </w:r>
              </w:p>
              <w:p>
                <w:pPr>
                  <w:shd w:val="clear" w:color="000000" w:fill="auto"/>
                  <w:rPr>
                    <w:sz w:val="22"/>
                    <w:szCs w:val="22"/>
                  </w:rPr>
                </w:pPr>
                <w:r>
                  <w:rPr>
                    <w:sz w:val="22"/>
                    <w:szCs w:val="22"/>
                  </w:rPr>
                  <w:t xml:space="preserve">Informuoti ir suteikti žinių apie traumų, nudegimų ir smurto, ligų ir žalingų įpročių profilaktiką, lytinį ugdymą ir švietimą.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val="restart"/>
              </w:tcPr>
              <w:p>
                <w:pPr>
                  <w:shd w:val="clear" w:color="000000" w:fill="auto"/>
                  <w:rPr>
                    <w:sz w:val="22"/>
                    <w:szCs w:val="22"/>
                  </w:rPr>
                </w:pPr>
                <w:r>
                  <w:rPr>
                    <w:sz w:val="22"/>
                    <w:szCs w:val="22"/>
                  </w:rPr>
                  <w:t>7.</w:t>
                </w:r>
              </w:p>
            </w:tc>
            <w:tc>
              <w:tcPr>
                <w:tcW w:w="1096" w:type="dxa"/>
                <w:vMerge w:val="restart"/>
              </w:tcPr>
              <w:p>
                <w:pPr>
                  <w:shd w:val="clear" w:color="000000" w:fill="auto"/>
                  <w:rPr>
                    <w:sz w:val="22"/>
                    <w:szCs w:val="22"/>
                  </w:rPr>
                </w:pPr>
                <w:r>
                  <w:rPr>
                    <w:sz w:val="22"/>
                    <w:szCs w:val="22"/>
                  </w:rPr>
                  <w:t>12–17 gyvenimo metai imtinai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Šeimos gydytojas arba PASP komandos vaikų ligų gydytojas</w:t>
                </w:r>
              </w:p>
            </w:tc>
            <w:tc>
              <w:tcPr>
                <w:tcW w:w="4354" w:type="dxa"/>
                <w:tcBorders>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ūgį, svorį, AKS;</w:t>
                </w:r>
              </w:p>
              <w:p>
                <w:pPr>
                  <w:shd w:val="clear" w:color="000000" w:fill="auto"/>
                  <w:rPr>
                    <w:sz w:val="22"/>
                    <w:szCs w:val="22"/>
                  </w:rPr>
                </w:pPr>
                <w:r>
                  <w:rPr>
                    <w:sz w:val="22"/>
                    <w:szCs w:val="22"/>
                  </w:rPr>
                  <w:t>1.2. atramos judamąjį aparatą;</w:t>
                </w:r>
              </w:p>
              <w:p>
                <w:pPr>
                  <w:shd w:val="clear" w:color="000000" w:fill="auto"/>
                  <w:rPr>
                    <w:sz w:val="22"/>
                    <w:szCs w:val="22"/>
                  </w:rPr>
                </w:pPr>
                <w:r>
                  <w:rPr>
                    <w:sz w:val="22"/>
                    <w:szCs w:val="22"/>
                  </w:rPr>
                  <w:t>1.3. psichikos būklę;</w:t>
                </w:r>
              </w:p>
              <w:p>
                <w:pPr>
                  <w:shd w:val="clear" w:color="000000" w:fill="auto"/>
                  <w:rPr>
                    <w:sz w:val="22"/>
                    <w:szCs w:val="22"/>
                  </w:rPr>
                </w:pPr>
                <w:r>
                  <w:rPr>
                    <w:sz w:val="22"/>
                    <w:szCs w:val="22"/>
                  </w:rPr>
                  <w:t>1.4. regėjimą.</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vMerge w:val="restart"/>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2. 12–14 metų amžiaus atlikti / nustatyti: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p>
                <w:pPr>
                  <w:shd w:val="clear" w:color="000000" w:fill="auto"/>
                  <w:rPr>
                    <w:sz w:val="22"/>
                    <w:szCs w:val="22"/>
                  </w:rPr>
                </w:pPr>
                <w:r>
                  <w:rPr>
                    <w:sz w:val="22"/>
                    <w:szCs w:val="22"/>
                  </w:rPr>
                  <w:t>2.3. gliukozės kiekį kraujyje.</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Atlikti dantų ėduonies profilaktiką.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Slaugytojas</w:t>
                </w:r>
              </w:p>
            </w:tc>
            <w:tc>
              <w:tcPr>
                <w:tcW w:w="4354" w:type="dxa"/>
              </w:tcPr>
              <w:p>
                <w:pPr>
                  <w:shd w:val="clear" w:color="000000" w:fill="auto"/>
                  <w:rPr>
                    <w:sz w:val="22"/>
                    <w:szCs w:val="22"/>
                  </w:rPr>
                </w:pPr>
                <w:r>
                  <w:rPr>
                    <w:sz w:val="22"/>
                    <w:szCs w:val="22"/>
                  </w:rPr>
                  <w:t>Pagal amžiaus ir lyties ypatumus</w:t>
                </w:r>
              </w:p>
              <w:p>
                <w:pPr>
                  <w:shd w:val="clear" w:color="000000" w:fill="auto"/>
                  <w:rPr>
                    <w:sz w:val="22"/>
                    <w:szCs w:val="22"/>
                  </w:rPr>
                </w:pPr>
                <w:r>
                  <w:rPr>
                    <w:sz w:val="22"/>
                    <w:szCs w:val="22"/>
                  </w:rPr>
                  <w:t>padėti paaugliui susiformuoti racionalios</w:t>
                </w:r>
              </w:p>
              <w:p>
                <w:pPr>
                  <w:shd w:val="clear" w:color="000000" w:fill="auto"/>
                  <w:rPr>
                    <w:sz w:val="22"/>
                    <w:szCs w:val="22"/>
                  </w:rPr>
                </w:pPr>
                <w:r>
                  <w:rPr>
                    <w:sz w:val="22"/>
                    <w:szCs w:val="22"/>
                  </w:rPr>
                  <w:t>mitybos, sveiko gyvenimo būdo</w:t>
                </w:r>
              </w:p>
              <w:p>
                <w:pPr>
                  <w:shd w:val="clear" w:color="000000" w:fill="auto"/>
                  <w:rPr>
                    <w:sz w:val="22"/>
                    <w:szCs w:val="22"/>
                  </w:rPr>
                </w:pPr>
                <w:r>
                  <w:rPr>
                    <w:sz w:val="22"/>
                    <w:szCs w:val="22"/>
                  </w:rPr>
                  <w:t>nuostatas.</w:t>
                </w:r>
              </w:p>
              <w:p>
                <w:pPr>
                  <w:shd w:val="clear" w:color="000000" w:fill="auto"/>
                  <w:rPr>
                    <w:sz w:val="22"/>
                    <w:szCs w:val="22"/>
                  </w:rPr>
                </w:pPr>
                <w:r>
                  <w:rPr>
                    <w:sz w:val="22"/>
                    <w:szCs w:val="22"/>
                  </w:rPr>
                  <w:t>Informuoti apie ligų ir žalingų įpročių</w:t>
                </w:r>
              </w:p>
              <w:p>
                <w:pPr>
                  <w:shd w:val="clear" w:color="000000" w:fill="auto"/>
                  <w:rPr>
                    <w:sz w:val="22"/>
                    <w:szCs w:val="22"/>
                  </w:rPr>
                </w:pPr>
                <w:r>
                  <w:rPr>
                    <w:sz w:val="22"/>
                    <w:szCs w:val="22"/>
                  </w:rPr>
                  <w:t>profilaktiką, imunoprofilaktiką, lytinį</w:t>
                </w:r>
              </w:p>
              <w:p>
                <w:pPr>
                  <w:shd w:val="clear" w:color="000000" w:fill="auto"/>
                  <w:rPr>
                    <w:sz w:val="22"/>
                    <w:szCs w:val="22"/>
                  </w:rPr>
                </w:pPr>
                <w:r>
                  <w:rPr>
                    <w:sz w:val="22"/>
                    <w:szCs w:val="22"/>
                  </w:rPr>
                  <w:t>ugdymą ir švietimą.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bl>
        <w:p>
          <w:pPr>
            <w:shd w:val="clear" w:color="000000" w:fill="auto"/>
            <w:tabs>
              <w:tab w:val="left" w:pos="600"/>
            </w:tabs>
            <w:jc w:val="both"/>
          </w:pPr>
        </w:p>
        <w:p>
          <w:pPr>
            <w:shd w:val="clear" w:color="000000" w:fill="auto"/>
            <w:tabs>
              <w:tab w:val="left" w:pos="600"/>
            </w:tabs>
            <w:jc w:val="both"/>
            <w:rPr>
              <w:sz w:val="22"/>
            </w:rPr>
          </w:pPr>
          <w:r>
            <w:rPr>
              <w:sz w:val="22"/>
            </w:rPr>
            <w:t xml:space="preserve">Pastabos: </w:t>
          </w:r>
        </w:p>
        <w:sdt>
          <w:sdtPr>
            <w:alias w:val="3 pr. 1 p."/>
            <w:tag w:val="part_da7f2bc8aa694d9e9b8bfa8750ce2b3e"/>
            <w:lock w:val="sdtLocked"/>
            <w:richText/>
          </w:sdtPr>
          <w:sdtContent>
            <w:p>
              <w:pPr>
                <w:shd w:val="clear" w:color="000000" w:fill="auto"/>
                <w:tabs>
                  <w:tab w:val="left" w:pos="600"/>
                </w:tabs>
                <w:ind w:firstLine="567"/>
                <w:jc w:val="both"/>
                <w:rPr>
                  <w:sz w:val="22"/>
                </w:rPr>
              </w:pPr>
              <w:sdt>
                <w:sdtPr>
                  <w:alias w:val="Numeris"/>
                  <w:tag w:val="nr_da7f2bc8aa694d9e9b8bfa8750ce2b3e"/>
                  <w:lock w:val="sdtLocked"/>
                  <w:richText/>
                </w:sdtPr>
                <w:sdtContent>
                  <w:r>
                    <w:rPr>
                      <w:sz w:val="22"/>
                    </w:rPr>
                    <w:t>1</w:t>
                  </w:r>
                </w:sdtContent>
              </w:sdt>
              <w:r>
                <w:rPr>
                  <w:sz w:val="22"/>
                </w:rPr>
                <w:t>. Esant indikacijų, pirminės sveikatos priežiūros gydytojas siunčia vaiką profilaktiškai pasitikrinti sveikatą pas kitus gydytojus specialistus.</w:t>
              </w:r>
            </w:p>
          </w:sdtContent>
        </w:sdt>
        <w:sdt>
          <w:sdtPr>
            <w:alias w:val="3 pr. 2 p."/>
            <w:tag w:val="part_bae3b0d3dabc4e18a8a7bb9f94235f0a"/>
            <w:lock w:val="sdtLocked"/>
            <w:richText/>
          </w:sdtPr>
          <w:sdtContent>
            <w:p>
              <w:pPr>
                <w:shd w:val="clear" w:color="000000" w:fill="auto"/>
                <w:tabs>
                  <w:tab w:val="left" w:pos="600"/>
                </w:tabs>
                <w:ind w:firstLine="567"/>
                <w:jc w:val="both"/>
                <w:rPr>
                  <w:sz w:val="22"/>
                </w:rPr>
              </w:pPr>
              <w:sdt>
                <w:sdtPr>
                  <w:alias w:val="Numeris"/>
                  <w:tag w:val="nr_bae3b0d3dabc4e18a8a7bb9f94235f0a"/>
                  <w:lock w:val="sdtLocked"/>
                  <w:richText/>
                </w:sdtPr>
                <w:sdtContent>
                  <w:r>
                    <w:rPr>
                      <w:sz w:val="22"/>
                    </w:rPr>
                    <w:t>2</w:t>
                  </w:r>
                </w:sdtContent>
              </w:sdt>
              <w:r>
                <w:rPr>
                  <w:sz w:val="22"/>
                </w:rPr>
                <w:t>. Imunoprofilaktika atliekama pagal Lietuvos Respublikos vaikų profilaktinių skiepijimų kalendorių.</w:t>
              </w:r>
            </w:p>
          </w:sdtContent>
        </w:sdt>
        <w:sdt>
          <w:sdtPr>
            <w:alias w:val="3 pr. 3 p."/>
            <w:tag w:val="part_7d519a59213d471f87cbd98127bc7094"/>
            <w:lock w:val="sdtLocked"/>
            <w:richText/>
          </w:sdtPr>
          <w:sdtContent>
            <w:p>
              <w:pPr>
                <w:shd w:val="clear" w:color="000000" w:fill="auto"/>
                <w:tabs>
                  <w:tab w:val="left" w:pos="600"/>
                </w:tabs>
                <w:ind w:firstLine="567"/>
                <w:jc w:val="both"/>
                <w:rPr>
                  <w:sz w:val="22"/>
                </w:rPr>
              </w:pPr>
              <w:sdt>
                <w:sdtPr>
                  <w:alias w:val="Numeris"/>
                  <w:tag w:val="nr_7d519a59213d471f87cbd98127bc7094"/>
                  <w:lock w:val="sdtLocked"/>
                  <w:richText/>
                </w:sdtPr>
                <w:sdtContent>
                  <w:r>
                    <w:rPr>
                      <w:sz w:val="22"/>
                    </w:rPr>
                    <w:t>3</w:t>
                  </w:r>
                </w:sdtContent>
              </w:sdt>
              <w:r>
                <w:rPr>
                  <w:sz w:val="22"/>
                </w:rPr>
                <w:t>. Prieš pradedant lankyti vaikų ikimokyklinio ar pradinio ugdymo įstaigą ir pereinant į kitą ikimokyklinio ar pradinio ugdymo įstaigą, atliekami nuograndų ir išmatų helmintologiniai tyrimai.</w:t>
              </w:r>
            </w:p>
          </w:sdtContent>
        </w:sdt>
        <w:sdt>
          <w:sdtPr>
            <w:alias w:val="3 pr. 4 p."/>
            <w:tag w:val="part_c83862ff18444031b16b5d186b09bd7a"/>
            <w:lock w:val="sdtLocked"/>
            <w:richText/>
          </w:sdtPr>
          <w:sdtContent>
            <w:p>
              <w:pPr>
                <w:shd w:val="clear" w:color="000000" w:fill="auto"/>
                <w:tabs>
                  <w:tab w:val="left" w:pos="600"/>
                </w:tabs>
                <w:ind w:firstLine="567"/>
                <w:jc w:val="both"/>
                <w:rPr>
                  <w:sz w:val="22"/>
                </w:rPr>
              </w:pPr>
              <w:sdt>
                <w:sdtPr>
                  <w:alias w:val="Numeris"/>
                  <w:tag w:val="nr_c83862ff18444031b16b5d186b09bd7a"/>
                  <w:lock w:val="sdtLocked"/>
                  <w:richText/>
                </w:sdtPr>
                <w:sdtContent>
                  <w:r>
                    <w:rPr>
                      <w:sz w:val="22"/>
                    </w:rPr>
                    <w:t>4</w:t>
                  </w:r>
                </w:sdtContent>
              </w:sdt>
              <w:r>
                <w:rPr>
                  <w:sz w:val="22"/>
                </w:rPr>
                <w:t>. Ugdymo įstaigą ar mokyklą lankantis vaikas tikrinamas dėl utėlių ir niežų.</w:t>
              </w:r>
            </w:p>
          </w:sdtContent>
        </w:sdt>
        <w:sdt>
          <w:sdtPr>
            <w:alias w:val="3 pr. 5 p."/>
            <w:tag w:val="part_00d9b4c226464644a467d6e58befe99e"/>
            <w:lock w:val="sdtLocked"/>
            <w:richText/>
          </w:sdtPr>
          <w:sdtContent>
            <w:p>
              <w:pPr>
                <w:shd w:val="clear" w:color="000000" w:fill="auto"/>
                <w:tabs>
                  <w:tab w:val="left" w:pos="600"/>
                </w:tabs>
                <w:ind w:firstLine="567"/>
                <w:jc w:val="both"/>
              </w:pPr>
              <w:sdt>
                <w:sdtPr>
                  <w:alias w:val="Numeris"/>
                  <w:tag w:val="nr_00d9b4c226464644a467d6e58befe99e"/>
                  <w:lock w:val="sdtLocked"/>
                  <w:richText/>
                </w:sdtPr>
                <w:sdtContent>
                  <w:r>
                    <w:rPr>
                      <w:sz w:val="22"/>
                    </w:rPr>
                    <w:t>5</w:t>
                  </w:r>
                </w:sdtContent>
              </w:sdt>
              <w:r>
                <w:rPr>
                  <w:sz w:val="22"/>
                </w:rPr>
                <w:t>. Krūminių dantų paviršius silantinėmis medžiagomis dengiamas vadovaujantis teisės aktais.</w:t>
              </w:r>
            </w:p>
          </w:sdtContent>
        </w:sdt>
        <w:sdt>
          <w:sdtPr>
            <w:alias w:val="5-1 p."/>
            <w:tag w:val="part_9a9b3861c23142c39c172af7014ca180"/>
            <w:lock w:val="sdtLocked"/>
            <w:richText/>
          </w:sdtPr>
          <w:sdtContent>
            <w:p>
              <w:pPr>
                <w:widowControl w:val="0"/>
                <w:suppressAutoHyphens/>
                <w:ind w:firstLine="567"/>
                <w:jc w:val="both"/>
                <w:rPr>
                  <w:sz w:val="22"/>
                  <w:szCs w:val="22"/>
                </w:rPr>
              </w:pPr>
              <w:sdt>
                <w:sdtPr>
                  <w:alias w:val="Numeris"/>
                  <w:tag w:val="nr_9a9b3861c23142c39c172af7014ca180"/>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Gydytojas odontologas, atlikęs privalomuosius veiksmus ir būtinus tyrimus, informaciją apie atliktus privalomuosius veiksmus ir būtinus tyrimus bei tikrinimo rezultatus įrašo į formą Nr. 027/a arba Nr. 028-1/a ar laisvo pavyzdžio formą, savo spaudu bei parašu patvirtina ir pateikia ją šeimos gydytojui arba pirminės asmens sveikatos priežiūros komandos vaikų ligų gydytojui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6BCB4E424F">
                <w:r w:rsidRPr="00532B9F">
                  <w:rPr>
                    <w:rFonts w:ascii="Times New Roman" w:eastAsia="MS Mincho" w:hAnsi="Times New Roman"/>
                    <w:sz w:val="20"/>
                    <w:i/>
                    <w:iCs/>
                    <w:color w:val="0000FF" w:themeColor="hyperlink"/>
                    <w:u w:val="single"/>
                  </w:rPr>
                  <w:t>V-441</w:t>
                </w:r>
              </w:fldSimple>
              <w:r>
                <w:rPr>
                  <w:rFonts w:ascii="Times New Roman" w:eastAsia="MS Mincho" w:hAnsi="Times New Roman"/>
                  <w:sz w:val="20"/>
                  <w:i/>
                  <w:iCs/>
                </w:rPr>
                <w:t>,
2011-05-06,
Žin., 2011, Nr.
57-2724 (2011-05-12), i. k. 1112250ISAK000V-441        </w:t>
              </w:r>
            </w:p>
            <w:p/>
          </w:sdtContent>
        </w:sdt>
        <w:sdt>
          <w:sdtPr>
            <w:alias w:val="3 pr. 6 p."/>
            <w:tag w:val="part_9a0bfb6917be43d295440521cf6a7e94"/>
            <w:lock w:val="sdtLocked"/>
            <w:richText/>
          </w:sdtPr>
          <w:sdtContent>
            <w:p>
              <w:pPr>
                <w:shd w:val="clear" w:color="000000" w:fill="auto"/>
                <w:tabs>
                  <w:tab w:val="left" w:pos="600"/>
                </w:tabs>
                <w:ind w:firstLine="567"/>
                <w:jc w:val="both"/>
                <w:rPr>
                  <w:sz w:val="22"/>
                </w:rPr>
              </w:pPr>
              <w:sdt>
                <w:sdtPr>
                  <w:alias w:val="Numeris"/>
                  <w:tag w:val="nr_9a0bfb6917be43d295440521cf6a7e94"/>
                  <w:lock w:val="sdtLocked"/>
                  <w:richText/>
                </w:sdtPr>
                <w:sdtContent>
                  <w:r>
                    <w:rPr>
                      <w:sz w:val="22"/>
                    </w:rPr>
                    <w:t>6</w:t>
                  </w:r>
                </w:sdtContent>
              </w:sdt>
              <w:r>
                <w:rPr>
                  <w:sz w:val="22"/>
                </w:rPr>
                <w:t>. Vykdoma pagal amžiaus ypatumus:</w:t>
              </w:r>
            </w:p>
            <w:sdt>
              <w:sdtPr>
                <w:alias w:val="3 pr. 6.1 p."/>
                <w:tag w:val="part_713f97bb1de1442e9dacc298e85b3b25"/>
                <w:lock w:val="sdtLocked"/>
                <w:richText/>
              </w:sdtPr>
              <w:sdtContent>
                <w:p>
                  <w:pPr>
                    <w:shd w:val="clear" w:color="000000" w:fill="auto"/>
                    <w:tabs>
                      <w:tab w:val="left" w:pos="600"/>
                    </w:tabs>
                    <w:ind w:firstLine="567"/>
                    <w:jc w:val="both"/>
                    <w:rPr>
                      <w:sz w:val="22"/>
                    </w:rPr>
                  </w:pPr>
                  <w:sdt>
                    <w:sdtPr>
                      <w:alias w:val="Numeris"/>
                      <w:tag w:val="nr_713f97bb1de1442e9dacc298e85b3b25"/>
                      <w:lock w:val="sdtLocked"/>
                      <w:richText/>
                    </w:sdtPr>
                    <w:sdtContent>
                      <w:r>
                        <w:rPr>
                          <w:sz w:val="22"/>
                        </w:rPr>
                        <w:t>6.1</w:t>
                      </w:r>
                    </w:sdtContent>
                  </w:sdt>
                  <w:r>
                    <w:rPr>
                      <w:sz w:val="22"/>
                    </w:rPr>
                    <w:t>. racionalios mitybos principų formavimas,</w:t>
                  </w:r>
                </w:p>
              </w:sdtContent>
            </w:sdt>
            <w:sdt>
              <w:sdtPr>
                <w:alias w:val="3 pr. 6.2 p."/>
                <w:tag w:val="part_1201878f56e64ff9b516664870b9851d"/>
                <w:lock w:val="sdtLocked"/>
                <w:richText/>
              </w:sdtPr>
              <w:sdtContent>
                <w:p>
                  <w:pPr>
                    <w:shd w:val="clear" w:color="000000" w:fill="auto"/>
                    <w:tabs>
                      <w:tab w:val="left" w:pos="600"/>
                    </w:tabs>
                    <w:ind w:firstLine="567"/>
                    <w:jc w:val="both"/>
                    <w:rPr>
                      <w:sz w:val="22"/>
                    </w:rPr>
                  </w:pPr>
                  <w:sdt>
                    <w:sdtPr>
                      <w:alias w:val="Numeris"/>
                      <w:tag w:val="nr_1201878f56e64ff9b516664870b9851d"/>
                      <w:lock w:val="sdtLocked"/>
                      <w:richText/>
                    </w:sdtPr>
                    <w:sdtContent>
                      <w:r>
                        <w:rPr>
                          <w:sz w:val="22"/>
                        </w:rPr>
                        <w:t>6.2</w:t>
                      </w:r>
                    </w:sdtContent>
                  </w:sdt>
                  <w:r>
                    <w:rPr>
                      <w:sz w:val="22"/>
                    </w:rPr>
                    <w:t>. sveiko gyvenimo būdo nuostatų formavimas,</w:t>
                  </w:r>
                </w:p>
              </w:sdtContent>
            </w:sdt>
            <w:sdt>
              <w:sdtPr>
                <w:alias w:val="3 pr. 6.3 p."/>
                <w:tag w:val="part_236f5571aefc4b90a220491112a89d88"/>
                <w:lock w:val="sdtLocked"/>
                <w:richText/>
              </w:sdtPr>
              <w:sdtContent>
                <w:p>
                  <w:pPr>
                    <w:shd w:val="clear" w:color="000000" w:fill="auto"/>
                    <w:tabs>
                      <w:tab w:val="left" w:pos="600"/>
                    </w:tabs>
                    <w:ind w:firstLine="567"/>
                    <w:jc w:val="both"/>
                    <w:rPr>
                      <w:sz w:val="22"/>
                    </w:rPr>
                  </w:pPr>
                  <w:sdt>
                    <w:sdtPr>
                      <w:alias w:val="Numeris"/>
                      <w:tag w:val="nr_236f5571aefc4b90a220491112a89d88"/>
                      <w:lock w:val="sdtLocked"/>
                      <w:richText/>
                    </w:sdtPr>
                    <w:sdtContent>
                      <w:r>
                        <w:rPr>
                          <w:sz w:val="22"/>
                        </w:rPr>
                        <w:t>6.3</w:t>
                      </w:r>
                    </w:sdtContent>
                  </w:sdt>
                  <w:r>
                    <w:rPr>
                      <w:sz w:val="22"/>
                    </w:rPr>
                    <w:t>. traumų, nudegimų ir smurto profilaktika,</w:t>
                  </w:r>
                </w:p>
              </w:sdtContent>
            </w:sdt>
            <w:sdt>
              <w:sdtPr>
                <w:alias w:val="3 pr. 6.4 p."/>
                <w:tag w:val="part_2c0a7a7f57ec4d3aaaa3a841bdde72fc"/>
                <w:lock w:val="sdtLocked"/>
                <w:richText/>
              </w:sdtPr>
              <w:sdtContent>
                <w:p>
                  <w:pPr>
                    <w:shd w:val="clear" w:color="000000" w:fill="auto"/>
                    <w:tabs>
                      <w:tab w:val="left" w:pos="600"/>
                    </w:tabs>
                    <w:ind w:firstLine="567"/>
                    <w:jc w:val="both"/>
                    <w:rPr>
                      <w:sz w:val="22"/>
                    </w:rPr>
                  </w:pPr>
                  <w:sdt>
                    <w:sdtPr>
                      <w:alias w:val="Numeris"/>
                      <w:tag w:val="nr_2c0a7a7f57ec4d3aaaa3a841bdde72fc"/>
                      <w:lock w:val="sdtLocked"/>
                      <w:richText/>
                    </w:sdtPr>
                    <w:sdtContent>
                      <w:r>
                        <w:rPr>
                          <w:sz w:val="22"/>
                        </w:rPr>
                        <w:t>6.4</w:t>
                      </w:r>
                    </w:sdtContent>
                  </w:sdt>
                  <w:r>
                    <w:rPr>
                      <w:sz w:val="22"/>
                    </w:rPr>
                    <w:t>. ligų ir žalingų įpročių profilaktika,</w:t>
                  </w:r>
                </w:p>
              </w:sdtContent>
            </w:sdt>
            <w:sdt>
              <w:sdtPr>
                <w:alias w:val="3 pr. 6.5 p."/>
                <w:tag w:val="part_624df4894e0c4aac9b017fb4e940fba5"/>
                <w:lock w:val="sdtLocked"/>
                <w:richText/>
              </w:sdtPr>
              <w:sdtContent>
                <w:p>
                  <w:pPr>
                    <w:shd w:val="clear" w:color="000000" w:fill="auto"/>
                    <w:tabs>
                      <w:tab w:val="left" w:pos="600"/>
                    </w:tabs>
                    <w:ind w:firstLine="567"/>
                    <w:jc w:val="both"/>
                    <w:rPr>
                      <w:sz w:val="22"/>
                    </w:rPr>
                  </w:pPr>
                  <w:sdt>
                    <w:sdtPr>
                      <w:alias w:val="Numeris"/>
                      <w:tag w:val="nr_624df4894e0c4aac9b017fb4e940fba5"/>
                      <w:lock w:val="sdtLocked"/>
                      <w:richText/>
                    </w:sdtPr>
                    <w:sdtContent>
                      <w:r>
                        <w:rPr>
                          <w:sz w:val="22"/>
                        </w:rPr>
                        <w:t>6.5</w:t>
                      </w:r>
                    </w:sdtContent>
                  </w:sdt>
                  <w:r>
                    <w:rPr>
                      <w:sz w:val="22"/>
                    </w:rPr>
                    <w:t>. lytinis ugdymas ir švietimas.</w:t>
                  </w:r>
                </w:p>
              </w:sdtContent>
            </w:sdt>
          </w:sdtContent>
        </w:sdt>
        <w:sdt>
          <w:sdtPr>
            <w:alias w:val="pabaiga"/>
            <w:tag w:val="part_90641c1479e048a7a73422410deb2d11"/>
            <w:lock w:val="sdtLocked"/>
            <w:richText/>
          </w:sdtPr>
          <w:sdtContent>
            <w:p>
              <w:pPr>
                <w:shd w:val="clear" w:color="000000" w:fill="auto"/>
                <w:tabs>
                  <w:tab w:val="left" w:pos="600"/>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4"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5"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7502d7576bfd424b9d26e9ae46f85b98"/>
        <w:lock w:val="sdtLocked"/>
        <w:richText/>
      </w:sdtPr>
      <w:sdtContent>
        <w:p>
          <w:pPr>
            <w:keepLines/>
            <w:widowControl w:val="0"/>
            <w:suppressAutoHyphens/>
            <w:ind w:left="5102"/>
            <w:sectPr>
              <w:headerReference w:type="even" r:id="rId36"/>
              <w:headerReference w:type="default" r:id="rId37"/>
              <w:footerReference w:type="even" r:id="rId38"/>
              <w:footerReference w:type="default" r:id="rId39"/>
              <w:headerReference w:type="first" r:id="rId40"/>
              <w:footerReference w:type="first" r:id="rId41"/>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7502d7576bfd424b9d26e9ae46f85b98"/>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7502d7576bfd424b9d26e9ae46f85b98"/>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4"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5"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6 pr."/>
        <w:tag w:val="part_a3e28083ab6c49c0bf7adb09653f29e7"/>
        <w:lock w:val="sdtLocked"/>
        <w:richText/>
      </w:sdtPr>
      <w:sdtContent>
        <w:p>
          <w:pPr>
            <w:tabs>
              <w:tab w:val="left" w:pos="1304"/>
              <w:tab w:val="left" w:pos="1457"/>
              <w:tab w:val="left" w:pos="1604"/>
              <w:tab w:val="left" w:pos="1757"/>
            </w:tabs>
            <w:ind w:left="5102"/>
            <w:sectPr>
              <w:pgSz w:w="11907" w:h="16840" w:code="9"/>
              <w:pgMar w:top="1134" w:right="1134" w:bottom="1134" w:left="1701" w:header="567" w:footer="567" w:gutter="0"/>
              <w:cols w:space="1296"/>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3e28083ab6c49c0bf7adb09653f29e7"/>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a3e28083ab6c49c0bf7adb09653f29e7"/>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78fda4d184954ce7bf852d81f06d3359"/>
        <w:lock w:val="sdtLocked"/>
        <w:richText/>
      </w:sdtPr>
      <w:sdtContent>
        <w:p>
          <w:pPr>
            <w:ind w:left="5102"/>
            <w:sectPr>
              <w:pgSz w:w="11907" w:h="16840" w:code="9"/>
              <w:pgMar w:top="1134" w:right="1134" w:bottom="1134" w:left="1701" w:header="567" w:footer="567" w:gutter="0"/>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78fda4d184954ce7bf852d81f06d3359"/>
              <w:lock w:val="sdtLocked"/>
              <w:richText/>
            </w:sdtPr>
            <w:sdtContent>
              <w:r>
                <w:t>7</w:t>
              </w:r>
            </w:sdtContent>
          </w:sdt>
          <w:r>
            <w:t xml:space="preserve"> priedas</w:t>
          </w:r>
        </w:p>
        <w:p>
          <w:pPr>
            <w:jc w:val="both"/>
          </w:pPr>
        </w:p>
        <w:p>
          <w:pPr>
            <w:jc w:val="center"/>
            <w:rPr>
              <w:b/>
              <w:bCs/>
            </w:rPr>
          </w:pPr>
          <w:sdt>
            <w:sdtPr>
              <w:alias w:val="Pavadinimas"/>
              <w:tag w:val="title_78fda4d184954ce7bf852d81f06d3359"/>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3968cc26d80e47b3aa2f4268f5b9bd0c"/>
                        <w:lock w:val="sdtLocked"/>
                        <w:richText/>
                      </w:sdtPr>
                      <w:sdtContent>
                        <w:p>
                          <w:pPr>
                            <w:ind w:firstLine="567"/>
                            <w:jc w:val="both"/>
                          </w:pPr>
                          <w:sdt>
                            <w:sdtPr>
                              <w:alias w:val="Numeris"/>
                              <w:tag w:val="nr_3968cc26d80e47b3aa2f4268f5b9bd0c"/>
                              <w:lock w:val="sdtLocked"/>
                              <w:richText/>
                            </w:sdtPr>
                            <w:sdtContent>
                              <w:r>
                                <w:t>2.2.1</w:t>
                              </w:r>
                            </w:sdtContent>
                          </w:sdt>
                          <w:r>
                            <w:t>. 1 grupė – AM, A1, A B1, B ir BE kategorijų transporto priemonių vairuotojai;</w:t>
                          </w:r>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4" w:tgtFrame="_blank" w:history="1">
                    <w:r>
                      <w:rPr>
                        <w:color w:val="0000FF" w:themeColor="hyperlink"/>
                        <w:u w:val="single"/>
                      </w:rPr>
                      <w:t>92-2883</w:t>
                    </w:r>
                  </w:hyperlink>
                  <w:r>
                    <w:t xml:space="preserve">; 2007, Nr. </w:t>
                  </w:r>
                  <w:hyperlink r:id="rId55"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6"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7" w:tgtFrame="_blank" w:history="1">
                    <w:r>
                      <w:rPr>
                        <w:color w:val="0000FF" w:themeColor="hyperlink"/>
                        <w:u w:val="single"/>
                      </w:rPr>
                      <w:t>13-308</w:t>
                    </w:r>
                  </w:hyperlink>
                  <w:r>
                    <w:t xml:space="preserve">; 2000, Nr. </w:t>
                  </w:r>
                  <w:hyperlink r:id="rId58"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14d8107bdc74ca1a7f10cdb3b9cf86c"/>
        <w:lock w:val="sdtLocked"/>
        <w:richText/>
      </w:sdtPr>
      <w:sdtContent>
        <w:p/>
        <w:p>
          <w:pPr>
            <w:ind w:firstLine="567"/>
            <w:jc w:val="both"/>
            <w:sectPr>
              <w:pgSz w:w="11907" w:h="16840" w:code="9"/>
              <w:pgMar w:top="1134" w:right="1134" w:bottom="1134" w:left="1701" w:header="567" w:footer="567" w:gutter="0"/>
              <w:pgNumType w:start="1"/>
              <w:cols w:space="1296"/>
              <w:titlePg/>
              <w:docGrid w:linePitch="360"/>
            </w:sectPr>
          </w:pPr>
        </w:p>
        <w:p>
          <w:pPr>
            <w:jc w:val="both"/>
          </w:pPr>
        </w:p>
        <w:p>
          <w:pPr>
            <w:ind w:left="4535"/>
            <w:jc w:val="right"/>
          </w:pPr>
          <w:r>
            <w:t>1 lentelė</w:t>
          </w:r>
        </w:p>
        <w:p/>
        <w:sdt>
          <w:sdtPr>
            <w:alias w:val="Pavadinimas"/>
            <w:tag w:val="title_814d8107bdc74ca1a7f10cdb3b9cf86c"/>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 Regėjimo lauko, Akispūdžio matavimas (asmenims nuo 40</w:t>
                </w:r>
                <w:r>
                  <w:rPr>
                    <w:i/>
                    <w:sz w:val="22"/>
                  </w:rPr>
                  <w:t xml:space="preserve"> </w:t>
                </w:r>
                <w:r>
                  <w:rPr>
                    <w:sz w:val="22"/>
                  </w:rPr>
                  <w:t>m.). Jei regėjimas neatitinka regėjimo lauko arba regėjimo aštrumo standarto: Regėjimo prieblandoje, Jautrumo ryškiai šviesai, Kontrastinio jautrumo. Klausos</w:t>
                </w:r>
                <w:r>
                  <w:rPr>
                    <w:i/>
                    <w:sz w:val="22"/>
                  </w:rPr>
                  <w:t xml:space="preserve"> </w:t>
                </w:r>
                <w:r>
                  <w:rPr>
                    <w:sz w:val="22"/>
                  </w:rPr>
                  <w:t>– šnabždesiu abipus, Vestibulinės funkcijos tyrimai, EKG, 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galimos profesinės rizikos sąlygomis (kenksmingų veiksnių poveikyje):</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szCs w:val="22"/>
                  </w:rPr>
                </w:pPr>
                <w:r>
                  <w:rPr>
                    <w:sz w:val="22"/>
                    <w:szCs w:val="22"/>
                  </w:rPr>
                  <w:t xml:space="preserve">Regėjimo aštrumo, </w:t>
                </w:r>
              </w:p>
              <w:p>
                <w:pPr>
                  <w:ind w:left="320"/>
                  <w:rPr>
                    <w:sz w:val="22"/>
                    <w:szCs w:val="22"/>
                  </w:rPr>
                </w:pPr>
                <w:r>
                  <w:rPr>
                    <w:sz w:val="22"/>
                    <w:szCs w:val="22"/>
                  </w:rPr>
                  <w:t xml:space="preserve">Akipločio (regėjimo lauko), </w:t>
                </w:r>
              </w:p>
              <w:p>
                <w:pPr>
                  <w:ind w:left="320"/>
                  <w:rPr>
                    <w:sz w:val="22"/>
                    <w:szCs w:val="22"/>
                  </w:rPr>
                </w:pPr>
                <w:r>
                  <w:rPr>
                    <w:sz w:val="22"/>
                    <w:szCs w:val="22"/>
                  </w:rPr>
                  <w:t xml:space="preserve">Akispūdžio matavimas (asmenims nuo 40 m.), </w:t>
                </w:r>
              </w:p>
              <w:p>
                <w:pPr>
                  <w:ind w:left="320"/>
                  <w:rPr>
                    <w:sz w:val="22"/>
                    <w:szCs w:val="22"/>
                  </w:rPr>
                </w:pPr>
                <w:r>
                  <w:rPr>
                    <w:sz w:val="22"/>
                    <w:szCs w:val="22"/>
                  </w:rPr>
                  <w:t>Adaptacijos tamsai (įsidarbinant),</w:t>
                </w:r>
              </w:p>
              <w:p>
                <w:pPr>
                  <w:ind w:left="320"/>
                  <w:rPr>
                    <w:sz w:val="22"/>
                    <w:szCs w:val="22"/>
                  </w:rPr>
                </w:pPr>
                <w:r>
                  <w:rPr>
                    <w:color w:val="000000"/>
                    <w:sz w:val="22"/>
                    <w:szCs w:val="22"/>
                  </w:rPr>
                  <w:t>Regėjimo prieblandoje , Jautrumo ryškiai šviesai, Kontrastinio jautrumo</w:t>
                </w:r>
              </w:p>
              <w:p>
                <w:pPr>
                  <w:ind w:left="320"/>
                  <w:rPr>
                    <w:sz w:val="22"/>
                    <w:szCs w:val="22"/>
                  </w:rPr>
                </w:pPr>
                <w:r>
                  <w:rPr>
                    <w:sz w:val="22"/>
                    <w:szCs w:val="22"/>
                  </w:rPr>
                  <w:t>Spalvinio jutimo (</w:t>
                </w:r>
                <w:r>
                  <w:rPr>
                    <w:color w:val="000000"/>
                    <w:sz w:val="22"/>
                    <w:szCs w:val="22"/>
                  </w:rPr>
                  <w:t>spręsti individualiai)</w:t>
                </w:r>
              </w:p>
              <w:p>
                <w:pPr>
                  <w:ind w:left="320"/>
                  <w:rPr>
                    <w:sz w:val="22"/>
                    <w:szCs w:val="22"/>
                  </w:rPr>
                </w:pPr>
                <w:r>
                  <w:rPr>
                    <w:sz w:val="22"/>
                    <w:szCs w:val="22"/>
                  </w:rPr>
                  <w:t xml:space="preserve">Klausos – šnabždesiu abipus, audiograma, </w:t>
                </w:r>
              </w:p>
              <w:p>
                <w:pPr>
                  <w:ind w:left="320"/>
                  <w:rPr>
                    <w:sz w:val="22"/>
                    <w:szCs w:val="22"/>
                  </w:rPr>
                </w:pPr>
                <w:r>
                  <w:rPr>
                    <w:sz w:val="22"/>
                    <w:szCs w:val="22"/>
                  </w:rPr>
                  <w:t>Vestibulinės funkcijos tyrimai,</w:t>
                </w:r>
              </w:p>
              <w:p>
                <w:pPr>
                  <w:ind w:left="320"/>
                  <w:rPr>
                    <w:sz w:val="22"/>
                    <w:szCs w:val="22"/>
                  </w:rPr>
                </w:pPr>
                <w:r>
                  <w:rPr>
                    <w:sz w:val="22"/>
                    <w:szCs w:val="22"/>
                  </w:rPr>
                  <w:t xml:space="preserve">Krūtinės ląstos rentgenograma – jei nėra atlikta per dvejus metus, EKG, psichologinės atrankos, reakcijos ir kiti tyrimai (gydytojui skyrus) </w:t>
                </w:r>
              </w:p>
              <w:p>
                <w:pPr>
                  <w:ind w:left="320"/>
                  <w:rPr>
                    <w:sz w:val="22"/>
                  </w:rPr>
                </w:pPr>
                <w:r>
                  <w:rPr>
                    <w:sz w:val="22"/>
                    <w:szCs w:val="22"/>
                  </w:rPr>
                  <w:t>Kiti tyrimai ir konsultacijos atliekami vadovaujantis Asmenų, dirbančių galimos profesinės</w:t>
                </w:r>
                <w:r>
                  <w:rPr>
                    <w:sz w:val="22"/>
                  </w:rPr>
                  <w:t xml:space="preserve">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ff5be57aa8f94379894a0e01f3340661"/>
        <w:lock w:val="sdtLocked"/>
        <w:richText/>
      </w:sdtPr>
      <w:sdtContent>
        <w:p>
          <w:pPr>
            <w:jc w:val="right"/>
          </w:pPr>
          <w:sdt>
            <w:sdtPr>
              <w:alias w:val="Numeris"/>
              <w:tag w:val="nr_ff5be57aa8f94379894a0e01f3340661"/>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ff5be57aa8f94379894a0e01f3340661"/>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6aa85ea7bc1a4140b82f76c5a920e540"/>
        <w:lock w:val="sdtLocked"/>
        <w:richText/>
      </w:sdtPr>
      <w:sdtContent>
        <w:p>
          <w:pPr>
            <w:jc w:val="right"/>
          </w:pPr>
          <w:sdt>
            <w:sdtPr>
              <w:alias w:val="Numeris"/>
              <w:tag w:val="nr_6aa85ea7bc1a4140b82f76c5a920e540"/>
              <w:lock w:val="sdtLocked"/>
              <w:richText/>
            </w:sdtPr>
            <w:sdtContent>
              <w:r>
                <w:t>3</w:t>
              </w:r>
            </w:sdtContent>
          </w:sdt>
          <w:r>
            <w:t xml:space="preserve"> lentelė</w:t>
          </w:r>
        </w:p>
        <w:p>
          <w:pPr>
            <w:jc w:val="both"/>
            <w:rPr>
              <w:bCs/>
            </w:rPr>
          </w:pPr>
        </w:p>
        <w:p>
          <w:pPr>
            <w:jc w:val="center"/>
            <w:rPr>
              <w:b/>
              <w:bCs/>
            </w:rPr>
          </w:pPr>
          <w:sdt>
            <w:sdtPr>
              <w:alias w:val="Pavadinimas"/>
              <w:tag w:val="title_6aa85ea7bc1a4140b82f76c5a920e54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 xml:space="preserve">A; A1; AM; B; B1 ir BE kategorijų vairuotojams turi būti nurodyta,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 xml:space="preserve">A; A1; AM; B; B1 ir BE kategorijų vairuotojams turi būti nurodytą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r>
                  <w:rPr>
                    <w:caps/>
                    <w:color w:val="000000"/>
                    <w:sz w:val="22"/>
                  </w:rPr>
                  <w:t>(</w:t>
                </w:r>
                <w:r>
                  <w:rPr>
                    <w:color w:val="000000"/>
                    <w:sz w:val="22"/>
                  </w:rPr>
                  <w:t>alkoholio sukeltų priepuolių atveju taikant 05.08</w:t>
                </w:r>
                <w:r>
                  <w:rPr>
                    <w:i/>
                    <w:color w:val="000000"/>
                    <w:sz w:val="22"/>
                  </w:rPr>
                  <w:t xml:space="preserve"> </w:t>
                </w:r>
                <w:r>
                  <w:rPr>
                    <w:color w:val="000000"/>
                    <w:sz w:val="22"/>
                  </w:rPr>
                  <w:t>apribojimą)</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p>
                <w:pPr>
                  <w:widowControl w:val="0"/>
                  <w:suppressAutoHyphens/>
                  <w:rPr>
                    <w:color w:val="000000"/>
                    <w:sz w:val="22"/>
                  </w:rPr>
                </w:pPr>
                <w:r>
                  <w:rPr>
                    <w:caps/>
                    <w:color w:val="000000"/>
                    <w:sz w:val="22"/>
                  </w:rPr>
                  <w:t>(</w:t>
                </w:r>
                <w:r>
                  <w:rPr>
                    <w:color w:val="000000"/>
                    <w:sz w:val="22"/>
                  </w:rPr>
                  <w:t>alkoholio sukeltų priepuolių atveju taikant apribojimą 05.08)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9c252954b7499b8f8f6925f9124f4a"/>
            <w:lock w:val="sdtLocked"/>
            <w:richText/>
          </w:sdtPr>
          <w:sdtContent>
            <w:p>
              <w:pPr>
                <w:jc w:val="both"/>
                <w:rPr>
                  <w:sz w:val="22"/>
                </w:rPr>
              </w:pPr>
              <w:r>
                <w:rPr>
                  <w:sz w:val="22"/>
                </w:rPr>
                <w:t>Pastabos:</w:t>
              </w:r>
            </w:p>
          </w:sdtContent>
        </w:sdt>
        <w:sdt>
          <w:sdtPr>
            <w:alias w:val="1 p."/>
            <w:tag w:val="part_b577f3413fa147cf96307a1d99631445"/>
            <w:lock w:val="sdtLocked"/>
            <w:richText/>
          </w:sdtPr>
          <w:sdtContent>
            <w:p>
              <w:pPr>
                <w:jc w:val="both"/>
                <w:rPr>
                  <w:sz w:val="22"/>
                </w:rPr>
              </w:pPr>
              <w:sdt>
                <w:sdtPr>
                  <w:alias w:val="Numeris"/>
                  <w:tag w:val="nr_b577f3413fa147cf96307a1d9963144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b129c8b1863b4a1abaff689f3dcafbb0"/>
            <w:lock w:val="sdtLocked"/>
            <w:richText/>
          </w:sdtPr>
          <w:sdtContent>
            <w:p>
              <w:pPr>
                <w:jc w:val="both"/>
                <w:rPr>
                  <w:sz w:val="22"/>
                </w:rPr>
              </w:pPr>
              <w:sdt>
                <w:sdtPr>
                  <w:alias w:val="Numeris"/>
                  <w:tag w:val="nr_b129c8b1863b4a1abaff689f3dcafbb0"/>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804a45b4307c4e6ebe95f6e76648a0f6"/>
            <w:lock w:val="sdtLocked"/>
            <w:richText/>
          </w:sdtPr>
          <w:sdtContent>
            <w:p>
              <w:pPr>
                <w:jc w:val="both"/>
              </w:pPr>
              <w:sdt>
                <w:sdtPr>
                  <w:alias w:val="Numeris"/>
                  <w:tag w:val="nr_804a45b4307c4e6ebe95f6e76648a0f6"/>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2"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3"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4"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5"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46"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1f3f7767e89e47d582bce088ca57f244"/>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3f7767e89e47d582bce088ca57f244"/>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1f3f7767e89e47d582bce088ca57f244"/>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6fa22bf133ea4e17a056de5dac6a2cf1"/>
                <w:lock w:val="sdtLocked"/>
                <w:richText/>
              </w:sdtPr>
              <w:sdtContent>
                <w:p>
                  <w:pPr>
                    <w:ind w:firstLine="709"/>
                    <w:jc w:val="both"/>
                    <w:rPr>
                      <w:color w:val="000000"/>
                    </w:rPr>
                  </w:pPr>
                  <w:sdt>
                    <w:sdtPr>
                      <w:alias w:val="Numeris"/>
                      <w:tag w:val="nr_6fa22bf133ea4e17a056de5dac6a2cf1"/>
                      <w:lock w:val="sdtLocked"/>
                      <w:richText/>
                    </w:sdtPr>
                    <w:sdtContent>
                      <w:r>
                        <w:t>1</w:t>
                      </w:r>
                    </w:sdtContent>
                  </w:sdt>
                  <w:r>
                    <w:t xml:space="preserve">. Asmenys, norintys įsidarbinti ar dirbantys laivyne, privalo pasitikrinti sveikatą prieš įsidarbindami ir dirbdami tikrintis periodiškai.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93d234978e624f15a7f12e14d01e527a"/>
            <w:lock w:val="sdtLocked"/>
            <w:richText/>
          </w:sdtPr>
          <w:sdtContent>
            <w:p>
              <w:pPr>
                <w:jc w:val="center"/>
                <w:rPr>
                  <w:b/>
                  <w:caps/>
                  <w:color w:val="000000"/>
                </w:rPr>
              </w:pPr>
              <w:sdt>
                <w:sdtPr>
                  <w:alias w:val="Numeris"/>
                  <w:tag w:val="nr_93d234978e624f15a7f12e14d01e527a"/>
                  <w:lock w:val="sdtLocked"/>
                  <w:richText/>
                </w:sdtPr>
                <w:sdtContent>
                  <w:r>
                    <w:rPr>
                      <w:b/>
                      <w:caps/>
                      <w:color w:val="000000"/>
                    </w:rPr>
                    <w:t>II</w:t>
                  </w:r>
                </w:sdtContent>
              </w:sdt>
              <w:r>
                <w:rPr>
                  <w:b/>
                  <w:caps/>
                  <w:color w:val="000000"/>
                </w:rPr>
                <w:t xml:space="preserve">. </w:t>
              </w:r>
              <w:sdt>
                <w:sdtPr>
                  <w:alias w:val="Pavadinimas"/>
                  <w:tag w:val="title_93d234978e624f15a7f12e14d01e527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odontologas,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ontologas,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db1078a13c0748119ef612e6289891c9"/>
            <w:lock w:val="sdtLocked"/>
            <w:richText/>
          </w:sdtPr>
          <w:sdtContent>
            <w:sdt>
              <w:sdtPr>
                <w:alias w:val="Pavadinimas"/>
                <w:tag w:val="title_db1078a13c0748119ef612e6289891c9"/>
                <w:lock w:val="sdtLocked"/>
                <w:richText/>
              </w:sdtPr>
              <w:sdtContent>
                <w:p>
                  <w:pPr>
                    <w:jc w:val="center"/>
                    <w:rPr>
                      <w:b/>
                      <w:caps/>
                      <w:color w:val="000000"/>
                    </w:rPr>
                  </w:pPr>
                  <w:sdt>
                    <w:sdtPr>
                      <w:alias w:val="Numeris"/>
                      <w:tag w:val="nr_db1078a13c0748119ef612e6289891c9"/>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71"/>
                <w:gridCol w:w="1289"/>
                <w:gridCol w:w="1723"/>
                <w:gridCol w:w="756"/>
                <w:gridCol w:w="756"/>
                <w:gridCol w:w="756"/>
                <w:gridCol w:w="756"/>
                <w:gridCol w:w="756"/>
                <w:gridCol w:w="771"/>
                <w:gridCol w:w="1239"/>
              </w:tblGrid>
              <w:tr>
                <w:trPr>
                  <w:tblHeader/>
                </w:trPr>
                <w:tc>
                  <w:tcPr>
                    <w:tcW w:w="1371" w:type="dxa"/>
                    <w:vMerge w:val="restart"/>
                    <w:shd w:val="clear" w:color="auto" w:fill="auto"/>
                  </w:tcPr>
                  <w:p>
                    <w:pPr>
                      <w:widowControl w:val="0"/>
                      <w:ind w:left="360"/>
                      <w:jc w:val="center"/>
                      <w:rPr>
                        <w:sz w:val="14"/>
                      </w:rPr>
                    </w:pPr>
                    <w:r>
                      <w:rPr>
                        <w:sz w:val="14"/>
                      </w:rPr>
                      <w:t>Eil. Nr.</w:t>
                    </w:r>
                  </w:p>
                </w:tc>
                <w:tc>
                  <w:tcPr>
                    <w:tcW w:w="1289" w:type="dxa"/>
                    <w:vMerge w:val="restart"/>
                    <w:shd w:val="clear" w:color="auto" w:fill="auto"/>
                  </w:tcPr>
                  <w:p>
                    <w:pPr>
                      <w:widowControl w:val="0"/>
                      <w:ind w:left="360"/>
                      <w:jc w:val="center"/>
                      <w:rPr>
                        <w:sz w:val="14"/>
                      </w:rPr>
                    </w:pPr>
                    <w:r>
                      <w:rPr>
                        <w:sz w:val="14"/>
                      </w:rPr>
                      <w:t>Susirgimas</w:t>
                    </w:r>
                  </w:p>
                </w:tc>
                <w:tc>
                  <w:tcPr>
                    <w:tcW w:w="6274" w:type="dxa"/>
                    <w:gridSpan w:val="7"/>
                    <w:shd w:val="clear" w:color="auto" w:fill="auto"/>
                  </w:tcPr>
                  <w:p>
                    <w:pPr>
                      <w:widowControl w:val="0"/>
                      <w:ind w:left="360"/>
                      <w:jc w:val="center"/>
                      <w:rPr>
                        <w:sz w:val="14"/>
                      </w:rPr>
                    </w:pPr>
                    <w:r>
                      <w:rPr>
                        <w:sz w:val="14"/>
                      </w:rPr>
                      <w:t>Profesinės grupės</w:t>
                    </w:r>
                  </w:p>
                </w:tc>
                <w:tc>
                  <w:tcPr>
                    <w:tcW w:w="1239" w:type="dxa"/>
                    <w:shd w:val="clear" w:color="auto" w:fill="auto"/>
                  </w:tcPr>
                  <w:p>
                    <w:pPr>
                      <w:widowControl w:val="0"/>
                      <w:ind w:left="360" w:right="425"/>
                      <w:jc w:val="center"/>
                      <w:rPr>
                        <w:sz w:val="14"/>
                      </w:rPr>
                    </w:pPr>
                    <w:r>
                      <w:rPr>
                        <w:sz w:val="14"/>
                      </w:rPr>
                      <w:t>Pastabos</w:t>
                    </w:r>
                  </w:p>
                </w:tc>
              </w:tr>
              <w:tr>
                <w:trPr>
                  <w:tblHeader/>
                </w:trPr>
                <w:tc>
                  <w:tcPr>
                    <w:tcW w:w="1371" w:type="dxa"/>
                    <w:vMerge/>
                    <w:shd w:val="clear" w:color="auto" w:fill="auto"/>
                  </w:tcPr>
                  <w:p>
                    <w:pPr>
                      <w:widowControl w:val="0"/>
                      <w:ind w:left="360"/>
                      <w:rPr>
                        <w:sz w:val="14"/>
                      </w:rPr>
                    </w:pPr>
                  </w:p>
                </w:tc>
                <w:tc>
                  <w:tcPr>
                    <w:tcW w:w="1289" w:type="dxa"/>
                    <w:vMerge/>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I</w:t>
                    </w:r>
                  </w:p>
                </w:tc>
                <w:tc>
                  <w:tcPr>
                    <w:tcW w:w="756" w:type="dxa"/>
                    <w:shd w:val="clear" w:color="auto" w:fill="auto"/>
                  </w:tcPr>
                  <w:p>
                    <w:pPr>
                      <w:widowControl w:val="0"/>
                      <w:ind w:left="360"/>
                      <w:rPr>
                        <w:sz w:val="14"/>
                      </w:rPr>
                    </w:pPr>
                    <w:r>
                      <w:rPr>
                        <w:sz w:val="14"/>
                      </w:rPr>
                      <w:t>II</w:t>
                    </w:r>
                  </w:p>
                </w:tc>
                <w:tc>
                  <w:tcPr>
                    <w:tcW w:w="756" w:type="dxa"/>
                    <w:shd w:val="clear" w:color="auto" w:fill="auto"/>
                  </w:tcPr>
                  <w:p>
                    <w:pPr>
                      <w:widowControl w:val="0"/>
                      <w:ind w:left="360"/>
                      <w:rPr>
                        <w:sz w:val="14"/>
                      </w:rPr>
                    </w:pPr>
                    <w:r>
                      <w:rPr>
                        <w:sz w:val="14"/>
                      </w:rPr>
                      <w:t>III</w:t>
                    </w:r>
                  </w:p>
                </w:tc>
                <w:tc>
                  <w:tcPr>
                    <w:tcW w:w="756" w:type="dxa"/>
                    <w:shd w:val="clear" w:color="auto" w:fill="auto"/>
                  </w:tcPr>
                  <w:p>
                    <w:pPr>
                      <w:widowControl w:val="0"/>
                      <w:ind w:left="360"/>
                      <w:rPr>
                        <w:sz w:val="14"/>
                      </w:rPr>
                    </w:pPr>
                    <w:r>
                      <w:rPr>
                        <w:sz w:val="14"/>
                      </w:rPr>
                      <w:t>IV</w:t>
                    </w:r>
                  </w:p>
                </w:tc>
                <w:tc>
                  <w:tcPr>
                    <w:tcW w:w="756" w:type="dxa"/>
                    <w:shd w:val="clear" w:color="auto" w:fill="auto"/>
                  </w:tcPr>
                  <w:p>
                    <w:pPr>
                      <w:widowControl w:val="0"/>
                      <w:ind w:left="360"/>
                      <w:rPr>
                        <w:sz w:val="14"/>
                      </w:rPr>
                    </w:pPr>
                    <w:r>
                      <w:rPr>
                        <w:sz w:val="14"/>
                      </w:rPr>
                      <w:t>V</w:t>
                    </w:r>
                  </w:p>
                </w:tc>
                <w:tc>
                  <w:tcPr>
                    <w:tcW w:w="756" w:type="dxa"/>
                    <w:shd w:val="clear" w:color="auto" w:fill="auto"/>
                  </w:tcPr>
                  <w:p>
                    <w:pPr>
                      <w:widowControl w:val="0"/>
                      <w:ind w:left="360"/>
                      <w:rPr>
                        <w:sz w:val="14"/>
                      </w:rPr>
                    </w:pPr>
                    <w:r>
                      <w:rPr>
                        <w:sz w:val="14"/>
                      </w:rPr>
                      <w:t>VI</w:t>
                    </w:r>
                  </w:p>
                </w:tc>
                <w:tc>
                  <w:tcPr>
                    <w:tcW w:w="771" w:type="dxa"/>
                    <w:shd w:val="clear" w:color="auto" w:fill="auto"/>
                  </w:tcPr>
                  <w:p>
                    <w:pPr>
                      <w:widowControl w:val="0"/>
                      <w:ind w:left="360"/>
                      <w:rPr>
                        <w:sz w:val="14"/>
                      </w:rPr>
                    </w:pPr>
                    <w:r>
                      <w:rPr>
                        <w:sz w:val="14"/>
                      </w:rPr>
                      <w:t>VII</w:t>
                    </w:r>
                  </w:p>
                </w:tc>
                <w:tc>
                  <w:tcPr>
                    <w:tcW w:w="1239" w:type="dxa"/>
                    <w:shd w:val="clear" w:color="auto" w:fill="auto"/>
                  </w:tcPr>
                  <w:p>
                    <w:pPr>
                      <w:widowControl w:val="0"/>
                      <w:ind w:left="360"/>
                      <w:rPr>
                        <w:sz w:val="14"/>
                      </w:rPr>
                    </w:pPr>
                  </w:p>
                </w:tc>
              </w:tr>
              <w:tr>
                <w:trPr>
                  <w:tblHeader/>
                </w:trPr>
                <w:tc>
                  <w:tcPr>
                    <w:tcW w:w="1371" w:type="dxa"/>
                    <w:vMerge/>
                    <w:shd w:val="clear" w:color="auto" w:fill="auto"/>
                  </w:tcPr>
                  <w:p>
                    <w:pPr>
                      <w:widowControl w:val="0"/>
                      <w:ind w:left="360"/>
                      <w:rPr>
                        <w:sz w:val="14"/>
                      </w:rPr>
                    </w:pPr>
                  </w:p>
                </w:tc>
                <w:tc>
                  <w:tcPr>
                    <w:tcW w:w="1289" w:type="dxa"/>
                    <w:vMerge/>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NS</w:t>
                    </w:r>
                  </w:p>
                </w:tc>
                <w:tc>
                  <w:tcPr>
                    <w:tcW w:w="756" w:type="dxa"/>
                    <w:shd w:val="clear" w:color="auto" w:fill="auto"/>
                  </w:tcPr>
                  <w:p>
                    <w:pPr>
                      <w:widowControl w:val="0"/>
                      <w:ind w:left="360"/>
                      <w:rPr>
                        <w:sz w:val="14"/>
                      </w:rPr>
                    </w:pPr>
                    <w:r>
                      <w:rPr>
                        <w:sz w:val="14"/>
                      </w:rPr>
                      <w:t>NS</w:t>
                    </w:r>
                  </w:p>
                </w:tc>
                <w:tc>
                  <w:tcPr>
                    <w:tcW w:w="756" w:type="dxa"/>
                    <w:shd w:val="clear" w:color="auto" w:fill="auto"/>
                  </w:tcPr>
                  <w:p>
                    <w:pPr>
                      <w:widowControl w:val="0"/>
                      <w:ind w:left="360"/>
                      <w:rPr>
                        <w:sz w:val="14"/>
                      </w:rPr>
                    </w:pPr>
                    <w:r>
                      <w:rPr>
                        <w:sz w:val="14"/>
                      </w:rPr>
                      <w:t>NS</w:t>
                    </w:r>
                  </w:p>
                </w:tc>
                <w:tc>
                  <w:tcPr>
                    <w:tcW w:w="756" w:type="dxa"/>
                    <w:shd w:val="clear" w:color="auto" w:fill="auto"/>
                  </w:tcPr>
                  <w:p>
                    <w:pPr>
                      <w:widowControl w:val="0"/>
                      <w:ind w:left="360"/>
                      <w:rPr>
                        <w:sz w:val="14"/>
                      </w:rPr>
                    </w:pPr>
                    <w:r>
                      <w:rPr>
                        <w:sz w:val="14"/>
                      </w:rPr>
                      <w:t>NS</w:t>
                    </w:r>
                  </w:p>
                </w:tc>
                <w:tc>
                  <w:tcPr>
                    <w:tcW w:w="756" w:type="dxa"/>
                    <w:shd w:val="clear" w:color="auto" w:fill="auto"/>
                  </w:tcPr>
                  <w:p>
                    <w:pPr>
                      <w:widowControl w:val="0"/>
                      <w:ind w:left="360"/>
                      <w:rPr>
                        <w:sz w:val="14"/>
                      </w:rPr>
                    </w:pPr>
                    <w:r>
                      <w:rPr>
                        <w:sz w:val="14"/>
                      </w:rPr>
                      <w:t>NS</w:t>
                    </w:r>
                  </w:p>
                </w:tc>
                <w:tc>
                  <w:tcPr>
                    <w:tcW w:w="756" w:type="dxa"/>
                    <w:shd w:val="clear" w:color="auto" w:fill="auto"/>
                  </w:tcPr>
                  <w:p>
                    <w:pPr>
                      <w:widowControl w:val="0"/>
                      <w:ind w:left="360"/>
                      <w:rPr>
                        <w:sz w:val="14"/>
                      </w:rPr>
                    </w:pPr>
                    <w:r>
                      <w:rPr>
                        <w:sz w:val="14"/>
                      </w:rPr>
                      <w:t>NS</w:t>
                    </w:r>
                  </w:p>
                </w:tc>
                <w:tc>
                  <w:tcPr>
                    <w:tcW w:w="771" w:type="dxa"/>
                    <w:shd w:val="clear" w:color="auto" w:fill="auto"/>
                  </w:tcPr>
                  <w:p>
                    <w:pPr>
                      <w:widowControl w:val="0"/>
                      <w:ind w:left="360"/>
                      <w:rPr>
                        <w:sz w:val="14"/>
                      </w:rPr>
                    </w:pPr>
                    <w:r>
                      <w:rPr>
                        <w:sz w:val="14"/>
                      </w:rPr>
                      <w:t>NS</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1.</w:t>
                    </w:r>
                  </w:p>
                </w:tc>
                <w:tc>
                  <w:tcPr>
                    <w:tcW w:w="1289" w:type="dxa"/>
                    <w:shd w:val="clear" w:color="auto" w:fill="auto"/>
                  </w:tcPr>
                  <w:p>
                    <w:pPr>
                      <w:widowControl w:val="0"/>
                      <w:ind w:left="360"/>
                      <w:rPr>
                        <w:sz w:val="14"/>
                      </w:rPr>
                    </w:pPr>
                    <w:r>
                      <w:rPr>
                        <w:sz w:val="14"/>
                      </w:rPr>
                      <w:t xml:space="preserve">Širdies ligos (įvairios etiologijos miokarditas,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vMerge w:val="restart"/>
                    <w:shd w:val="clear" w:color="auto" w:fill="auto"/>
                  </w:tcPr>
                  <w:p>
                    <w:pPr>
                      <w:widowControl w:val="0"/>
                      <w:rPr>
                        <w:sz w:val="14"/>
                      </w:rPr>
                    </w:pPr>
                    <w:r>
                      <w:rPr>
                        <w:sz w:val="14"/>
                      </w:rPr>
                      <w:t>Diagnozė patvirtinama elektrokardiografijos, echokardiografijos,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perikarditas, miokardo distrofija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vMerge/>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krūvio mėginiais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1.1</w:t>
                    </w:r>
                  </w:p>
                </w:tc>
                <w:tc>
                  <w:tcPr>
                    <w:tcW w:w="1289" w:type="dxa"/>
                    <w:shd w:val="clear" w:color="auto" w:fill="auto"/>
                  </w:tcPr>
                  <w:p>
                    <w:pPr>
                      <w:widowControl w:val="0"/>
                      <w:ind w:left="360"/>
                      <w:rPr>
                        <w:sz w:val="14"/>
                      </w:rPr>
                    </w:pPr>
                    <w:r>
                      <w:rPr>
                        <w:sz w:val="14"/>
                      </w:rPr>
                      <w:t>Širdies ritmo sutrikimai:</w:t>
                    </w:r>
                  </w:p>
                </w:tc>
                <w:tc>
                  <w:tcPr>
                    <w:tcW w:w="1723"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a) kompensuotos kraujo apytakos stadija</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b) dekompensuotos kraujo apytakos stadija</w:t>
                    </w:r>
                  </w:p>
                </w:tc>
                <w:tc>
                  <w:tcPr>
                    <w:tcW w:w="1723"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1.2</w:t>
                    </w:r>
                  </w:p>
                </w:tc>
                <w:tc>
                  <w:tcPr>
                    <w:tcW w:w="1289" w:type="dxa"/>
                    <w:shd w:val="clear" w:color="auto" w:fill="auto"/>
                  </w:tcPr>
                  <w:p>
                    <w:pPr>
                      <w:widowControl w:val="0"/>
                      <w:ind w:left="360"/>
                      <w:rPr>
                        <w:sz w:val="14"/>
                      </w:rPr>
                    </w:pPr>
                    <w:r>
                      <w:rPr>
                        <w:sz w:val="14"/>
                      </w:rPr>
                      <w:t xml:space="preserve">Širdies ritmo sutrikimai (virpamoji aritmija, </w:t>
                    </w:r>
                  </w:p>
                </w:tc>
                <w:tc>
                  <w:tcPr>
                    <w:tcW w:w="1723"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paroksizminė tachikardija)</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1.3</w:t>
                    </w:r>
                  </w:p>
                </w:tc>
                <w:tc>
                  <w:tcPr>
                    <w:tcW w:w="1289" w:type="dxa"/>
                    <w:shd w:val="clear" w:color="auto" w:fill="auto"/>
                  </w:tcPr>
                  <w:p>
                    <w:pPr>
                      <w:widowControl w:val="0"/>
                      <w:ind w:left="360"/>
                      <w:rPr>
                        <w:sz w:val="14"/>
                      </w:rPr>
                    </w:pPr>
                    <w:r>
                      <w:rPr>
                        <w:sz w:val="14"/>
                      </w:rPr>
                      <w:t>Širdies dirglumo sutrikimai</w:t>
                    </w:r>
                  </w:p>
                </w:tc>
                <w:tc>
                  <w:tcPr>
                    <w:tcW w:w="1723"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rPr>
                        <w:sz w:val="14"/>
                      </w:rPr>
                    </w:pPr>
                    <w:r>
                      <w:rPr>
                        <w:sz w:val="14"/>
                      </w:rPr>
                      <w:t>Apie galimybę dirbti laivyne sprendžiama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a) pavienės, retos (iki 4-5 per minutę)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rPr>
                        <w:sz w:val="14"/>
                      </w:rPr>
                    </w:pPr>
                    <w:r>
                      <w:rPr>
                        <w:sz w:val="14"/>
                      </w:rPr>
                      <w:t>atsižvelgiant į pagrindinį susirgimą</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ekstrasistolės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b) dažnos grupinės ir kt. ekstrasistolės</w:t>
                    </w:r>
                  </w:p>
                </w:tc>
                <w:tc>
                  <w:tcPr>
                    <w:tcW w:w="1723"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1.4</w:t>
                    </w:r>
                  </w:p>
                </w:tc>
                <w:tc>
                  <w:tcPr>
                    <w:tcW w:w="1289" w:type="dxa"/>
                    <w:shd w:val="clear" w:color="auto" w:fill="auto"/>
                  </w:tcPr>
                  <w:p>
                    <w:pPr>
                      <w:widowControl w:val="0"/>
                      <w:ind w:left="360"/>
                      <w:rPr>
                        <w:sz w:val="14"/>
                      </w:rPr>
                    </w:pPr>
                    <w:r>
                      <w:rPr>
                        <w:sz w:val="14"/>
                      </w:rPr>
                      <w:t>Širdies laidumo sutrikimai (širdies blokados):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a) A-V blokada I-III</w:t>
                    </w:r>
                  </w:p>
                </w:tc>
                <w:tc>
                  <w:tcPr>
                    <w:tcW w:w="1723"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b) dalinė bet kurios Hiso pluošto kojytės blokada</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c) visiška bet kurios Hiso pluošto kojytės blokada</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2.</w:t>
                    </w:r>
                  </w:p>
                </w:tc>
                <w:tc>
                  <w:tcPr>
                    <w:tcW w:w="1289"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723" w:type="dxa"/>
                    <w:shd w:val="clear" w:color="auto" w:fill="auto"/>
                  </w:tcPr>
                  <w:p>
                    <w:pPr>
                      <w:rPr>
                        <w:sz w:val="14"/>
                        <w:szCs w:val="14"/>
                        <w:lang w:eastAsia="lt-LT"/>
                      </w:rPr>
                    </w:pPr>
                    <w:r>
                      <w:rPr>
                        <w:sz w:val="14"/>
                        <w:szCs w:val="14"/>
                        <w:lang w:eastAsia="lt-LT"/>
                      </w:rPr>
                      <w:t>33</w:t>
                    </w:r>
                  </w:p>
                </w:tc>
                <w:tc>
                  <w:tcPr>
                    <w:tcW w:w="756" w:type="dxa"/>
                    <w:shd w:val="clear" w:color="auto" w:fill="auto"/>
                  </w:tcPr>
                  <w:p>
                    <w:pPr>
                      <w:rPr>
                        <w:sz w:val="14"/>
                        <w:szCs w:val="14"/>
                        <w:lang w:eastAsia="lt-LT"/>
                      </w:rPr>
                    </w:pPr>
                    <w:r>
                      <w:rPr>
                        <w:sz w:val="14"/>
                        <w:szCs w:val="14"/>
                        <w:lang w:eastAsia="lt-LT"/>
                      </w:rPr>
                      <w:t>33</w:t>
                    </w:r>
                  </w:p>
                </w:tc>
                <w:tc>
                  <w:tcPr>
                    <w:tcW w:w="756" w:type="dxa"/>
                    <w:shd w:val="clear" w:color="auto" w:fill="auto"/>
                  </w:tcPr>
                  <w:p>
                    <w:pPr>
                      <w:rPr>
                        <w:sz w:val="14"/>
                        <w:szCs w:val="14"/>
                        <w:lang w:eastAsia="lt-LT"/>
                      </w:rPr>
                    </w:pPr>
                    <w:r>
                      <w:rPr>
                        <w:sz w:val="14"/>
                        <w:szCs w:val="14"/>
                        <w:lang w:eastAsia="lt-LT"/>
                      </w:rPr>
                      <w:t>33</w:t>
                    </w:r>
                  </w:p>
                </w:tc>
                <w:tc>
                  <w:tcPr>
                    <w:tcW w:w="756" w:type="dxa"/>
                    <w:shd w:val="clear" w:color="auto" w:fill="auto"/>
                  </w:tcPr>
                  <w:p>
                    <w:pPr>
                      <w:rPr>
                        <w:sz w:val="14"/>
                        <w:szCs w:val="14"/>
                        <w:lang w:eastAsia="lt-LT"/>
                      </w:rPr>
                    </w:pPr>
                    <w:r>
                      <w:rPr>
                        <w:sz w:val="14"/>
                        <w:szCs w:val="14"/>
                        <w:lang w:eastAsia="lt-LT"/>
                      </w:rPr>
                      <w:t>33</w:t>
                    </w:r>
                  </w:p>
                </w:tc>
                <w:tc>
                  <w:tcPr>
                    <w:tcW w:w="756" w:type="dxa"/>
                    <w:shd w:val="clear" w:color="auto" w:fill="auto"/>
                  </w:tcPr>
                  <w:p>
                    <w:pPr>
                      <w:rPr>
                        <w:sz w:val="14"/>
                        <w:szCs w:val="14"/>
                        <w:lang w:eastAsia="lt-LT"/>
                      </w:rPr>
                    </w:pPr>
                    <w:r>
                      <w:rPr>
                        <w:sz w:val="14"/>
                        <w:szCs w:val="14"/>
                        <w:lang w:eastAsia="lt-LT"/>
                      </w:rPr>
                      <w:t>33</w:t>
                    </w:r>
                  </w:p>
                </w:tc>
                <w:tc>
                  <w:tcPr>
                    <w:tcW w:w="756" w:type="dxa"/>
                    <w:shd w:val="clear" w:color="auto" w:fill="auto"/>
                  </w:tcPr>
                  <w:p>
                    <w:pPr>
                      <w:rPr>
                        <w:sz w:val="14"/>
                        <w:szCs w:val="14"/>
                        <w:lang w:eastAsia="lt-LT"/>
                      </w:rPr>
                    </w:pPr>
                    <w:r>
                      <w:rPr>
                        <w:sz w:val="14"/>
                        <w:szCs w:val="14"/>
                        <w:lang w:eastAsia="lt-LT"/>
                      </w:rPr>
                      <w:t>33</w:t>
                    </w:r>
                  </w:p>
                </w:tc>
                <w:tc>
                  <w:tcPr>
                    <w:tcW w:w="771" w:type="dxa"/>
                    <w:shd w:val="clear" w:color="auto" w:fill="auto"/>
                  </w:tcPr>
                  <w:p>
                    <w:pPr>
                      <w:rPr>
                        <w:sz w:val="14"/>
                        <w:szCs w:val="14"/>
                        <w:lang w:eastAsia="lt-LT"/>
                      </w:rPr>
                    </w:pPr>
                    <w:r>
                      <w:rPr>
                        <w:sz w:val="14"/>
                        <w:szCs w:val="14"/>
                        <w:lang w:eastAsia="lt-LT"/>
                      </w:rPr>
                      <w:t>33</w:t>
                    </w:r>
                  </w:p>
                </w:tc>
                <w:tc>
                  <w:tcPr>
                    <w:tcW w:w="1239"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371" w:type="dxa"/>
                    <w:shd w:val="clear" w:color="auto" w:fill="auto"/>
                  </w:tcPr>
                  <w:p>
                    <w:pPr>
                      <w:widowControl w:val="0"/>
                      <w:ind w:left="360"/>
                      <w:rPr>
                        <w:sz w:val="14"/>
                      </w:rPr>
                    </w:pPr>
                  </w:p>
                </w:tc>
                <w:tc>
                  <w:tcPr>
                    <w:tcW w:w="1289" w:type="dxa"/>
                    <w:shd w:val="clear" w:color="auto" w:fill="auto"/>
                  </w:tcPr>
                  <w:p>
                    <w:pPr>
                      <w:rPr>
                        <w:sz w:val="14"/>
                        <w:szCs w:val="14"/>
                        <w:lang w:eastAsia="lt-LT"/>
                      </w:rPr>
                    </w:pPr>
                  </w:p>
                </w:tc>
                <w:tc>
                  <w:tcPr>
                    <w:tcW w:w="1723" w:type="dxa"/>
                    <w:shd w:val="clear" w:color="auto" w:fill="auto"/>
                  </w:tcPr>
                  <w:p>
                    <w:pPr>
                      <w:rPr>
                        <w:sz w:val="14"/>
                        <w:szCs w:val="14"/>
                        <w:lang w:eastAsia="lt-LT"/>
                      </w:rPr>
                    </w:pPr>
                  </w:p>
                </w:tc>
                <w:tc>
                  <w:tcPr>
                    <w:tcW w:w="756" w:type="dxa"/>
                    <w:shd w:val="clear" w:color="auto" w:fill="auto"/>
                  </w:tcPr>
                  <w:p>
                    <w:pPr>
                      <w:rPr>
                        <w:sz w:val="14"/>
                        <w:szCs w:val="14"/>
                        <w:lang w:eastAsia="lt-LT"/>
                      </w:rPr>
                    </w:pPr>
                  </w:p>
                </w:tc>
                <w:tc>
                  <w:tcPr>
                    <w:tcW w:w="756" w:type="dxa"/>
                    <w:shd w:val="clear" w:color="auto" w:fill="auto"/>
                  </w:tcPr>
                  <w:p>
                    <w:pPr>
                      <w:rPr>
                        <w:sz w:val="14"/>
                        <w:szCs w:val="14"/>
                        <w:lang w:eastAsia="lt-LT"/>
                      </w:rPr>
                    </w:pPr>
                  </w:p>
                </w:tc>
                <w:tc>
                  <w:tcPr>
                    <w:tcW w:w="756" w:type="dxa"/>
                    <w:shd w:val="clear" w:color="auto" w:fill="auto"/>
                  </w:tcPr>
                  <w:p>
                    <w:pPr>
                      <w:rPr>
                        <w:sz w:val="14"/>
                        <w:szCs w:val="14"/>
                        <w:lang w:eastAsia="lt-LT"/>
                      </w:rPr>
                    </w:pPr>
                  </w:p>
                </w:tc>
                <w:tc>
                  <w:tcPr>
                    <w:tcW w:w="756" w:type="dxa"/>
                    <w:shd w:val="clear" w:color="auto" w:fill="auto"/>
                  </w:tcPr>
                  <w:p>
                    <w:pPr>
                      <w:rPr>
                        <w:sz w:val="14"/>
                        <w:szCs w:val="14"/>
                        <w:lang w:eastAsia="lt-LT"/>
                      </w:rPr>
                    </w:pPr>
                  </w:p>
                </w:tc>
                <w:tc>
                  <w:tcPr>
                    <w:tcW w:w="756" w:type="dxa"/>
                    <w:shd w:val="clear" w:color="auto" w:fill="auto"/>
                  </w:tcPr>
                  <w:p>
                    <w:pPr>
                      <w:rPr>
                        <w:sz w:val="14"/>
                        <w:szCs w:val="14"/>
                        <w:lang w:eastAsia="lt-LT"/>
                      </w:rPr>
                    </w:pPr>
                  </w:p>
                </w:tc>
                <w:tc>
                  <w:tcPr>
                    <w:tcW w:w="771" w:type="dxa"/>
                    <w:shd w:val="clear" w:color="auto" w:fill="auto"/>
                  </w:tcPr>
                  <w:p>
                    <w:pPr>
                      <w:rPr>
                        <w:sz w:val="14"/>
                        <w:szCs w:val="14"/>
                        <w:lang w:eastAsia="lt-LT"/>
                      </w:rPr>
                    </w:pPr>
                  </w:p>
                </w:tc>
                <w:tc>
                  <w:tcPr>
                    <w:tcW w:w="1239"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371" w:type="dxa"/>
                    <w:shd w:val="clear" w:color="auto" w:fill="auto"/>
                  </w:tcPr>
                  <w:p>
                    <w:pPr>
                      <w:widowControl w:val="0"/>
                      <w:ind w:left="360"/>
                      <w:rPr>
                        <w:sz w:val="14"/>
                      </w:rPr>
                    </w:pPr>
                    <w:r>
                      <w:rPr>
                        <w:sz w:val="14"/>
                      </w:rPr>
                      <w:t>3.</w:t>
                    </w:r>
                  </w:p>
                </w:tc>
                <w:tc>
                  <w:tcPr>
                    <w:tcW w:w="1289" w:type="dxa"/>
                    <w:shd w:val="clear" w:color="auto" w:fill="auto"/>
                  </w:tcPr>
                  <w:p>
                    <w:pPr>
                      <w:widowControl w:val="0"/>
                      <w:ind w:left="360"/>
                      <w:rPr>
                        <w:sz w:val="14"/>
                      </w:rPr>
                    </w:pPr>
                    <w:r>
                      <w:rPr>
                        <w:sz w:val="14"/>
                      </w:rPr>
                      <w:t>Pirminė arterinė hipertenzija:</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a) I stadija</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b) II stadija</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r>
                      <w:rPr>
                        <w:sz w:val="14"/>
                      </w:rPr>
                      <w:t>Seniai dirbantys asmenys, neturintys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ritmo ir laidumo sutrikimų bei krūtinės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anginos priepuolių, gali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tačiau apie tai sprendžiama individualiai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c) III stadija</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4.</w:t>
                    </w:r>
                  </w:p>
                </w:tc>
                <w:tc>
                  <w:tcPr>
                    <w:tcW w:w="1289" w:type="dxa"/>
                    <w:shd w:val="clear" w:color="auto" w:fill="auto"/>
                  </w:tcPr>
                  <w:p>
                    <w:pPr>
                      <w:widowControl w:val="0"/>
                      <w:ind w:left="360"/>
                      <w:rPr>
                        <w:sz w:val="14"/>
                      </w:rPr>
                    </w:pPr>
                    <w:r>
                      <w:rPr>
                        <w:sz w:val="14"/>
                      </w:rPr>
                      <w:t>Įgimtos bei įgytos širdies ir stambiųjų</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kraujagyslių ydos: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a) I-II laipsnio mitralinio vožtuvo prolapsas be </w:t>
                    </w:r>
                  </w:p>
                </w:tc>
                <w:tc>
                  <w:tcPr>
                    <w:tcW w:w="1723"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71" w:type="dxa"/>
                    <w:shd w:val="clear" w:color="auto" w:fill="auto"/>
                  </w:tcPr>
                  <w:p>
                    <w:pPr>
                      <w:widowControl w:val="0"/>
                      <w:ind w:left="360"/>
                      <w:rPr>
                        <w:sz w:val="14"/>
                      </w:rPr>
                    </w:pPr>
                    <w:r>
                      <w:rPr>
                        <w:sz w:val="14"/>
                      </w:rPr>
                      <w:t>31</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hemodinamikos ir ritmo sutrikimų</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b) WPW sindromas be hemodinamikos ir ritmo </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sutrikimų</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5.</w:t>
                    </w:r>
                  </w:p>
                </w:tc>
                <w:tc>
                  <w:tcPr>
                    <w:tcW w:w="1289" w:type="dxa"/>
                    <w:shd w:val="clear" w:color="auto" w:fill="auto"/>
                  </w:tcPr>
                  <w:p>
                    <w:pPr>
                      <w:widowControl w:val="0"/>
                      <w:ind w:left="360"/>
                      <w:rPr>
                        <w:sz w:val="14"/>
                      </w:rPr>
                    </w:pPr>
                    <w:r>
                      <w:rPr>
                        <w:sz w:val="14"/>
                      </w:rPr>
                      <w:t xml:space="preserve">Kvėpavimo organų ligos (lėtinis bronchitas, </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r>
                      <w:rPr>
                        <w:sz w:val="14"/>
                      </w:rPr>
                      <w:t>Lengvo laipsnio plaučių funkcijos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pneumosklerozė, bronchektazinė liga, plaučių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nepakankamumo atveju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emfizema) esant plaučių ir širdies funkcijos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gali dirbti laivyne, bet</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nepakankamumui</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sprendžiama individualiai; apie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persirgusių plaučių uždegimu galimybę</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 xml:space="preserve">dirbti laivyne sprendžiama praėjus </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6 mėnesiams po ligos</w:t>
                    </w:r>
                  </w:p>
                </w:tc>
              </w:tr>
              <w:tr>
                <w:tc>
                  <w:tcPr>
                    <w:tcW w:w="1371" w:type="dxa"/>
                    <w:shd w:val="clear" w:color="auto" w:fill="auto"/>
                  </w:tcPr>
                  <w:p>
                    <w:pPr>
                      <w:widowControl w:val="0"/>
                      <w:ind w:left="360"/>
                      <w:rPr>
                        <w:sz w:val="14"/>
                      </w:rPr>
                    </w:pPr>
                    <w:r>
                      <w:rPr>
                        <w:sz w:val="14"/>
                      </w:rPr>
                      <w:t>6.</w:t>
                    </w:r>
                  </w:p>
                </w:tc>
                <w:tc>
                  <w:tcPr>
                    <w:tcW w:w="1289" w:type="dxa"/>
                    <w:shd w:val="clear" w:color="auto" w:fill="auto"/>
                  </w:tcPr>
                  <w:p>
                    <w:pPr>
                      <w:widowControl w:val="0"/>
                      <w:ind w:left="360"/>
                      <w:rPr>
                        <w:sz w:val="14"/>
                      </w:rPr>
                    </w:pPr>
                    <w:r>
                      <w:rPr>
                        <w:sz w:val="14"/>
                      </w:rPr>
                      <w:t xml:space="preserve">Virškinimo sistemos ligos (dvylikapirštės žarnos </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r>
                      <w:rPr>
                        <w:sz w:val="14"/>
                      </w:rPr>
                      <w:t>a) Po gydymo esant nuolatinei remisijai,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ir skrandžio opaligė, gastritai, gastroduodenitai,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tačiau ne anksčiau kaip po 6 mėnesių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neinfekcinės kilmės enteritai, kolitai, lėtinės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visų profesinių grupių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kepenų, tulžies pūslės, kasos ir kt. ligos)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gali dirbti laivyne, išskyrus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persirgusius dvylikapirštės žarnos ir</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skrandžio opalige,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 po operacinio arba konservatyviojo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dvylikapirštės žarnos arba skrandžio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opaligės gydymo, esant nuolatinei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remisijai, tačiau ne anksčiau kaip po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12 mėnesių visų profesinių grupių seniai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dirbantys asmenys gali dirbti laivyne</w:t>
                    </w:r>
                  </w:p>
                </w:tc>
              </w:tr>
              <w:tr>
                <w:tc>
                  <w:tcPr>
                    <w:tcW w:w="1371" w:type="dxa"/>
                    <w:shd w:val="clear" w:color="auto" w:fill="auto"/>
                  </w:tcPr>
                  <w:p>
                    <w:pPr>
                      <w:widowControl w:val="0"/>
                      <w:ind w:left="360"/>
                      <w:rPr>
                        <w:sz w:val="14"/>
                      </w:rPr>
                    </w:pPr>
                    <w:r>
                      <w:rPr>
                        <w:sz w:val="14"/>
                      </w:rPr>
                      <w:t>7.</w:t>
                    </w:r>
                  </w:p>
                </w:tc>
                <w:tc>
                  <w:tcPr>
                    <w:tcW w:w="1289" w:type="dxa"/>
                    <w:shd w:val="clear" w:color="auto" w:fill="auto"/>
                  </w:tcPr>
                  <w:p>
                    <w:pPr>
                      <w:widowControl w:val="0"/>
                      <w:ind w:left="360"/>
                      <w:rPr>
                        <w:sz w:val="14"/>
                      </w:rPr>
                    </w:pPr>
                    <w:r>
                      <w:rPr>
                        <w:sz w:val="14"/>
                      </w:rPr>
                      <w:t>Tulžės pūslės akmenligė</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operacinio arba konservatyviojo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gydymo, nesant konkrementų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rentgenologinio arba echoskopinio tyrimo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metu, seniai dirbantys visų profesinių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grupių asmenys gali dirbti laivyne</w:t>
                    </w:r>
                  </w:p>
                </w:tc>
              </w:tr>
              <w:tr>
                <w:tc>
                  <w:tcPr>
                    <w:tcW w:w="1371" w:type="dxa"/>
                    <w:shd w:val="clear" w:color="auto" w:fill="auto"/>
                  </w:tcPr>
                  <w:p>
                    <w:pPr>
                      <w:widowControl w:val="0"/>
                      <w:ind w:left="360"/>
                      <w:rPr>
                        <w:sz w:val="14"/>
                      </w:rPr>
                    </w:pPr>
                    <w:r>
                      <w:rPr>
                        <w:sz w:val="14"/>
                      </w:rPr>
                      <w:t>8.</w:t>
                    </w:r>
                  </w:p>
                </w:tc>
                <w:tc>
                  <w:tcPr>
                    <w:tcW w:w="1289" w:type="dxa"/>
                    <w:shd w:val="clear" w:color="auto" w:fill="auto"/>
                  </w:tcPr>
                  <w:p>
                    <w:pPr>
                      <w:widowControl w:val="0"/>
                      <w:ind w:left="360"/>
                      <w:rPr>
                        <w:sz w:val="14"/>
                      </w:rPr>
                    </w:pPr>
                    <w:r>
                      <w:rPr>
                        <w:sz w:val="14"/>
                      </w:rPr>
                      <w:t>Endokrininės sistemos ligos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Seniai dirbantys asmenys, turintys lengvo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laipsnio funkcinių sutrikimų, išskyrus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antinksčių nepakankamumą, gali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w:t>
                    </w:r>
                  </w:p>
                </w:tc>
              </w:tr>
              <w:tr>
                <w:tc>
                  <w:tcPr>
                    <w:tcW w:w="1371" w:type="dxa"/>
                    <w:shd w:val="clear" w:color="auto" w:fill="auto"/>
                  </w:tcPr>
                  <w:p>
                    <w:pPr>
                      <w:widowControl w:val="0"/>
                      <w:ind w:left="360"/>
                      <w:rPr>
                        <w:sz w:val="14"/>
                      </w:rPr>
                    </w:pPr>
                    <w:r>
                      <w:rPr>
                        <w:sz w:val="14"/>
                      </w:rPr>
                      <w:t>9.</w:t>
                    </w:r>
                  </w:p>
                </w:tc>
                <w:tc>
                  <w:tcPr>
                    <w:tcW w:w="1289" w:type="dxa"/>
                    <w:shd w:val="clear" w:color="auto" w:fill="auto"/>
                  </w:tcPr>
                  <w:p>
                    <w:pPr>
                      <w:widowControl w:val="0"/>
                      <w:ind w:left="360"/>
                      <w:rPr>
                        <w:sz w:val="14"/>
                      </w:rPr>
                    </w:pPr>
                    <w:r>
                      <w:rPr>
                        <w:sz w:val="14"/>
                      </w:rPr>
                      <w:t>Kraujo ir kraujodaros ligos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Seniai dirbantys asmenys, sergantys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ferodeficitine anemija, kurių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hematologiniai rodikliai visada geri, gali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dirbti laivyne</w:t>
                    </w:r>
                  </w:p>
                </w:tc>
              </w:tr>
              <w:tr>
                <w:tc>
                  <w:tcPr>
                    <w:tcW w:w="1371" w:type="dxa"/>
                    <w:shd w:val="clear" w:color="auto" w:fill="auto"/>
                  </w:tcPr>
                  <w:p>
                    <w:pPr>
                      <w:widowControl w:val="0"/>
                      <w:ind w:left="360"/>
                      <w:rPr>
                        <w:sz w:val="14"/>
                      </w:rPr>
                    </w:pPr>
                    <w:r>
                      <w:rPr>
                        <w:sz w:val="14"/>
                      </w:rPr>
                      <w:t>10.</w:t>
                    </w:r>
                  </w:p>
                </w:tc>
                <w:tc>
                  <w:tcPr>
                    <w:tcW w:w="1289" w:type="dxa"/>
                    <w:shd w:val="clear" w:color="auto" w:fill="auto"/>
                  </w:tcPr>
                  <w:p>
                    <w:pPr>
                      <w:widowControl w:val="0"/>
                      <w:ind w:left="360"/>
                      <w:rPr>
                        <w:sz w:val="14"/>
                      </w:rPr>
                    </w:pPr>
                    <w:r>
                      <w:rPr>
                        <w:sz w:val="14"/>
                      </w:rPr>
                      <w:t>Jungiamojo audinio ligos (reumatas, reuma-</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a)Seniai dirbantys visų profesinių grupių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toidinis artritas, sisteminė raudonoji vilkligė,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išskyrus III, V, VI bei VII, taip pat</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sisteminė sklerodermija, mazginis periarterijitas,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virėjus, skalbėjas bei VII grupės kambuzo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dermatomiozitas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pagalbinius darbininkus, sergantys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neaktyvia reumato forma be vožtuvų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pažeidimo, jeigu per 12 mėnesių liga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nepaūmėja, gali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 seniai dirbantys visų profesinių grupių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sergantys neaktyvia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reumatoidinio artrito forma be funkcijos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pažeidimo, gali dirbti laivyne</w:t>
                    </w:r>
                  </w:p>
                </w:tc>
              </w:tr>
              <w:tr>
                <w:tc>
                  <w:tcPr>
                    <w:tcW w:w="1371" w:type="dxa"/>
                    <w:shd w:val="clear" w:color="auto" w:fill="auto"/>
                  </w:tcPr>
                  <w:p>
                    <w:pPr>
                      <w:widowControl w:val="0"/>
                      <w:ind w:left="360"/>
                      <w:rPr>
                        <w:sz w:val="14"/>
                      </w:rPr>
                    </w:pPr>
                    <w:r>
                      <w:rPr>
                        <w:sz w:val="14"/>
                      </w:rPr>
                      <w:t>11.</w:t>
                    </w:r>
                  </w:p>
                </w:tc>
                <w:tc>
                  <w:tcPr>
                    <w:tcW w:w="1289" w:type="dxa"/>
                    <w:shd w:val="clear" w:color="auto" w:fill="auto"/>
                  </w:tcPr>
                  <w:p>
                    <w:pPr>
                      <w:widowControl w:val="0"/>
                      <w:ind w:left="360"/>
                      <w:rPr>
                        <w:sz w:val="14"/>
                      </w:rPr>
                    </w:pPr>
                    <w:r>
                      <w:rPr>
                        <w:sz w:val="14"/>
                      </w:rPr>
                      <w:t xml:space="preserve">Alerginės ligos (nazofaringitai, bronchitai,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Nustačius alergeną, kuris tiesiogiai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konjunktyvitai, artritai, dermatitai, Reiterio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nesusijęs su profesija,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sindromas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visų profesinių grupių asmenys, kurie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neturi funkcinių sutrikimų visiškos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kompensacijos stadijoje, gali dirbti laivyne</w:t>
                    </w:r>
                  </w:p>
                </w:tc>
              </w:tr>
              <w:tr>
                <w:tc>
                  <w:tcPr>
                    <w:tcW w:w="1371" w:type="dxa"/>
                    <w:shd w:val="clear" w:color="auto" w:fill="auto"/>
                  </w:tcPr>
                  <w:p>
                    <w:pPr>
                      <w:widowControl w:val="0"/>
                      <w:ind w:left="360"/>
                      <w:rPr>
                        <w:sz w:val="14"/>
                      </w:rPr>
                    </w:pPr>
                    <w:r>
                      <w:rPr>
                        <w:sz w:val="14"/>
                      </w:rPr>
                      <w:t>12.</w:t>
                    </w:r>
                  </w:p>
                </w:tc>
                <w:tc>
                  <w:tcPr>
                    <w:tcW w:w="1289" w:type="dxa"/>
                    <w:shd w:val="clear" w:color="auto" w:fill="auto"/>
                  </w:tcPr>
                  <w:p>
                    <w:pPr>
                      <w:widowControl w:val="0"/>
                      <w:ind w:left="360"/>
                      <w:rPr>
                        <w:sz w:val="14"/>
                      </w:rPr>
                    </w:pPr>
                    <w:r>
                      <w:rPr>
                        <w:sz w:val="14"/>
                      </w:rPr>
                      <w:t xml:space="preserve">Šlapimą išskiriančios sistemos ligos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Jei po gydymo yra remisija, gali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(pielonefritai, cistitai, uretritai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 bet ne anksčiau kaip po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6 mėnesių (nuo gydymo pabaigos)</w:t>
                    </w:r>
                  </w:p>
                </w:tc>
              </w:tr>
              <w:tr>
                <w:tc>
                  <w:tcPr>
                    <w:tcW w:w="1371" w:type="dxa"/>
                    <w:shd w:val="clear" w:color="auto" w:fill="auto"/>
                  </w:tcPr>
                  <w:p>
                    <w:pPr>
                      <w:widowControl w:val="0"/>
                      <w:ind w:left="360"/>
                      <w:rPr>
                        <w:sz w:val="14"/>
                      </w:rPr>
                    </w:pPr>
                    <w:r>
                      <w:rPr>
                        <w:sz w:val="14"/>
                      </w:rPr>
                      <w:t>13.</w:t>
                    </w:r>
                  </w:p>
                </w:tc>
                <w:tc>
                  <w:tcPr>
                    <w:tcW w:w="1289" w:type="dxa"/>
                    <w:shd w:val="clear" w:color="auto" w:fill="auto"/>
                  </w:tcPr>
                  <w:p>
                    <w:pPr>
                      <w:widowControl w:val="0"/>
                      <w:ind w:left="360"/>
                      <w:rPr>
                        <w:sz w:val="14"/>
                      </w:rPr>
                    </w:pPr>
                    <w:r>
                      <w:rPr>
                        <w:sz w:val="14"/>
                      </w:rPr>
                      <w:t>Inkstų, šlapimtakių ar šlapimo pūslės akmenligė</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Jei po operacinio ar konservatyviojo gydymo,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rentgenologinio arba echoskopinio tyrimo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metu nėra konkrementų,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visų profesinių grupių asmenys gali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w:t>
                    </w:r>
                  </w:p>
                </w:tc>
              </w:tr>
              <w:tr>
                <w:tc>
                  <w:tcPr>
                    <w:tcW w:w="1371" w:type="dxa"/>
                    <w:shd w:val="clear" w:color="auto" w:fill="auto"/>
                  </w:tcPr>
                  <w:p>
                    <w:pPr>
                      <w:widowControl w:val="0"/>
                      <w:ind w:left="360"/>
                      <w:rPr>
                        <w:sz w:val="14"/>
                      </w:rPr>
                    </w:pPr>
                    <w:r>
                      <w:rPr>
                        <w:sz w:val="14"/>
                      </w:rPr>
                      <w:t>15.</w:t>
                    </w:r>
                  </w:p>
                </w:tc>
                <w:tc>
                  <w:tcPr>
                    <w:tcW w:w="1289" w:type="dxa"/>
                    <w:shd w:val="clear" w:color="auto" w:fill="auto"/>
                  </w:tcPr>
                  <w:p>
                    <w:pPr>
                      <w:widowControl w:val="0"/>
                      <w:ind w:left="360"/>
                      <w:rPr>
                        <w:sz w:val="14"/>
                      </w:rPr>
                    </w:pPr>
                    <w:r>
                      <w:rPr>
                        <w:sz w:val="14"/>
                      </w:rPr>
                      <w:t xml:space="preserve">Vyriškų lytinių organų ligos (prostatitai, </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r>
                      <w:rPr>
                        <w:sz w:val="14"/>
                      </w:rPr>
                      <w:t>Po konservatyviojo ar operacinio gydymo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epididimitai, varikocelės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apie galimybę dirbti laivyne sprendžiama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individualiai</w:t>
                    </w:r>
                  </w:p>
                </w:tc>
              </w:tr>
              <w:tr>
                <w:tc>
                  <w:tcPr>
                    <w:tcW w:w="1371" w:type="dxa"/>
                    <w:shd w:val="clear" w:color="auto" w:fill="auto"/>
                  </w:tcPr>
                  <w:p>
                    <w:pPr>
                      <w:widowControl w:val="0"/>
                      <w:ind w:left="360"/>
                      <w:rPr>
                        <w:sz w:val="14"/>
                      </w:rPr>
                    </w:pPr>
                    <w:r>
                      <w:rPr>
                        <w:sz w:val="14"/>
                      </w:rPr>
                      <w:t>16.</w:t>
                    </w:r>
                  </w:p>
                </w:tc>
                <w:tc>
                  <w:tcPr>
                    <w:tcW w:w="1289" w:type="dxa"/>
                    <w:shd w:val="clear" w:color="auto" w:fill="auto"/>
                  </w:tcPr>
                  <w:p>
                    <w:pPr>
                      <w:widowControl w:val="0"/>
                      <w:ind w:left="360"/>
                      <w:rPr>
                        <w:sz w:val="14"/>
                      </w:rPr>
                    </w:pPr>
                    <w:r>
                      <w:rPr>
                        <w:sz w:val="14"/>
                      </w:rPr>
                      <w:t xml:space="preserve">Išeinamosios angos fistulės ir tiesiosios žarnos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operacinio fistulės gydymo visų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iškritimas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profesinių grupių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gali dirbti laivyne</w:t>
                    </w:r>
                  </w:p>
                </w:tc>
              </w:tr>
              <w:tr>
                <w:tc>
                  <w:tcPr>
                    <w:tcW w:w="1371" w:type="dxa"/>
                    <w:shd w:val="clear" w:color="auto" w:fill="auto"/>
                  </w:tcPr>
                  <w:p>
                    <w:pPr>
                      <w:widowControl w:val="0"/>
                      <w:ind w:left="360"/>
                      <w:rPr>
                        <w:sz w:val="14"/>
                      </w:rPr>
                    </w:pPr>
                    <w:r>
                      <w:rPr>
                        <w:sz w:val="14"/>
                      </w:rPr>
                      <w:t>17.</w:t>
                    </w:r>
                  </w:p>
                </w:tc>
                <w:tc>
                  <w:tcPr>
                    <w:tcW w:w="1289" w:type="dxa"/>
                    <w:shd w:val="clear" w:color="auto" w:fill="auto"/>
                  </w:tcPr>
                  <w:p>
                    <w:pPr>
                      <w:widowControl w:val="0"/>
                      <w:ind w:left="360"/>
                      <w:rPr>
                        <w:sz w:val="14"/>
                      </w:rPr>
                    </w:pPr>
                    <w:r>
                      <w:rPr>
                        <w:sz w:val="14"/>
                      </w:rPr>
                      <w:t>Abortas, persileidimas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Atsinaujinus mėnesinių ciklui, gali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w:t>
                    </w:r>
                  </w:p>
                </w:tc>
              </w:tr>
              <w:tr>
                <w:tc>
                  <w:tcPr>
                    <w:tcW w:w="1371" w:type="dxa"/>
                    <w:shd w:val="clear" w:color="auto" w:fill="auto"/>
                  </w:tcPr>
                  <w:p>
                    <w:pPr>
                      <w:widowControl w:val="0"/>
                      <w:ind w:left="360"/>
                      <w:rPr>
                        <w:sz w:val="14"/>
                      </w:rPr>
                    </w:pPr>
                    <w:r>
                      <w:rPr>
                        <w:sz w:val="14"/>
                      </w:rPr>
                      <w:t>18.</w:t>
                    </w:r>
                  </w:p>
                </w:tc>
                <w:tc>
                  <w:tcPr>
                    <w:tcW w:w="1289" w:type="dxa"/>
                    <w:shd w:val="clear" w:color="auto" w:fill="auto"/>
                  </w:tcPr>
                  <w:p>
                    <w:pPr>
                      <w:widowControl w:val="0"/>
                      <w:ind w:left="360"/>
                      <w:rPr>
                        <w:sz w:val="14"/>
                      </w:rPr>
                    </w:pPr>
                    <w:r>
                      <w:rPr>
                        <w:sz w:val="14"/>
                      </w:rPr>
                      <w:t xml:space="preserve">Nuolatinis mėnesinių ciklo sutrikimas, kai yra </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r>
                      <w:rPr>
                        <w:sz w:val="14"/>
                      </w:rPr>
                      <w:t>Seniai dirbančios moterys gali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disfunkcinis kraujavimas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 tačiau kas 6 mėnesius turi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konsultuotis su akušeriu-ginekologu</w:t>
                    </w:r>
                  </w:p>
                </w:tc>
              </w:tr>
              <w:tr>
                <w:tc>
                  <w:tcPr>
                    <w:tcW w:w="1371" w:type="dxa"/>
                    <w:shd w:val="clear" w:color="auto" w:fill="auto"/>
                  </w:tcPr>
                  <w:p>
                    <w:pPr>
                      <w:widowControl w:val="0"/>
                      <w:ind w:left="360"/>
                      <w:rPr>
                        <w:sz w:val="14"/>
                      </w:rPr>
                    </w:pPr>
                    <w:r>
                      <w:rPr>
                        <w:sz w:val="14"/>
                      </w:rPr>
                      <w:t>19.</w:t>
                    </w:r>
                  </w:p>
                </w:tc>
                <w:tc>
                  <w:tcPr>
                    <w:tcW w:w="1289" w:type="dxa"/>
                    <w:shd w:val="clear" w:color="auto" w:fill="auto"/>
                  </w:tcPr>
                  <w:p>
                    <w:pPr>
                      <w:widowControl w:val="0"/>
                      <w:ind w:left="360"/>
                      <w:rPr>
                        <w:sz w:val="14"/>
                      </w:rPr>
                    </w:pPr>
                    <w:r>
                      <w:rPr>
                        <w:sz w:val="14"/>
                      </w:rPr>
                      <w:t xml:space="preserve">Venų ir limfagyslių ligos (tromboflebitai, kojų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 Nedidelio laipsnio venų išsiplėtimo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venų varikozė, hemorojus)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atveju apie seniai dirbančių visų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profesinių grupių asmenų galimybę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 sprendžiama individualiai,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 po konservatyvaus ar operacinio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gydymo visų profesinių grupių asmenys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gali dirbti laivyne</w:t>
                    </w:r>
                  </w:p>
                </w:tc>
              </w:tr>
              <w:tr>
                <w:tc>
                  <w:tcPr>
                    <w:tcW w:w="1371" w:type="dxa"/>
                    <w:shd w:val="clear" w:color="auto" w:fill="auto"/>
                  </w:tcPr>
                  <w:p>
                    <w:pPr>
                      <w:widowControl w:val="0"/>
                      <w:ind w:left="360"/>
                      <w:rPr>
                        <w:sz w:val="14"/>
                      </w:rPr>
                    </w:pPr>
                    <w:r>
                      <w:rPr>
                        <w:sz w:val="14"/>
                      </w:rPr>
                      <w:t>20.</w:t>
                    </w:r>
                  </w:p>
                </w:tc>
                <w:tc>
                  <w:tcPr>
                    <w:tcW w:w="1289" w:type="dxa"/>
                    <w:shd w:val="clear" w:color="auto" w:fill="auto"/>
                  </w:tcPr>
                  <w:p>
                    <w:pPr>
                      <w:widowControl w:val="0"/>
                      <w:ind w:left="360"/>
                      <w:rPr>
                        <w:sz w:val="14"/>
                      </w:rPr>
                    </w:pPr>
                    <w:r>
                      <w:rPr>
                        <w:sz w:val="14"/>
                      </w:rPr>
                      <w:t>Įvairios lokalizacijos išvaržos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operacinio gydymo gali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tačiau apie dirbančių sunkų fizinį darbą</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galimybę sprendžiama ne anksčiau kaip</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praėjus 3 mėnesiams po operacijos</w:t>
                    </w:r>
                  </w:p>
                </w:tc>
              </w:tr>
              <w:tr>
                <w:tc>
                  <w:tcPr>
                    <w:tcW w:w="1371" w:type="dxa"/>
                    <w:shd w:val="clear" w:color="auto" w:fill="auto"/>
                  </w:tcPr>
                  <w:p>
                    <w:pPr>
                      <w:widowControl w:val="0"/>
                      <w:ind w:left="360"/>
                      <w:rPr>
                        <w:sz w:val="14"/>
                      </w:rPr>
                    </w:pPr>
                    <w:r>
                      <w:rPr>
                        <w:sz w:val="14"/>
                      </w:rPr>
                      <w:t>21.</w:t>
                    </w:r>
                  </w:p>
                </w:tc>
                <w:tc>
                  <w:tcPr>
                    <w:tcW w:w="1289" w:type="dxa"/>
                    <w:shd w:val="clear" w:color="auto" w:fill="auto"/>
                  </w:tcPr>
                  <w:p>
                    <w:pPr>
                      <w:widowControl w:val="0"/>
                      <w:ind w:left="360"/>
                      <w:rPr>
                        <w:sz w:val="14"/>
                      </w:rPr>
                    </w:pPr>
                    <w:r>
                      <w:rPr>
                        <w:sz w:val="14"/>
                      </w:rPr>
                      <w:t>Lėtinis apendicitas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operacinio gydymo gali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tačiau apie dirbančių sunkų fizinį darbą</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galimybę sprendžiama ne anksčiau kaip</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praėjus 3 mėnesiams po operacijos</w:t>
                    </w:r>
                  </w:p>
                </w:tc>
              </w:tr>
              <w:tr>
                <w:tc>
                  <w:tcPr>
                    <w:tcW w:w="1371" w:type="dxa"/>
                    <w:shd w:val="clear" w:color="auto" w:fill="auto"/>
                  </w:tcPr>
                  <w:p>
                    <w:pPr>
                      <w:widowControl w:val="0"/>
                      <w:ind w:left="360"/>
                      <w:rPr>
                        <w:sz w:val="14"/>
                      </w:rPr>
                    </w:pPr>
                    <w:r>
                      <w:rPr>
                        <w:sz w:val="14"/>
                      </w:rPr>
                      <w:t>22.</w:t>
                    </w:r>
                  </w:p>
                </w:tc>
                <w:tc>
                  <w:tcPr>
                    <w:tcW w:w="1289" w:type="dxa"/>
                    <w:shd w:val="clear" w:color="auto" w:fill="auto"/>
                  </w:tcPr>
                  <w:p>
                    <w:pPr>
                      <w:widowControl w:val="0"/>
                      <w:ind w:left="360"/>
                      <w:rPr>
                        <w:sz w:val="14"/>
                      </w:rPr>
                    </w:pPr>
                    <w:r>
                      <w:rPr>
                        <w:sz w:val="14"/>
                      </w:rPr>
                      <w:t xml:space="preserve">Viršutinės ar apatinės galūnės amputacija arba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Apie seniai dirbančių asmenų, kurie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neteko vienos ar abiejų plaštakų pirštų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čiurnos sąnario deformacija, esant funkcijos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(išskyrus I) arba pėdos pirštų, galimybę</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nepakankamumui, pėdos deformacija</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dirbti laivyne sprendžiama individualiai,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atsižvelgiant į profesiją</w:t>
                    </w:r>
                  </w:p>
                </w:tc>
              </w:tr>
              <w:tr>
                <w:tc>
                  <w:tcPr>
                    <w:tcW w:w="1371" w:type="dxa"/>
                    <w:shd w:val="clear" w:color="auto" w:fill="auto"/>
                  </w:tcPr>
                  <w:p>
                    <w:pPr>
                      <w:widowControl w:val="0"/>
                      <w:ind w:left="360"/>
                      <w:rPr>
                        <w:sz w:val="14"/>
                      </w:rPr>
                    </w:pPr>
                    <w:r>
                      <w:rPr>
                        <w:sz w:val="14"/>
                      </w:rPr>
                      <w:t>23.</w:t>
                    </w:r>
                  </w:p>
                </w:tc>
                <w:tc>
                  <w:tcPr>
                    <w:tcW w:w="1289" w:type="dxa"/>
                    <w:shd w:val="clear" w:color="auto" w:fill="auto"/>
                  </w:tcPr>
                  <w:p>
                    <w:pPr>
                      <w:widowControl w:val="0"/>
                      <w:ind w:left="360"/>
                      <w:rPr>
                        <w:sz w:val="14"/>
                      </w:rPr>
                    </w:pPr>
                    <w:r>
                      <w:rPr>
                        <w:sz w:val="14"/>
                      </w:rPr>
                      <w:t xml:space="preserve">Lėtinės raumenų, kaulų, kremzlių, sąnarių,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Apie visų profesinių grupių seniai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stuburo ligos, esant judėjimo funkcijos sutrikimų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dirbančių asmenų galimybę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(radikulitai, miozitai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po konservatyviojo gydymo sprendžiama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individualiai</w:t>
                    </w:r>
                  </w:p>
                </w:tc>
              </w:tr>
              <w:tr>
                <w:tc>
                  <w:tcPr>
                    <w:tcW w:w="1371" w:type="dxa"/>
                    <w:shd w:val="clear" w:color="auto" w:fill="auto"/>
                  </w:tcPr>
                  <w:p>
                    <w:pPr>
                      <w:widowControl w:val="0"/>
                      <w:ind w:left="360"/>
                      <w:rPr>
                        <w:sz w:val="14"/>
                      </w:rPr>
                    </w:pPr>
                    <w:r>
                      <w:rPr>
                        <w:sz w:val="14"/>
                      </w:rPr>
                      <w:t>24.</w:t>
                    </w:r>
                  </w:p>
                </w:tc>
                <w:tc>
                  <w:tcPr>
                    <w:tcW w:w="1289" w:type="dxa"/>
                    <w:shd w:val="clear" w:color="auto" w:fill="auto"/>
                  </w:tcPr>
                  <w:p>
                    <w:pPr>
                      <w:widowControl w:val="0"/>
                      <w:ind w:left="360"/>
                      <w:rPr>
                        <w:sz w:val="14"/>
                      </w:rPr>
                    </w:pPr>
                    <w:r>
                      <w:rPr>
                        <w:sz w:val="14"/>
                      </w:rPr>
                      <w:t xml:space="preserve">Plaučių ir kt. organų bei sistemų tuberkuliozė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Ilgiau kaip 2 metus sergantys neaktyvia,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(aktyvi forma)</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nuolatos kompensuojama tuberkuliozės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forma visų profesinių grupių asmenys gali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dirbti laivyne, jeigu tokią išvadą padaro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ftiziatras</w:t>
                    </w:r>
                  </w:p>
                </w:tc>
              </w:tr>
              <w:tr>
                <w:tc>
                  <w:tcPr>
                    <w:tcW w:w="1371" w:type="dxa"/>
                    <w:shd w:val="clear" w:color="auto" w:fill="auto"/>
                  </w:tcPr>
                  <w:p>
                    <w:pPr>
                      <w:widowControl w:val="0"/>
                      <w:ind w:left="360"/>
                      <w:rPr>
                        <w:sz w:val="14"/>
                      </w:rPr>
                    </w:pPr>
                    <w:r>
                      <w:rPr>
                        <w:sz w:val="14"/>
                      </w:rPr>
                      <w:t>25.</w:t>
                    </w:r>
                  </w:p>
                </w:tc>
                <w:tc>
                  <w:tcPr>
                    <w:tcW w:w="1289" w:type="dxa"/>
                    <w:shd w:val="clear" w:color="auto" w:fill="auto"/>
                  </w:tcPr>
                  <w:p>
                    <w:pPr>
                      <w:widowControl w:val="0"/>
                      <w:ind w:left="360"/>
                      <w:rPr>
                        <w:sz w:val="14"/>
                      </w:rPr>
                    </w:pPr>
                    <w:r>
                      <w:rPr>
                        <w:sz w:val="14"/>
                      </w:rPr>
                      <w:t>Lėtiniai infekciniai ir parazitiniai susirgimai, bak-</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gydymo, jeigu liga nepaūmėjo per</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terinės zoonozės, linkusios dažnai paūmėti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6 mėnesius, apie galimybę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(difterija, bruceliozė, lepra, virusinis hepatitas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sprendžiama individualiai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ir kt.), helmintozės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26.</w:t>
                    </w:r>
                  </w:p>
                </w:tc>
                <w:tc>
                  <w:tcPr>
                    <w:tcW w:w="1289" w:type="dxa"/>
                    <w:shd w:val="clear" w:color="auto" w:fill="auto"/>
                  </w:tcPr>
                  <w:p>
                    <w:pPr>
                      <w:widowControl w:val="0"/>
                      <w:ind w:left="360"/>
                      <w:rPr>
                        <w:sz w:val="14"/>
                      </w:rPr>
                    </w:pPr>
                    <w:r>
                      <w:rPr>
                        <w:sz w:val="14"/>
                      </w:rPr>
                      <w:t xml:space="preserve">Nepūlinės odos ligos (psoriazė, neurodermitas,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gydymo, jeigu liga nepaūmėjo per</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egzema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12 mėnesių, seniai dirbantys asmenys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gali dirbti laivyne, išskyrus reisus į</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tropinius kraštus</w:t>
                    </w:r>
                  </w:p>
                </w:tc>
              </w:tr>
              <w:tr>
                <w:tc>
                  <w:tcPr>
                    <w:tcW w:w="1371" w:type="dxa"/>
                    <w:shd w:val="clear" w:color="auto" w:fill="auto"/>
                  </w:tcPr>
                  <w:p>
                    <w:pPr>
                      <w:widowControl w:val="0"/>
                      <w:ind w:left="360"/>
                      <w:rPr>
                        <w:sz w:val="14"/>
                      </w:rPr>
                    </w:pPr>
                    <w:r>
                      <w:rPr>
                        <w:sz w:val="14"/>
                      </w:rPr>
                      <w:t>27.</w:t>
                    </w:r>
                  </w:p>
                </w:tc>
                <w:tc>
                  <w:tcPr>
                    <w:tcW w:w="1289" w:type="dxa"/>
                    <w:shd w:val="clear" w:color="auto" w:fill="auto"/>
                  </w:tcPr>
                  <w:p>
                    <w:pPr>
                      <w:widowControl w:val="0"/>
                      <w:ind w:left="360"/>
                      <w:rPr>
                        <w:sz w:val="14"/>
                      </w:rPr>
                    </w:pPr>
                    <w:r>
                      <w:rPr>
                        <w:sz w:val="14"/>
                      </w:rPr>
                      <w:t>Sifilis ir kitos venerinės ligos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gydymo laivyne gali dirbti visų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profesinių grupių asmenys, tačiau tik</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gydytojui dermatovenerologui leidus</w:t>
                    </w:r>
                  </w:p>
                </w:tc>
              </w:tr>
              <w:tr>
                <w:tc>
                  <w:tcPr>
                    <w:tcW w:w="1371" w:type="dxa"/>
                    <w:shd w:val="clear" w:color="auto" w:fill="auto"/>
                  </w:tcPr>
                  <w:p>
                    <w:pPr>
                      <w:widowControl w:val="0"/>
                      <w:ind w:left="360"/>
                      <w:rPr>
                        <w:sz w:val="14"/>
                      </w:rPr>
                    </w:pPr>
                    <w:r>
                      <w:rPr>
                        <w:sz w:val="14"/>
                      </w:rPr>
                      <w:t>28.</w:t>
                    </w:r>
                  </w:p>
                </w:tc>
                <w:tc>
                  <w:tcPr>
                    <w:tcW w:w="1289" w:type="dxa"/>
                    <w:shd w:val="clear" w:color="auto" w:fill="auto"/>
                  </w:tcPr>
                  <w:p>
                    <w:pPr>
                      <w:widowControl w:val="0"/>
                      <w:ind w:left="360"/>
                      <w:rPr>
                        <w:sz w:val="14"/>
                      </w:rPr>
                    </w:pPr>
                    <w:r>
                      <w:rPr>
                        <w:sz w:val="14"/>
                      </w:rPr>
                      <w:t>Gerybiniai navikai</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operacijos laivyne gali dirbti visų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profesinių grupių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tačiau tik esant palankiai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onkologo išvadai</w:t>
                    </w:r>
                  </w:p>
                </w:tc>
              </w:tr>
              <w:tr>
                <w:tc>
                  <w:tcPr>
                    <w:tcW w:w="1371" w:type="dxa"/>
                    <w:shd w:val="clear" w:color="auto" w:fill="auto"/>
                  </w:tcPr>
                  <w:p>
                    <w:pPr>
                      <w:widowControl w:val="0"/>
                      <w:ind w:left="360"/>
                      <w:rPr>
                        <w:sz w:val="14"/>
                      </w:rPr>
                    </w:pPr>
                    <w:r>
                      <w:rPr>
                        <w:sz w:val="14"/>
                      </w:rPr>
                      <w:t>29.</w:t>
                    </w:r>
                  </w:p>
                </w:tc>
                <w:tc>
                  <w:tcPr>
                    <w:tcW w:w="1289" w:type="dxa"/>
                    <w:shd w:val="clear" w:color="auto" w:fill="auto"/>
                  </w:tcPr>
                  <w:p>
                    <w:pPr>
                      <w:widowControl w:val="0"/>
                      <w:ind w:left="360"/>
                      <w:rPr>
                        <w:sz w:val="14"/>
                      </w:rPr>
                    </w:pPr>
                    <w:r>
                      <w:rPr>
                        <w:sz w:val="14"/>
                      </w:rPr>
                      <w:t>Gerybinis gimdos navikas (mioma)</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Seniai dirbančios moterys, sergančios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besimptomine mioma, kuri per</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6 mėnesius neaugo ir nekraujuoja, gali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dirbti laivyne</w:t>
                    </w:r>
                  </w:p>
                </w:tc>
              </w:tr>
              <w:tr>
                <w:tc>
                  <w:tcPr>
                    <w:tcW w:w="1371" w:type="dxa"/>
                    <w:shd w:val="clear" w:color="auto" w:fill="auto"/>
                  </w:tcPr>
                  <w:p>
                    <w:pPr>
                      <w:widowControl w:val="0"/>
                      <w:ind w:left="360"/>
                      <w:rPr>
                        <w:sz w:val="14"/>
                      </w:rPr>
                    </w:pPr>
                    <w:r>
                      <w:rPr>
                        <w:sz w:val="14"/>
                      </w:rPr>
                      <w:t>30.</w:t>
                    </w:r>
                  </w:p>
                </w:tc>
                <w:tc>
                  <w:tcPr>
                    <w:tcW w:w="1289" w:type="dxa"/>
                    <w:shd w:val="clear" w:color="auto" w:fill="auto"/>
                  </w:tcPr>
                  <w:p>
                    <w:pPr>
                      <w:widowControl w:val="0"/>
                      <w:ind w:left="360"/>
                      <w:rPr>
                        <w:sz w:val="14"/>
                      </w:rPr>
                    </w:pPr>
                    <w:r>
                      <w:rPr>
                        <w:sz w:val="14"/>
                      </w:rPr>
                      <w:t xml:space="preserve">Psichiniai susirgimai be psichozės reiškinių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Apie visų profesinių grupių seniai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(neurozės, neurostenijos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dirbančių asmenų galimybę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sprendžiama individualiai, tačiau tik esant</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palankiai psichiatro išvadai</w:t>
                    </w:r>
                  </w:p>
                </w:tc>
              </w:tr>
              <w:tr>
                <w:tc>
                  <w:tcPr>
                    <w:tcW w:w="1371" w:type="dxa"/>
                    <w:shd w:val="clear" w:color="auto" w:fill="auto"/>
                  </w:tcPr>
                  <w:p>
                    <w:pPr>
                      <w:widowControl w:val="0"/>
                      <w:ind w:left="360"/>
                      <w:rPr>
                        <w:sz w:val="14"/>
                      </w:rPr>
                    </w:pPr>
                    <w:r>
                      <w:rPr>
                        <w:sz w:val="14"/>
                      </w:rPr>
                      <w:t>31.</w:t>
                    </w:r>
                  </w:p>
                </w:tc>
                <w:tc>
                  <w:tcPr>
                    <w:tcW w:w="1289" w:type="dxa"/>
                    <w:shd w:val="clear" w:color="auto" w:fill="auto"/>
                  </w:tcPr>
                  <w:p>
                    <w:pPr>
                      <w:widowControl w:val="0"/>
                      <w:ind w:left="360"/>
                      <w:rPr>
                        <w:sz w:val="14"/>
                      </w:rPr>
                    </w:pPr>
                    <w:r>
                      <w:rPr>
                        <w:sz w:val="14"/>
                      </w:rPr>
                      <w:t xml:space="preserve">Regėjimo pablogėjimas dėl laužiamųjų terpių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31</w:t>
                    </w:r>
                  </w:p>
                </w:tc>
                <w:tc>
                  <w:tcPr>
                    <w:tcW w:w="1239" w:type="dxa"/>
                    <w:shd w:val="clear" w:color="auto" w:fill="auto"/>
                  </w:tcPr>
                  <w:p>
                    <w:pPr>
                      <w:widowControl w:val="0"/>
                      <w:ind w:left="360"/>
                      <w:rPr>
                        <w:sz w:val="14"/>
                      </w:rPr>
                    </w:pPr>
                    <w:r>
                      <w:rPr>
                        <w:sz w:val="14"/>
                      </w:rPr>
                      <w:t>Visų profesinių grupių asmenų regėjimo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drumstumo, refrakcijos anomalijų bei kt.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aštrumas nustatomas su korekcija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organinių pakitimų:</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linzėmis arba akiniais (leistinos optinės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a) regėjimas viena akimi – mažesnis kaip 0,1 D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korekcijos ribos nurodytos šios tvarkos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ir 0,5 – kita akimi</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34 punkte).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Asmenų, stojančių mokytis į laivybos</w:t>
                    </w: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b) regėjimas gerąja akimi – mažesnis kaip 0,6 D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22 </w:t>
                    </w:r>
                  </w:p>
                </w:tc>
                <w:tc>
                  <w:tcPr>
                    <w:tcW w:w="756" w:type="dxa"/>
                    <w:shd w:val="clear" w:color="auto" w:fill="auto"/>
                  </w:tcPr>
                  <w:p>
                    <w:pPr>
                      <w:widowControl w:val="0"/>
                      <w:ind w:left="360"/>
                      <w:rPr>
                        <w:sz w:val="14"/>
                      </w:rPr>
                    </w:pPr>
                    <w:r>
                      <w:rPr>
                        <w:sz w:val="14"/>
                      </w:rPr>
                      <w:t xml:space="preserve">22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22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fakultetus, regėjimas kiekviena akimi turi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ir 0,4 – blogiau matančia akimi</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būti ne mažesnis kaip 0,8 D su korekcija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(leidžiama įvairių rūšių ametropija – iki</w:t>
                    </w: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c) regėjimas viena akimi- mažesnis kaip 0,8 D</w:t>
                    </w:r>
                  </w:p>
                </w:tc>
                <w:tc>
                  <w:tcPr>
                    <w:tcW w:w="1723"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6,0 D su korekcija); asmenų, stojančių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mokytis į kitus fakultetus, leidžiamas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regėjimas – ne mažesnis kaip 0,6 D geriau</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matančia akimi ir ne mažiau kaip 0,4 D -</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blogiau matančia akimi su korekcija;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leidžiama visų rūšių ametropija -iki 6,0 D</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su korekcija; jei yra indikacijų,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adaptometru tiriama laivininkų, upeivių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adaptacija tamsai</w:t>
                    </w:r>
                  </w:p>
                </w:tc>
              </w:tr>
              <w:tr>
                <w:tc>
                  <w:tcPr>
                    <w:tcW w:w="1371" w:type="dxa"/>
                    <w:shd w:val="clear" w:color="auto" w:fill="auto"/>
                  </w:tcPr>
                  <w:p>
                    <w:pPr>
                      <w:widowControl w:val="0"/>
                      <w:ind w:left="360"/>
                      <w:rPr>
                        <w:sz w:val="14"/>
                      </w:rPr>
                    </w:pPr>
                    <w:r>
                      <w:rPr>
                        <w:sz w:val="14"/>
                      </w:rPr>
                      <w:t>32.</w:t>
                    </w:r>
                  </w:p>
                </w:tc>
                <w:tc>
                  <w:tcPr>
                    <w:tcW w:w="1289" w:type="dxa"/>
                    <w:shd w:val="clear" w:color="auto" w:fill="auto"/>
                  </w:tcPr>
                  <w:p>
                    <w:pPr>
                      <w:widowControl w:val="0"/>
                      <w:ind w:left="360"/>
                      <w:rPr>
                        <w:sz w:val="14"/>
                      </w:rPr>
                    </w:pPr>
                    <w:r>
                      <w:rPr>
                        <w:sz w:val="14"/>
                      </w:rPr>
                      <w:t xml:space="preserve">Geriau matančios akies ametropija: refrakcija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Po 3 dienų atropino lašinimo, taikant</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didesnės ametropijos meridiano arba mišraus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optimalią koreguojamąją linzę,</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astigmento laipsnis, nustatomi medikamentinės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nustatomas ametropijos laipsnis; esant</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cikloplegijos sąlygomis: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astigmatizmui, atsižvelgiama į cilindro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a) daugiau kaip 12,0 D</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stiprumą; esant paprastam ir mišriam</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astigmatizmui – į cilindro ir sferos</w:t>
                    </w: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b) nuo 10,25 iki 12,0 D</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stiprumo sumą; esant sudėtiniam -</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į geriau matančios akies refrakciją;</w:t>
                    </w: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c) nuo 6,25 iki 10,0 D</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blogiau matančiai akiai emetropijos ribų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nėra – atsižvelgiama tik į regėjimą su</w:t>
                    </w: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d) nuo 3,25 iki 6,0 D</w:t>
                    </w:r>
                  </w:p>
                </w:tc>
                <w:tc>
                  <w:tcPr>
                    <w:tcW w:w="1723"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korekcija, esant leidžiamam dioptrijų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skirtumui</w:t>
                    </w: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e) iki 3,0 D</w:t>
                    </w:r>
                  </w:p>
                </w:tc>
                <w:tc>
                  <w:tcPr>
                    <w:tcW w:w="1723"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33.</w:t>
                    </w:r>
                  </w:p>
                </w:tc>
                <w:tc>
                  <w:tcPr>
                    <w:tcW w:w="1289" w:type="dxa"/>
                    <w:shd w:val="clear" w:color="auto" w:fill="auto"/>
                  </w:tcPr>
                  <w:p>
                    <w:pPr>
                      <w:widowControl w:val="0"/>
                      <w:ind w:left="360"/>
                      <w:rPr>
                        <w:sz w:val="14"/>
                      </w:rPr>
                    </w:pPr>
                    <w:r>
                      <w:rPr>
                        <w:sz w:val="14"/>
                      </w:rPr>
                      <w:t>Žvairakumas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34.</w:t>
                    </w:r>
                  </w:p>
                </w:tc>
                <w:tc>
                  <w:tcPr>
                    <w:tcW w:w="1289" w:type="dxa"/>
                    <w:shd w:val="clear" w:color="auto" w:fill="auto"/>
                  </w:tcPr>
                  <w:p>
                    <w:pPr>
                      <w:widowControl w:val="0"/>
                      <w:ind w:left="360"/>
                      <w:rPr>
                        <w:sz w:val="14"/>
                      </w:rPr>
                    </w:pPr>
                    <w:r>
                      <w:rPr>
                        <w:sz w:val="14"/>
                      </w:rPr>
                      <w:t>Bet kurios formos ir stadijos glaukoma</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Pradinės kompensuojamosios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glaukomos atveju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gali dirbti uosto laivyne</w:t>
                    </w:r>
                  </w:p>
                </w:tc>
              </w:tr>
              <w:tr>
                <w:tc>
                  <w:tcPr>
                    <w:tcW w:w="1371" w:type="dxa"/>
                    <w:shd w:val="clear" w:color="auto" w:fill="auto"/>
                  </w:tcPr>
                  <w:p>
                    <w:pPr>
                      <w:widowControl w:val="0"/>
                      <w:ind w:left="360"/>
                      <w:rPr>
                        <w:sz w:val="14"/>
                      </w:rPr>
                    </w:pPr>
                    <w:r>
                      <w:rPr>
                        <w:sz w:val="14"/>
                      </w:rPr>
                      <w:t>35.</w:t>
                    </w:r>
                  </w:p>
                </w:tc>
                <w:tc>
                  <w:tcPr>
                    <w:tcW w:w="1289" w:type="dxa"/>
                    <w:shd w:val="clear" w:color="auto" w:fill="auto"/>
                  </w:tcPr>
                  <w:p>
                    <w:pPr>
                      <w:widowControl w:val="0"/>
                      <w:ind w:left="360"/>
                      <w:rPr>
                        <w:sz w:val="14"/>
                      </w:rPr>
                    </w:pPr>
                    <w:r>
                      <w:rPr>
                        <w:sz w:val="14"/>
                      </w:rPr>
                      <w:t xml:space="preserve">Progresuojantys arba recidyvuojantys ragenos,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 Po akies obuolio operacijų apie seniai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tinklainės, kraujagyslių trakto ir regos nervo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dirbančių asmenų galimybę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uždegimai, trikdantys regėjimą</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sprendžiama individualiai – priklausomai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nuo regėjimo funkcijos ir susirgimo,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 po keratotomijos ir lazerio operacijos,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kai regėjimas grąžinamas, seniai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dirbantys asmenys gali mokytis ir dirbti</w:t>
                    </w:r>
                  </w:p>
                </w:tc>
              </w:tr>
              <w:tr>
                <w:tc>
                  <w:tcPr>
                    <w:tcW w:w="1371" w:type="dxa"/>
                    <w:shd w:val="clear" w:color="auto" w:fill="auto"/>
                  </w:tcPr>
                  <w:p>
                    <w:pPr>
                      <w:widowControl w:val="0"/>
                      <w:ind w:left="360"/>
                      <w:rPr>
                        <w:sz w:val="14"/>
                      </w:rPr>
                    </w:pPr>
                    <w:r>
                      <w:rPr>
                        <w:sz w:val="14"/>
                      </w:rPr>
                      <w:t>36.</w:t>
                    </w:r>
                  </w:p>
                </w:tc>
                <w:tc>
                  <w:tcPr>
                    <w:tcW w:w="1289" w:type="dxa"/>
                    <w:shd w:val="clear" w:color="auto" w:fill="auto"/>
                  </w:tcPr>
                  <w:p>
                    <w:pPr>
                      <w:widowControl w:val="0"/>
                      <w:ind w:left="360"/>
                      <w:rPr>
                        <w:sz w:val="14"/>
                      </w:rPr>
                    </w:pPr>
                    <w:r>
                      <w:rPr>
                        <w:sz w:val="14"/>
                      </w:rPr>
                      <w:t>Spalvų jutimo sutrikimas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Narais, jūreiviais narais, jūreiviais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vairininkais, kranininkais, mašinistais-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vairininkais, motoristais-vairininkais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negali</w:t>
                    </w:r>
                  </w:p>
                </w:tc>
              </w:tr>
              <w:tr>
                <w:tc>
                  <w:tcPr>
                    <w:tcW w:w="1371" w:type="dxa"/>
                    <w:shd w:val="clear" w:color="auto" w:fill="auto"/>
                  </w:tcPr>
                  <w:p>
                    <w:pPr>
                      <w:widowControl w:val="0"/>
                      <w:ind w:left="360"/>
                      <w:rPr>
                        <w:sz w:val="14"/>
                      </w:rPr>
                    </w:pPr>
                    <w:r>
                      <w:rPr>
                        <w:sz w:val="14"/>
                      </w:rPr>
                      <w:t>37.</w:t>
                    </w:r>
                  </w:p>
                </w:tc>
                <w:tc>
                  <w:tcPr>
                    <w:tcW w:w="1289" w:type="dxa"/>
                    <w:shd w:val="clear" w:color="auto" w:fill="auto"/>
                  </w:tcPr>
                  <w:p>
                    <w:pPr>
                      <w:widowControl w:val="0"/>
                      <w:ind w:left="360"/>
                      <w:rPr>
                        <w:sz w:val="14"/>
                      </w:rPr>
                    </w:pPr>
                    <w:r>
                      <w:rPr>
                        <w:sz w:val="14"/>
                      </w:rPr>
                      <w:t xml:space="preserve">Lėtinis pūlingas otitas (epitimpanitas,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mezotimpanitas)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38.</w:t>
                    </w:r>
                  </w:p>
                </w:tc>
                <w:tc>
                  <w:tcPr>
                    <w:tcW w:w="1289" w:type="dxa"/>
                    <w:shd w:val="clear" w:color="auto" w:fill="auto"/>
                  </w:tcPr>
                  <w:p>
                    <w:pPr>
                      <w:widowControl w:val="0"/>
                      <w:ind w:left="360"/>
                      <w:rPr>
                        <w:sz w:val="14"/>
                      </w:rPr>
                    </w:pPr>
                    <w:r>
                      <w:rPr>
                        <w:sz w:val="14"/>
                      </w:rPr>
                      <w:t xml:space="preserve">Vienpusis lėtinis nepūlingas otitas, girdint kalbą </w:t>
                    </w:r>
                  </w:p>
                </w:tc>
                <w:tc>
                  <w:tcPr>
                    <w:tcW w:w="1723"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Stojantiems mokytis jūrininkų specialybių,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pašnibždomis: nesveika ausimi – ne mažesniu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būtina girdėti kalbą pašnibždomis 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ausimis</w:t>
                    </w:r>
                  </w:p>
                </w:tc>
              </w:tr>
              <w:tr>
                <w:tc>
                  <w:tcPr>
                    <w:tcW w:w="1371" w:type="dxa"/>
                    <w:shd w:val="clear" w:color="auto" w:fill="auto"/>
                  </w:tcPr>
                  <w:p>
                    <w:pPr>
                      <w:widowControl w:val="0"/>
                      <w:ind w:left="360"/>
                      <w:rPr>
                        <w:sz w:val="14"/>
                      </w:rPr>
                    </w:pPr>
                    <w:r>
                      <w:rPr>
                        <w:sz w:val="14"/>
                      </w:rPr>
                      <w:t>39.</w:t>
                    </w:r>
                  </w:p>
                </w:tc>
                <w:tc>
                  <w:tcPr>
                    <w:tcW w:w="1289" w:type="dxa"/>
                    <w:shd w:val="clear" w:color="auto" w:fill="auto"/>
                  </w:tcPr>
                  <w:p>
                    <w:pPr>
                      <w:widowControl w:val="0"/>
                      <w:ind w:left="360"/>
                      <w:rPr>
                        <w:sz w:val="14"/>
                      </w:rPr>
                    </w:pPr>
                    <w:r>
                      <w:rPr>
                        <w:sz w:val="14"/>
                      </w:rPr>
                      <w:t xml:space="preserve">Abipusis lėtinis nepūlingas otitas, girdint kalbą </w:t>
                    </w:r>
                  </w:p>
                </w:tc>
                <w:tc>
                  <w:tcPr>
                    <w:tcW w:w="1723"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pašnibždomis kiekviena ausimi ne mažesniu</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40.</w:t>
                    </w:r>
                  </w:p>
                </w:tc>
                <w:tc>
                  <w:tcPr>
                    <w:tcW w:w="1289" w:type="dxa"/>
                    <w:shd w:val="clear" w:color="auto" w:fill="auto"/>
                  </w:tcPr>
                  <w:p>
                    <w:pPr>
                      <w:widowControl w:val="0"/>
                      <w:ind w:left="360"/>
                      <w:rPr>
                        <w:sz w:val="14"/>
                      </w:rPr>
                    </w:pPr>
                    <w:r>
                      <w:rPr>
                        <w:sz w:val="14"/>
                      </w:rPr>
                      <w:t xml:space="preserve">Lėtiniai pridėtinių veido daubų uždegimai, esant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konservatyviojo ar operacinio gydymo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dažnų paūmėjimų (daugiau kaip 3 kartus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seniai dirbantys asmenys gali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per metus)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w:t>
                    </w:r>
                  </w:p>
                </w:tc>
              </w:tr>
              <w:tr>
                <w:tc>
                  <w:tcPr>
                    <w:tcW w:w="1371" w:type="dxa"/>
                    <w:shd w:val="clear" w:color="auto" w:fill="auto"/>
                  </w:tcPr>
                  <w:p>
                    <w:pPr>
                      <w:widowControl w:val="0"/>
                      <w:ind w:left="360"/>
                      <w:rPr>
                        <w:sz w:val="14"/>
                      </w:rPr>
                    </w:pPr>
                    <w:r>
                      <w:rPr>
                        <w:sz w:val="14"/>
                      </w:rPr>
                      <w:t>1. Santrumpų reikšmės:</w:t>
                    </w: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1 – gali dirbti laivyne;</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2 – gali dirbti laivyne, tačiau kiekvienu atveju individualiai ribojamas plaukiojimo rajonas;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3 – negali dirbti laivyne;</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N – naujai įsidarbinantys;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S – seniai dirbantys.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2. Terminų paaiškinimai:</w:t>
                    </w: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ilgi reisai – ilgesni kaip 6 mėnesių reisai;</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seniai dirbantys – išdirbę laivyne ne mažiau kaip 3 metus be pertraukos;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naujai įsidarbinantys – pradedantys dirbti laivyne ar mokytis laivyno darbuotojų rengimo mokyklose.</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9" w:tgtFrame="_blank" w:history="1">
                    <w:r>
                      <w:rPr>
                        <w:color w:val="0000FF" w:themeColor="hyperlink"/>
                        <w:u w:val="single"/>
                      </w:rPr>
                      <w:t>4-27</w:t>
                    </w:r>
                  </w:hyperlink>
                  <w:r>
                    <w:rPr>
                      <w:color w:val="000000"/>
                    </w:rPr>
                    <w:t xml:space="preserve">; 2006, Nr. </w:t>
                  </w:r>
                  <w:hyperlink r:id="rId60"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1" w:tgtFrame="_blank" w:history="1">
                    <w:r>
                      <w:rPr>
                        <w:color w:val="0000FF" w:themeColor="hyperlink"/>
                        <w:u w:val="single"/>
                      </w:rPr>
                      <w:t>47-1365</w:t>
                    </w:r>
                  </w:hyperlink>
                  <w:r>
                    <w:rPr>
                      <w:color w:val="000000"/>
                    </w:rPr>
                    <w:t xml:space="preserve">; 2009, Nr. </w:t>
                  </w:r>
                  <w:hyperlink r:id="rId62"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3"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4"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5"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e79078c0f8f94072a6b2468e1251c121"/>
                        <w:lock w:val="sdtLocked"/>
                        <w:richText/>
                      </w:sdtPr>
                      <w:sdtContent>
                        <w:p>
                          <w:pPr>
                            <w:widowControl w:val="0"/>
                            <w:suppressAutoHyphens/>
                            <w:ind w:firstLine="567"/>
                            <w:jc w:val="both"/>
                            <w:rPr>
                              <w:color w:val="000000"/>
                            </w:rPr>
                          </w:pPr>
                          <w:sdt>
                            <w:sdtPr>
                              <w:alias w:val="Numeris"/>
                              <w:tag w:val="nr_e79078c0f8f94072a6b2468e1251c121"/>
                              <w:lock w:val="sdtLocked"/>
                              <w:richText/>
                            </w:sdtPr>
                            <w:sdtContent>
                              <w:r>
                                <w:rPr>
                                  <w:color w:val="000000"/>
                                </w:rPr>
                                <w:t>31.7.1</w:t>
                              </w:r>
                            </w:sdtContent>
                          </w:sdt>
                          <w:r>
                            <w:rPr>
                              <w:color w:val="000000"/>
                            </w:rPr>
                            <w:t>. traukinio mašinistui – efektyvus; to nereikalaujama, jei asmuo adaptuojasi pakankamai ir turi pakankamai kompensavimo patirties; tik jeigu asmuo prarado binokulinį matymą jau pradėjęs darbą;</w:t>
                          </w:r>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6"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7"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8"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9"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0"/>
                          <w:footerReference w:type="default" r:id="rId71"/>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2"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3"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4"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5"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6"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7"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8"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9"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0"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1"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2"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3"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4"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5"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6"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7" w:tgtFrame="_blank" w:history="1">
                          <w:r>
                            <w:rPr>
                              <w:color w:val="0000FF" w:themeColor="hyperlink"/>
                              <w:sz w:val="18"/>
                              <w:szCs w:val="18"/>
                              <w:u w:val="single"/>
                            </w:rPr>
                            <w:t>47-1365</w:t>
                          </w:r>
                        </w:hyperlink>
                        <w:r>
                          <w:rPr>
                            <w:sz w:val="18"/>
                            <w:szCs w:val="18"/>
                          </w:rPr>
                          <w:t xml:space="preserve">; 2005, Nr. </w:t>
                        </w:r>
                        <w:hyperlink r:id="rId88" w:tgtFrame="_blank" w:history="1">
                          <w:r>
                            <w:rPr>
                              <w:color w:val="0000FF" w:themeColor="hyperlink"/>
                              <w:sz w:val="18"/>
                              <w:szCs w:val="18"/>
                              <w:u w:val="single"/>
                            </w:rPr>
                            <w:t>128-4637</w:t>
                          </w:r>
                        </w:hyperlink>
                        <w:r>
                          <w:rPr>
                            <w:sz w:val="18"/>
                            <w:szCs w:val="18"/>
                          </w:rPr>
                          <w:t xml:space="preserve">; 2008, Nr. </w:t>
                        </w:r>
                        <w:hyperlink r:id="rId89"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0" w:tgtFrame="_blank" w:history="1">
                          <w:r>
                            <w:rPr>
                              <w:color w:val="0000FF" w:themeColor="hyperlink"/>
                              <w:sz w:val="18"/>
                              <w:szCs w:val="18"/>
                              <w:u w:val="single"/>
                            </w:rPr>
                            <w:t>47-1365</w:t>
                          </w:r>
                        </w:hyperlink>
                        <w:r>
                          <w:rPr>
                            <w:sz w:val="18"/>
                            <w:szCs w:val="18"/>
                          </w:rPr>
                          <w:t xml:space="preserve">; 2005, Nr. </w:t>
                        </w:r>
                        <w:hyperlink r:id="rId91" w:tgtFrame="_blank" w:history="1">
                          <w:r>
                            <w:rPr>
                              <w:color w:val="0000FF" w:themeColor="hyperlink"/>
                              <w:sz w:val="18"/>
                              <w:szCs w:val="18"/>
                              <w:u w:val="single"/>
                            </w:rPr>
                            <w:t>128-4637</w:t>
                          </w:r>
                        </w:hyperlink>
                        <w:r>
                          <w:rPr>
                            <w:sz w:val="18"/>
                            <w:szCs w:val="18"/>
                          </w:rPr>
                          <w:t xml:space="preserve">; 2008, Nr. </w:t>
                        </w:r>
                        <w:hyperlink r:id="rId92"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3"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408e0697a80043ea94bcbb68be7da942"/>
        <w:lock w:val="sdtLocked"/>
        <w:richText/>
      </w:sdtPr>
      <w:sdtContent>
        <w:p>
          <w:pPr>
            <w:tabs>
              <w:tab w:val="left" w:pos="1304"/>
              <w:tab w:val="left" w:pos="1457"/>
              <w:tab w:val="left" w:pos="1604"/>
              <w:tab w:val="left" w:pos="1757"/>
            </w:tabs>
            <w:ind w:left="5102"/>
            <w:sectPr>
              <w:headerReference w:type="even" r:id="rId47"/>
              <w:headerReference w:type="default" r:id="rId48"/>
              <w:footerReference w:type="even" r:id="rId49"/>
              <w:footerReference w:type="default" r:id="rId50"/>
              <w:headerReference w:type="first" r:id="rId51"/>
              <w:footerReference w:type="first" r:id="rId52"/>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408e0697a80043ea94bcbb68be7da942"/>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408e0697a80043ea94bcbb68be7da942"/>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3"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b72b9025c68f4aeb819721035ef540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b72b9025c68f4aeb819721035ef54046"/>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b72b9025c68f4aeb819721035ef54046"/>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aff7822f59fb4b00870fbe76c477923c"/>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ff7822f59fb4b00870fbe76c477923c"/>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ff7822f59fb4b00870fbe76c477923c"/>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skyrius"/>
            <w:tag w:val="part_f2bf4bf878934e43ba191a3d81b52e9a"/>
            <w:lock w:val="sdtLocked"/>
            <w:richText/>
          </w:sdtPr>
          <w:sdtContent>
            <w:p>
              <w:pPr>
                <w:jc w:val="center"/>
                <w:rPr>
                  <w:b/>
                  <w:caps/>
                  <w:color w:val="000000"/>
                </w:rPr>
              </w:pPr>
              <w:sdt>
                <w:sdtPr>
                  <w:alias w:val="Numeris"/>
                  <w:tag w:val="nr_f2bf4bf878934e43ba191a3d81b52e9a"/>
                  <w:lock w:val="sdtLocked"/>
                  <w:richText/>
                </w:sdtPr>
                <w:sdtContent>
                  <w:r>
                    <w:rPr>
                      <w:b/>
                      <w:caps/>
                      <w:color w:val="000000"/>
                    </w:rPr>
                    <w:t>2</w:t>
                  </w:r>
                </w:sdtContent>
              </w:sdt>
              <w:r>
                <w:rPr>
                  <w:b/>
                  <w:caps/>
                  <w:color w:val="000000"/>
                </w:rPr>
                <w:t xml:space="preserve">. </w:t>
              </w:r>
              <w:sdt>
                <w:sdtPr>
                  <w:alias w:val="Pavadinimas"/>
                  <w:tag w:val="title_f2bf4bf878934e43ba191a3d81b52e9a"/>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22,9</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668E5C8160">
                <w:r w:rsidRPr="00532B9F">
                  <w:rPr>
                    <w:rFonts w:ascii="Times New Roman" w:eastAsia="MS Mincho" w:hAnsi="Times New Roman"/>
                    <w:sz w:val="20"/>
                    <w:i/>
                    <w:iCs/>
                    <w:color w:val="0000FF" w:themeColor="hyperlink"/>
                    <w:u w:val="single"/>
                  </w:rPr>
                  <w:t>V-310</w:t>
                </w:r>
              </w:fldSimple>
              <w:r>
                <w:rPr>
                  <w:rFonts w:ascii="Times New Roman" w:eastAsia="MS Mincho" w:hAnsi="Times New Roman"/>
                  <w:sz w:val="20"/>
                  <w:i/>
                  <w:iCs/>
                </w:rPr>
                <w:t>,
2005-04-27,
Žin., 2005, Nr.
55-1896 (2005-04-30), i. k. 1052250ISAK000V-310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2A80746DED">
                <w:r w:rsidRPr="00532B9F">
                  <w:rPr>
                    <w:rFonts w:ascii="Times New Roman" w:eastAsia="MS Mincho" w:hAnsi="Times New Roman"/>
                    <w:sz w:val="20"/>
                    <w:i/>
                    <w:iCs/>
                    <w:color w:val="0000FF" w:themeColor="hyperlink"/>
                    <w:u w:val="single"/>
                  </w:rPr>
                  <w:t>V-815</w:t>
                </w:r>
              </w:fldSimple>
              <w:r>
                <w:rPr>
                  <w:rFonts w:ascii="Times New Roman" w:eastAsia="MS Mincho" w:hAnsi="Times New Roman"/>
                  <w:sz w:val="20"/>
                  <w:i/>
                  <w:iCs/>
                </w:rPr>
                <w:t>,
2005-10-27,
Žin., 2005, Nr.
128-4637 (2005-10-29), i. k. 1052250ISAK000V-815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09DC05FD21">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2006-04-27,
Žin., 2006, Nr.
48-1728 (2006-04-29), i. k. 1062250ISAK000V-323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BFD5728271A">
                <w:r w:rsidRPr="00532B9F">
                  <w:rPr>
                    <w:rFonts w:ascii="Times New Roman" w:eastAsia="MS Mincho" w:hAnsi="Times New Roman"/>
                    <w:sz w:val="20"/>
                    <w:i/>
                    <w:iCs/>
                    <w:color w:val="0000FF" w:themeColor="hyperlink"/>
                    <w:u w:val="single"/>
                  </w:rPr>
                  <w:t>V-319</w:t>
                </w:r>
              </w:fldSimple>
              <w:r>
                <w:rPr>
                  <w:rFonts w:ascii="Times New Roman" w:eastAsia="MS Mincho" w:hAnsi="Times New Roman"/>
                  <w:sz w:val="20"/>
                  <w:i/>
                  <w:iCs/>
                </w:rPr>
                <w:t>,
2007-05-03,
Žin., 2007, Nr.
50-1956 (2007-05-10), i. k. 1072250ISAK000V-319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C85250B769">
                <w:r w:rsidRPr="00532B9F">
                  <w:rPr>
                    <w:rFonts w:ascii="Times New Roman" w:eastAsia="MS Mincho" w:hAnsi="Times New Roman"/>
                    <w:sz w:val="20"/>
                    <w:i/>
                    <w:iCs/>
                    <w:color w:val="0000FF" w:themeColor="hyperlink"/>
                    <w:u w:val="single"/>
                  </w:rPr>
                  <w:t>V-423</w:t>
                </w:r>
              </w:fldSimple>
              <w:r>
                <w:rPr>
                  <w:rFonts w:ascii="Times New Roman" w:eastAsia="MS Mincho" w:hAnsi="Times New Roman"/>
                  <w:sz w:val="20"/>
                  <w:i/>
                  <w:iCs/>
                </w:rPr>
                <w:t>,
2008-05-09,
Žin., 2008, Nr.
54-2016 (2008-05-13), i. k. 1082250ISAK000V-423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5"/>
    <o:shapelayout v:ext="edit">
      <o:idmap v:ext="edit" data="1"/>
    </o:shapelayout>
  </w:shapeDefaults>
  <w:decimalSymbol w:val=","/>
  <w:listSeparator w:val=";"/>
  <w14:docId w14:val="5B544F6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1" Type="http://schemas.openxmlformats.org/officeDocument/2006/relationships/hyperlink" TargetMode="External" Target="https://www.e-tar.lt/portal/lt/legalAct/TAR.95C79D036AA4"/>
  <Relationship Id="rId12" Type="http://schemas.openxmlformats.org/officeDocument/2006/relationships/hyperlink" TargetMode="External" Target="https://www.e-tar.lt/portal/lt/legalAct/TAR.E2B2957B9182"/>
  <Relationship Id="rId13" Type="http://schemas.openxmlformats.org/officeDocument/2006/relationships/hyperlink" TargetMode="External" Target="https://www.e-tar.lt/portal/lt/legalAct/TAR.E964CE7A637A"/>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43.xml"/>
  <Relationship Id="rId23" Type="http://schemas.openxmlformats.org/officeDocument/2006/relationships/header" Target="header44.xml"/>
  <Relationship Id="rId24" Type="http://schemas.openxmlformats.org/officeDocument/2006/relationships/footer" Target="footer43.xml"/>
  <Relationship Id="rId25" Type="http://schemas.openxmlformats.org/officeDocument/2006/relationships/footer" Target="footer44.xml"/>
  <Relationship Id="rId26" Type="http://schemas.openxmlformats.org/officeDocument/2006/relationships/header" Target="header45.xml"/>
  <Relationship Id="rId27" Type="http://schemas.openxmlformats.org/officeDocument/2006/relationships/footer" Target="footer45.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FC348F73C47A"/>
  <Relationship Id="rId36" Type="http://schemas.openxmlformats.org/officeDocument/2006/relationships/header" Target="header55.xml"/>
  <Relationship Id="rId37" Type="http://schemas.openxmlformats.org/officeDocument/2006/relationships/header" Target="header56.xml"/>
  <Relationship Id="rId38" Type="http://schemas.openxmlformats.org/officeDocument/2006/relationships/footer" Target="footer55.xml"/>
  <Relationship Id="rId39" Type="http://schemas.openxmlformats.org/officeDocument/2006/relationships/footer" Target="footer56.xml"/>
  <Relationship Id="rId4" Type="http://schemas.openxmlformats.org/officeDocument/2006/relationships/settings" Target="settings.xml"/>
  <Relationship Id="rId40" Type="http://schemas.openxmlformats.org/officeDocument/2006/relationships/header" Target="header57.xml"/>
  <Relationship Id="rId41" Type="http://schemas.openxmlformats.org/officeDocument/2006/relationships/footer" Target="footer57.xml"/>
  <Relationship Id="rId42" Type="http://schemas.openxmlformats.org/officeDocument/2006/relationships/hyperlink" TargetMode="External" Target="https://www.e-tar.lt/portal/lt/legalAct/TAR.3394CBFC359C"/>
  <Relationship Id="rId43" Type="http://schemas.openxmlformats.org/officeDocument/2006/relationships/hyperlink" TargetMode="External" Target="http://www3.lrs.lt/cgi-bin/preps2?a=51605&amp;b="/>
  <Relationship Id="rId44" Type="http://schemas.openxmlformats.org/officeDocument/2006/relationships/hyperlink" TargetMode="External" Target="https://www.e-tar.lt/portal/lt/legalAct/TAR.B7D7BAACDE6B"/>
  <Relationship Id="rId45" Type="http://schemas.openxmlformats.org/officeDocument/2006/relationships/hyperlink" TargetMode="External" Target="http://www3.lrs.lt/cgi-bin/preps2?a=69596&amp;b="/>
  <Relationship Id="rId46" Type="http://schemas.openxmlformats.org/officeDocument/2006/relationships/hyperlink" TargetMode="External" Target="https://www.e-tar.lt/portal/lt/legalAct/TAR.501193BA5D7C"/>
  <Relationship Id="rId47" Type="http://schemas.openxmlformats.org/officeDocument/2006/relationships/header" Target="header61.xml"/>
  <Relationship Id="rId48" Type="http://schemas.openxmlformats.org/officeDocument/2006/relationships/header" Target="header62.xml"/>
  <Relationship Id="rId49" Type="http://schemas.openxmlformats.org/officeDocument/2006/relationships/footer" Target="footer61.xml"/>
  <Relationship Id="rId5" Type="http://schemas.openxmlformats.org/officeDocument/2006/relationships/styles" Target="styles.xml"/>
  <Relationship Id="rId50" Type="http://schemas.openxmlformats.org/officeDocument/2006/relationships/footer" Target="footer62.xml"/>
  <Relationship Id="rId51" Type="http://schemas.openxmlformats.org/officeDocument/2006/relationships/header" Target="header63.xml"/>
  <Relationship Id="rId52" Type="http://schemas.openxmlformats.org/officeDocument/2006/relationships/footer" Target="footer63.xml"/>
  <Relationship Id="rId53" Type="http://schemas.openxmlformats.org/officeDocument/2006/relationships/hyperlink" TargetMode="External" Target="http://www3.lrs.lt/cgi-bin/preps2?a=79699&amp;b="/>
  <Relationship Id="rId54" Type="http://schemas.openxmlformats.org/officeDocument/2006/relationships/hyperlink" TargetMode="External" Target="https://www.e-tar.lt/portal/lt/legalAct/TAR.5DC1759E42CB"/>
  <Relationship Id="rId55" Type="http://schemas.openxmlformats.org/officeDocument/2006/relationships/hyperlink" TargetMode="External" Target="https://www.e-tar.lt/portal/lt/legalAct/TAR.8D97CD7E1857"/>
  <Relationship Id="rId56" Type="http://schemas.openxmlformats.org/officeDocument/2006/relationships/hyperlink" TargetMode="External" Target="https://www.e-tar.lt/portal/lt/legalAct/TAR.DC61D74561C5"/>
  <Relationship Id="rId57" Type="http://schemas.openxmlformats.org/officeDocument/2006/relationships/hyperlink" TargetMode="External" Target="https://www.e-tar.lt/portal/lt/legalAct/TAR.67B5099C5848"/>
  <Relationship Id="rId58" Type="http://schemas.openxmlformats.org/officeDocument/2006/relationships/hyperlink" TargetMode="External" Target="https://www.e-tar.lt/portal/lt/legalAct/TAR.78FAC7B20AD8"/>
  <Relationship Id="rId59" Type="http://schemas.openxmlformats.org/officeDocument/2006/relationships/hyperlink" TargetMode="External" Target="https://www.e-tar.lt/portal/lt/legalAct/TAR.C7A984833333"/>
  <Relationship Id="rId6" Type="http://schemas.microsoft.com/office/2007/relationships/stylesWithEffects" Target="stylesWithEffects.xml"/>
  <Relationship Id="rId60" Type="http://schemas.openxmlformats.org/officeDocument/2006/relationships/hyperlink" TargetMode="External" Target="https://www.e-tar.lt/portal/lt/legalAct/TAR.33907EA7C2DC"/>
  <Relationship Id="rId61" Type="http://schemas.openxmlformats.org/officeDocument/2006/relationships/hyperlink" TargetMode="External" Target="https://www.e-tar.lt/portal/lt/legalAct/TAR.DC61D74561C5"/>
  <Relationship Id="rId62" Type="http://schemas.openxmlformats.org/officeDocument/2006/relationships/hyperlink" TargetMode="External" Target="https://www.e-tar.lt/portal/lt/legalAct/TAR.723F49D02CD8"/>
  <Relationship Id="rId63" Type="http://schemas.openxmlformats.org/officeDocument/2006/relationships/hyperlink" TargetMode="External" Target="https://www.e-tar.lt/portal/lt/legalAct/TAR.6A8A7A3BBCDC"/>
  <Relationship Id="rId64" Type="http://schemas.openxmlformats.org/officeDocument/2006/relationships/hyperlink" TargetMode="External" Target="https://www.e-tar.lt/portal/lt/legalAct/TAR.F1D86F455636"/>
  <Relationship Id="rId65" Type="http://schemas.openxmlformats.org/officeDocument/2006/relationships/hyperlink" TargetMode="External" Target="https://www.e-tar.lt/portal/lt/legalAct/TAR.5E3842DF67F8"/>
  <Relationship Id="rId66" Type="http://schemas.openxmlformats.org/officeDocument/2006/relationships/hyperlink" TargetMode="External" Target="https://www.e-tar.lt/portal/lt/legalAct/TAR.668CEF058FF8"/>
  <Relationship Id="rId67" Type="http://schemas.openxmlformats.org/officeDocument/2006/relationships/hyperlink" TargetMode="External" Target="https://www.e-tar.lt/portal/lt/legalAct/TAR.DC61D74561C5"/>
  <Relationship Id="rId68" Type="http://schemas.openxmlformats.org/officeDocument/2006/relationships/hyperlink" TargetMode="External" Target="https://www.e-tar.lt/portal/lt/legalAct/TAR.C6E4170DB704"/>
  <Relationship Id="rId69" Type="http://schemas.openxmlformats.org/officeDocument/2006/relationships/hyperlink" TargetMode="External" Target="https://www.e-tar.lt/portal/lt/legalAct/TAR.668CEF058FF8"/>
  <Relationship Id="rId7" Type="http://schemas.openxmlformats.org/officeDocument/2006/relationships/theme" Target="theme/theme1.xml"/>
  <Relationship Id="rId70" Type="http://schemas.openxmlformats.org/officeDocument/2006/relationships/header" Target="header67.xml"/>
  <Relationship Id="rId71" Type="http://schemas.openxmlformats.org/officeDocument/2006/relationships/footer" Target="footer67.xml"/>
  <Relationship Id="rId72" Type="http://schemas.openxmlformats.org/officeDocument/2006/relationships/hyperlink" TargetMode="External" Target="https://www.e-tar.lt/portal/lt/legalAct/TAR.1B50A305B56B"/>
  <Relationship Id="rId73" Type="http://schemas.openxmlformats.org/officeDocument/2006/relationships/hyperlink" TargetMode="External" Target="https://www.e-tar.lt/portal/lt/legalAct/TAR.A36A799DD928"/>
  <Relationship Id="rId74" Type="http://schemas.openxmlformats.org/officeDocument/2006/relationships/hyperlink" TargetMode="External" Target="https://www.e-tar.lt/portal/lt/legalAct/TAR.7083DB116A2E"/>
  <Relationship Id="rId75" Type="http://schemas.openxmlformats.org/officeDocument/2006/relationships/hyperlink" TargetMode="External" Target="https://www.e-tar.lt/portal/lt/legalAct/TAR.6A8A7A3BBCDC"/>
  <Relationship Id="rId76" Type="http://schemas.openxmlformats.org/officeDocument/2006/relationships/hyperlink" TargetMode="External" Target="https://www.e-tar.lt/portal/lt/legalAct/TAR.F1D86F455636"/>
  <Relationship Id="rId77" Type="http://schemas.openxmlformats.org/officeDocument/2006/relationships/hyperlink" TargetMode="External" Target="https://www.e-tar.lt/portal/lt/legalAct/TAR.751B6F8BF451"/>
  <Relationship Id="rId78" Type="http://schemas.openxmlformats.org/officeDocument/2006/relationships/hyperlink" TargetMode="External" Target="https://www.e-tar.lt/portal/lt/legalAct/TAR.313208361D5D"/>
  <Relationship Id="rId79" Type="http://schemas.openxmlformats.org/officeDocument/2006/relationships/hyperlink" TargetMode="External" Target="https://www.e-tar.lt/portal/lt/legalAct/TAR.64EB889A3B24"/>
  <Relationship Id="rId8" Type="http://schemas.openxmlformats.org/officeDocument/2006/relationships/webSettings" Target="webSettings.xml"/>
  <Relationship Id="rId80" Type="http://schemas.openxmlformats.org/officeDocument/2006/relationships/hyperlink" TargetMode="External" Target="https://www.e-tar.lt/portal/lt/legalAct/TAR.5ED52629C3C4"/>
  <Relationship Id="rId81" Type="http://schemas.openxmlformats.org/officeDocument/2006/relationships/hyperlink" TargetMode="External" Target="https://www.e-tar.lt/portal/lt/legalAct/TAR.0630DF325F2F"/>
  <Relationship Id="rId82" Type="http://schemas.openxmlformats.org/officeDocument/2006/relationships/hyperlink" TargetMode="External" Target="https://www.e-tar.lt/portal/lt/legalAct/TAR.A57CA999DD08"/>
  <Relationship Id="rId83" Type="http://schemas.openxmlformats.org/officeDocument/2006/relationships/hyperlink" TargetMode="External" Target="https://www.e-tar.lt/portal/lt/legalAct/TAR.668CEF058FF8"/>
  <Relationship Id="rId84" Type="http://schemas.openxmlformats.org/officeDocument/2006/relationships/hyperlink" TargetMode="External" Target="https://www.e-tar.lt/portal/lt/legalAct/TAR.04551A50A76D"/>
  <Relationship Id="rId85" Type="http://schemas.openxmlformats.org/officeDocument/2006/relationships/hyperlink" TargetMode="External" Target="https://www.e-tar.lt/portal/lt/legalAct/TAR.C6E4170DB704"/>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DC61D74561C5"/>
  <Relationship Id="rId88" Type="http://schemas.openxmlformats.org/officeDocument/2006/relationships/hyperlink" TargetMode="External" Target="https://www.e-tar.lt/portal/lt/legalAct/TAR.9A2A80746DED"/>
  <Relationship Id="rId89" Type="http://schemas.openxmlformats.org/officeDocument/2006/relationships/hyperlink" TargetMode="External" Target="https://www.e-tar.lt/portal/lt/legalAct/TAR.F7E759DF5DFE"/>
  <Relationship Id="rId9" Type="http://schemas.openxmlformats.org/officeDocument/2006/relationships/image" Target="media/image3.wmf"/>
  <Relationship Id="rId90" Type="http://schemas.openxmlformats.org/officeDocument/2006/relationships/hyperlink" TargetMode="External" Target="https://www.e-tar.lt/portal/lt/legalAct/TAR.DC61D74561C5"/>
  <Relationship Id="rId91" Type="http://schemas.openxmlformats.org/officeDocument/2006/relationships/hyperlink" TargetMode="External" Target="https://www.e-tar.lt/portal/lt/legalAct/TAR.9A2A80746DED"/>
  <Relationship Id="rId92" Type="http://schemas.openxmlformats.org/officeDocument/2006/relationships/hyperlink" TargetMode="External" Target="https://www.e-tar.lt/portal/lt/legalAct/TAR.F7E759DF5DFE"/>
  <Relationship Id="rId93" Type="http://schemas.openxmlformats.org/officeDocument/2006/relationships/hyperlink" TargetMode="External" Target="https://www.e-tar.lt/portal/lt/legalAct/TAR.C6E4170DB704"/>
  <Relationship Id="rId94" Type="http://schemas.openxmlformats.org/officeDocument/2006/relationships/hyperlink" TargetMode="External" Target="https://www.e-tar.lt/portal/lt/legalAct/TAR.6CFC2AC8617C"/>
  <Relationship Id="rId95" Type="http://schemas.openxmlformats.org/officeDocument/2006/relationships/hyperlink" TargetMode="External" Target="https://www.e-tar.lt/portal/lt/legalAct/TAR.9BB254501DB8"/>
  <Relationship Id="rId96" Type="http://schemas.openxmlformats.org/officeDocument/2006/relationships/hyperlink" TargetMode="External" Target="https://www.e-tar.lt/portal/lt/legalAct/TAR.DC61D74561C5"/>
  <Relationship Id="rId97" Type="http://schemas.openxmlformats.org/officeDocument/2006/relationships/hyperlink" TargetMode="External" Target="https://www.e-tar.lt/portal/lt/legalAct/TAR.21897F4DD271"/>
  <Relationship Id="rId9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2152ca4f3743421ab846c4b406da715c"/>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61cc1b88e0dd412ca3a08704eafed863"/>
      <Part Type="punktas" Nr="1.12" Abbr="1.12 p." DocPartId="774ca44754b84bb89a8530404d9479f3" PartId="45298bba560a48ab939fbc7d606c550b"/>
      <Part Type="punktas" Nr="1.13" Abbr="1.13 p." DocPartId="4c78104d70244d2badcb5d01b7e9f022" PartId="accbb68508ec4090a57e9593a46cc5a1"/>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af61f55f8f3745df9d766f4e458d4346">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5.3 p." DocPartId="3051079954284fa5a96af68222df2073" PartId="dab8bea7d93841f5b738abc7242890dc"/>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A" DocPartId="957f1ca1d35843c095d59efb3391897b" PartId="6a65812f199745a58e3302679ef31305">
    <Part Type="punktas" Nr="1" Abbr="3 pr. 1 p." DocPartId="a86d96fcbb464d69a129645507412d94" PartId="da7f2bc8aa694d9e9b8bfa8750ce2b3e"/>
    <Part Type="punktas" Nr="2" Abbr="3 pr. 2 p." DocPartId="3299e5c5db5b4481af7a8727b364a5cb" PartId="bae3b0d3dabc4e18a8a7bb9f94235f0a"/>
    <Part Type="punktas" Nr="3" Abbr="3 pr. 3 p." DocPartId="2928b9ea876e439594880a4ace58cc07" PartId="7d519a59213d471f87cbd98127bc7094"/>
    <Part Type="punktas" Nr="4" Abbr="3 pr. 4 p." DocPartId="16ff920b688d4e278892a41a687d4b74" PartId="c83862ff18444031b16b5d186b09bd7a"/>
    <Part Type="punktas" Nr="5" Abbr="3 pr. 5 p." DocPartId="177b49174d6e4bb29ccfcde9d74a0137" PartId="00d9b4c226464644a467d6e58befe99e"/>
    <Part Type="punktas" Nr="5-1" Abbr="5-1 p." DocPartId="4d3b7abe3bec40578a9fb07b5ed3a057" PartId="9a9b3861c23142c39c172af7014ca180"/>
    <Part Type="punktas" Nr="6" Abbr="3 pr. 6 p." DocPartId="77909525900a46a9b7e6e20e850b17bc" PartId="9a0bfb6917be43d295440521cf6a7e94">
      <Part Type="punktas" Nr="6.1" Abbr="3 pr. 6.1 p." DocPartId="ccc70debcfd04c5c9d8e3c85dc3b39af" PartId="713f97bb1de1442e9dacc298e85b3b25"/>
      <Part Type="punktas" Nr="6.2" Abbr="3 pr. 6.2 p." DocPartId="fabc5a5c6a92479ca702c819d2adc615" PartId="1201878f56e64ff9b516664870b9851d"/>
      <Part Type="punktas" Nr="6.3" Abbr="3 pr. 6.3 p." DocPartId="203dc71f90764bba914f350524b4c268" PartId="236f5571aefc4b90a220491112a89d88"/>
      <Part Type="punktas" Nr="6.4" Abbr="3 pr. 6.4 p." DocPartId="7040d59cdb614b3fa3c661f3e057eaa4" PartId="2c0a7a7f57ec4d3aaaa3a841bdde72fc"/>
      <Part Type="punktas" Nr="6.5" Abbr="3 pr. 6.5 p." DocPartId="520ffa2f71264485a58e6768340ca437" PartId="624df4894e0c4aac9b017fb4e940fba5"/>
    </Part>
    <Part Type="pabaiga" DocPartId="1e2f7a53378e43a59155fb6cda1bbe6b" PartId="90641c1479e048a7a73422410deb2d11"/>
  </Part>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7502d7576bfd424b9d26e9ae46f85b98">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Nr="6" Abbr="6 pr." Title="NEINFEKCINIŲ LIGŲ PROFILAKTIKOS IR KONTROLĖS TVARKA (ATLIEKA BENDROSIOS PRAKTIKOS GYDYTOJAS, JO NESANT – PIRMINĖS SVEIKATOS PRIEŽIŪROS PASLAUGAS TEIKIANTI GYDYTOJŲ KOMANDA)" DocPartId="a9ee91f55eda4207951c1586c9c07d67" PartId="a3e28083ab6c49c0bf7adb09653f29e7"/>
  <Part Type="priedas" Nr="7" Abbr="7 pr." Title="VAIRUOTOJŲ SVEIKATOS TIKRINIMO REIKALAVIMŲ IR TVARKOS APRAŠAS" DocPartId="2b2a2484d1814949a3b63be4a4fcb94a" PartId="78fda4d184954ce7bf852d81f06d3359">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3968cc26d80e47b3aa2f4268f5b9bd0c"/>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814d8107bdc74ca1a7f10cdb3b9cf86c"/>
  <Part Type="lentele" Nr="2" Title="TRANSPORTO PRIEMONIŲ KATEGORIJOS, MINIMALUS VAIRUOTOJŲ AMŽIUS" DocPartId="36fd42b018aa4aae9c5fe82f72c4dc0e" PartId="ff5be57aa8f94379894a0e01f3340661"/>
  <Part Type="lentele" Nr="3" Title="MINIMALIOS FIZINIO IR PSICHIKOS TINKAMUMO NORMOS, TAIKOMOS ASMENIMS, VAIRUOJANTIEMS VARIKLIO VAROMĄ TRANSPORTO PRIEMONĘ" DocPartId="4f0a5ac065614e669245fb31f1e590cc" PartId="6aa85ea7bc1a4140b82f76c5a920e540">
    <Part Type="pastraipa" DocPartId="7b954aa134dd4611a9e75d9c40060a98" PartId="a19c252954b7499b8f8f6925f9124f4a"/>
    <Part Type="punktas" Nr="1" Abbr="1 p." DocPartId="1254632742e644e191695fc4c20945e2" PartId="b577f3413fa147cf96307a1d99631445"/>
    <Part Type="punktas" Nr="2" Abbr="2 p." DocPartId="e7f8b195045a4a1e8de067abfddb9378" PartId="b129c8b1863b4a1abaff689f3dcafbb0"/>
    <Part Type="punktas" Nr="3" Abbr="3 p." DocPartId="ca47ac30f39e46fd95b39bca86ce683c" PartId="804a45b4307c4e6ebe95f6e76648a0f6"/>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LAIVYNO DARBUOTOJŲ SVEIKATOS TIKRINIMO TVARKA" DocPartId="e12e9c1b56374166b0d11fa541410a3d" PartId="1f3f7767e89e47d582bce088ca57f244">
    <Part Type="skyrius" Nr="1" Title="BENDROSIOS NUOSTATOS" DocPartId="87f4173e0658464099eff0862a17c881" PartId="0b063aec3a9c4cebbadf1f65b5528660">
      <Part Type="punktas" Nr="1" Abbr="11 pr. 1 p." DocPartId="4df5cf6a358e492f88e20e33181d597d" PartId="6fa22bf133ea4e17a056de5dac6a2cf1"/>
      <Part Type="punktas" Nr="2" Abbr="11 pr. 2 p." DocPartId="927834c0e94c4b9b9d902c8718d8c6e4" PartId="157d7e864c8a4837b55edfde482ac390"/>
      <Part Type="punktas" Nr="3" Abbr="11 pr. 3 p." DocPartId="2a602a41b79642f5ac876cb680379229" PartId="563d5585f636436491c46b09e91a484b"/>
      <Part Type="punktas" Nr="4" Abbr="11 pr. 4 p."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DocPartId="5b6c59ac1bff40b688166c5782bcc990" PartId="e69ff54217c84760aad1f34fef1c8b1e"/>
    </Part>
    <Part Type="skyrius" Nr="2" Title="LAIVYNO DARBUOTOJŲ SVEIKATOS TIKRINIMAS" DocPartId="d45653961380401ba8ed4db583a9b31f" PartId="93d234978e624f15a7f12e14d01e527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db1078a13c0748119ef612e6289891c9"/>
  </Part>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e79078c0f8f94072a6b2468e1251c121"/>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408e0697a80043ea94bcbb68be7da942"/>
  <Part Type="priedas" Nr="16" Abbr="16 pr." Title="ASMENŲ, NORINČIŲ BŪTI ADVOKATAIS, SVEIKATOS TIKRINIMO TVARKA" DocPartId="972d96aff5b140328c87cbb94e6d9132" PartId="b72b9025c68f4aeb819721035ef54046"/>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aff7822f59fb4b00870fbe76c477923c">
    <Part Type="skyrius" Nr="1" Title="PROFILAKTINIŲ SVEIKATOS TIKRINIMŲ, UŽ KURIUOS MOKA PATS DARBUOTOJAS, DARBDAVYS AR KITI FIZINIAI AR JURIDINIAI ASMENYS, KAINOS" DocPartId="ac9ca97c759c4b3d9bfa0ad4206bf4ba" PartId="52916aa6598d480cb97a516b190c8f37"/>
    <Part Type="skyrius" Nr="2" Title="PROFILAKTINIŲ SVEIKATOS TIKRINIMŲ, APMOKAMŲ IŠ PRIVALOMOJO SVEIKATOS DRAUDIMO FONDO BIUDŽETO, KAINOS" DocPartId="e5c71865669447a291308a0e51db7089" PartId="f2bf4bf878934e43ba191a3d81b52e9a"/>
  </Part>
</Parts>
</file>

<file path=customXml/itemProps1.xml><?xml version="1.0" encoding="utf-8"?>
<ds:datastoreItem xmlns:ds="http://schemas.openxmlformats.org/officeDocument/2006/customXml" ds:itemID="{341218F7-6B39-4CCD-BA38-1E8B075AC8C6}">
  <ds:schemaRefs>
    <ds:schemaRef ds:uri="http://lrs.lt/TAIS/DocParts"/>
  </ds:schemaRefs>
</ds:datastoreItem>
</file>

<file path=docProps/app.xml><?xml version="1.0" encoding="utf-8"?>
<Properties xmlns="http://schemas.openxmlformats.org/officeDocument/2006/extended-properties">
  <Template>Normal.dotm</Template>
  <TotalTime>95</TotalTime>
  <Pages>189</Pages>
  <Words>255829</Words>
  <Characters>145823</Characters>
  <Application>Microsoft Office Word</Application>
  <DocSecurity>0</DocSecurity>
  <Lines>1215</Lines>
  <Paragraphs>801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400851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2018-06-14T13:16:00Z</dcterms:modified>
  <revision>51</revision>
</coreProperties>
</file>